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Default Extension="png" ContentType="image/png"/>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3"/>
          <w:szCs w:val="13"/>
        </w:rPr>
      </w:pPr>
    </w:p>
    <w:p>
      <w:pPr>
        <w:spacing w:line="2175" w:lineRule="exact"/>
        <w:ind w:left="3822"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43"/>
          <w:sz w:val="20"/>
          <w:szCs w:val="20"/>
        </w:rPr>
        <w:drawing>
          <wp:inline distT="0" distB="0" distL="0" distR="0">
            <wp:extent cx="1409700" cy="1381125"/>
            <wp:effectExtent l="0" t="0" r="0" b="0"/>
            <wp:docPr id="1" name="image2.jpeg" descr=""/>
            <wp:cNvGraphicFramePr>
              <a:graphicFrameLocks noChangeAspect="1"/>
            </wp:cNvGraphicFramePr>
            <a:graphic>
              <a:graphicData uri="http://schemas.openxmlformats.org/drawingml/2006/picture">
                <pic:pic>
                  <pic:nvPicPr>
                    <pic:cNvPr id="2" name="image2.jpeg"/>
                    <pic:cNvPicPr/>
                  </pic:nvPicPr>
                  <pic:blipFill>
                    <a:blip r:embed="rId7" cstate="print"/>
                    <a:stretch>
                      <a:fillRect/>
                    </a:stretch>
                  </pic:blipFill>
                  <pic:spPr>
                    <a:xfrm>
                      <a:off x="0" y="0"/>
                      <a:ext cx="1409700" cy="1381125"/>
                    </a:xfrm>
                    <a:prstGeom prst="rect">
                      <a:avLst/>
                    </a:prstGeom>
                  </pic:spPr>
                </pic:pic>
              </a:graphicData>
            </a:graphic>
          </wp:inline>
        </w:drawing>
      </w:r>
      <w:r>
        <w:rPr>
          <w:rFonts w:ascii="Times New Roman" w:hAnsi="Times New Roman" w:cs="Times New Roman" w:eastAsia="Times New Roman" w:hint="default"/>
          <w:position w:val="-43"/>
          <w:sz w:val="20"/>
          <w:szCs w:val="20"/>
        </w:rPr>
      </w:r>
    </w:p>
    <w:p>
      <w:pPr>
        <w:spacing w:line="240" w:lineRule="auto" w:before="2"/>
        <w:rPr>
          <w:rFonts w:ascii="Times New Roman" w:hAnsi="Times New Roman" w:cs="Times New Roman" w:eastAsia="Times New Roman" w:hint="default"/>
          <w:sz w:val="13"/>
          <w:szCs w:val="13"/>
        </w:rPr>
      </w:pPr>
    </w:p>
    <w:p>
      <w:pPr>
        <w:spacing w:line="460" w:lineRule="exact" w:before="0"/>
        <w:ind w:left="0" w:right="1017" w:firstLine="0"/>
        <w:jc w:val="center"/>
        <w:rPr>
          <w:rFonts w:ascii="宋体" w:hAnsi="宋体" w:cs="宋体" w:eastAsia="宋体" w:hint="default"/>
          <w:sz w:val="36"/>
          <w:szCs w:val="36"/>
        </w:rPr>
      </w:pPr>
      <w:r>
        <w:rPr>
          <w:rFonts w:ascii="宋体" w:hAnsi="宋体" w:cs="宋体" w:eastAsia="宋体" w:hint="default"/>
          <w:b/>
          <w:bCs/>
          <w:sz w:val="36"/>
          <w:szCs w:val="36"/>
        </w:rPr>
        <w:t>恒宝股份有限公司</w:t>
      </w:r>
      <w:r>
        <w:rPr>
          <w:rFonts w:ascii="宋体" w:hAnsi="宋体" w:cs="宋体" w:eastAsia="宋体" w:hint="default"/>
          <w:sz w:val="36"/>
          <w:szCs w:val="36"/>
        </w:rPr>
      </w:r>
    </w:p>
    <w:p>
      <w:pPr>
        <w:spacing w:line="240" w:lineRule="auto" w:before="10"/>
        <w:rPr>
          <w:rFonts w:ascii="宋体" w:hAnsi="宋体" w:cs="宋体" w:eastAsia="宋体" w:hint="default"/>
          <w:b/>
          <w:bCs/>
          <w:sz w:val="30"/>
          <w:szCs w:val="30"/>
        </w:rPr>
      </w:pPr>
    </w:p>
    <w:p>
      <w:pPr>
        <w:spacing w:before="0"/>
        <w:ind w:left="0" w:right="1018" w:firstLine="0"/>
        <w:jc w:val="center"/>
        <w:rPr>
          <w:rFonts w:ascii="宋体" w:hAnsi="宋体" w:cs="宋体" w:eastAsia="宋体" w:hint="default"/>
          <w:sz w:val="32"/>
          <w:szCs w:val="32"/>
        </w:rPr>
      </w:pPr>
      <w:r>
        <w:rPr>
          <w:rFonts w:ascii="Times New Roman" w:hAnsi="Times New Roman" w:cs="Times New Roman" w:eastAsia="Times New Roman" w:hint="default"/>
          <w:b/>
          <w:bCs/>
          <w:sz w:val="32"/>
          <w:szCs w:val="32"/>
        </w:rPr>
        <w:t>2019</w:t>
      </w:r>
      <w:r>
        <w:rPr>
          <w:rFonts w:ascii="Times New Roman" w:hAnsi="Times New Roman" w:cs="Times New Roman" w:eastAsia="Times New Roman" w:hint="default"/>
          <w:b/>
          <w:bCs/>
          <w:spacing w:val="-3"/>
          <w:sz w:val="32"/>
          <w:szCs w:val="32"/>
        </w:rPr>
        <w:t> </w:t>
      </w:r>
      <w:r>
        <w:rPr>
          <w:rFonts w:ascii="宋体" w:hAnsi="宋体" w:cs="宋体" w:eastAsia="宋体" w:hint="default"/>
          <w:b/>
          <w:bCs/>
          <w:sz w:val="32"/>
          <w:szCs w:val="32"/>
        </w:rPr>
        <w:t>年年度报告</w:t>
      </w:r>
      <w:r>
        <w:rPr>
          <w:rFonts w:ascii="宋体" w:hAnsi="宋体" w:cs="宋体" w:eastAsia="宋体" w:hint="default"/>
          <w:sz w:val="32"/>
          <w:szCs w:val="32"/>
        </w:rPr>
      </w: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5"/>
        <w:rPr>
          <w:rFonts w:ascii="宋体" w:hAnsi="宋体" w:cs="宋体" w:eastAsia="宋体" w:hint="default"/>
          <w:b/>
          <w:bCs/>
          <w:sz w:val="48"/>
          <w:szCs w:val="48"/>
        </w:rPr>
      </w:pPr>
    </w:p>
    <w:p>
      <w:pPr>
        <w:spacing w:before="0"/>
        <w:ind w:left="0" w:right="1019" w:firstLine="0"/>
        <w:jc w:val="center"/>
        <w:rPr>
          <w:rFonts w:ascii="宋体" w:hAnsi="宋体" w:cs="宋体" w:eastAsia="宋体" w:hint="default"/>
          <w:sz w:val="32"/>
          <w:szCs w:val="32"/>
        </w:rPr>
      </w:pPr>
      <w:r>
        <w:rPr>
          <w:rFonts w:ascii="Times New Roman" w:hAnsi="Times New Roman" w:cs="Times New Roman" w:eastAsia="Times New Roman" w:hint="default"/>
          <w:b/>
          <w:bCs/>
          <w:sz w:val="32"/>
          <w:szCs w:val="32"/>
        </w:rPr>
        <w:t>2020</w:t>
      </w:r>
      <w:r>
        <w:rPr>
          <w:rFonts w:ascii="Times New Roman" w:hAnsi="Times New Roman" w:cs="Times New Roman" w:eastAsia="Times New Roman" w:hint="default"/>
          <w:b/>
          <w:bCs/>
          <w:spacing w:val="-1"/>
          <w:sz w:val="32"/>
          <w:szCs w:val="32"/>
        </w:rPr>
        <w:t> </w:t>
      </w:r>
      <w:r>
        <w:rPr>
          <w:rFonts w:ascii="宋体" w:hAnsi="宋体" w:cs="宋体" w:eastAsia="宋体" w:hint="default"/>
          <w:b/>
          <w:bCs/>
          <w:sz w:val="32"/>
          <w:szCs w:val="32"/>
        </w:rPr>
        <w:t>年</w:t>
      </w:r>
      <w:r>
        <w:rPr>
          <w:rFonts w:ascii="宋体" w:hAnsi="宋体" w:cs="宋体" w:eastAsia="宋体" w:hint="default"/>
          <w:b/>
          <w:bCs/>
          <w:spacing w:val="-82"/>
          <w:sz w:val="32"/>
          <w:szCs w:val="32"/>
        </w:rPr>
        <w:t> </w:t>
      </w:r>
      <w:r>
        <w:rPr>
          <w:rFonts w:ascii="Times New Roman" w:hAnsi="Times New Roman" w:cs="Times New Roman" w:eastAsia="Times New Roman" w:hint="default"/>
          <w:b/>
          <w:bCs/>
          <w:sz w:val="32"/>
          <w:szCs w:val="32"/>
        </w:rPr>
        <w:t>04</w:t>
      </w:r>
      <w:r>
        <w:rPr>
          <w:rFonts w:ascii="Times New Roman" w:hAnsi="Times New Roman" w:cs="Times New Roman" w:eastAsia="Times New Roman" w:hint="default"/>
          <w:b/>
          <w:bCs/>
          <w:spacing w:val="-1"/>
          <w:sz w:val="32"/>
          <w:szCs w:val="32"/>
        </w:rPr>
        <w:t> </w:t>
      </w:r>
      <w:r>
        <w:rPr>
          <w:rFonts w:ascii="宋体" w:hAnsi="宋体" w:cs="宋体" w:eastAsia="宋体" w:hint="default"/>
          <w:b/>
          <w:bCs/>
          <w:sz w:val="32"/>
          <w:szCs w:val="32"/>
        </w:rPr>
        <w:t>月</w:t>
      </w:r>
      <w:r>
        <w:rPr>
          <w:rFonts w:ascii="宋体" w:hAnsi="宋体" w:cs="宋体" w:eastAsia="宋体" w:hint="default"/>
          <w:sz w:val="32"/>
          <w:szCs w:val="32"/>
        </w:rPr>
      </w:r>
    </w:p>
    <w:p>
      <w:pPr>
        <w:spacing w:after="0"/>
        <w:jc w:val="center"/>
        <w:rPr>
          <w:rFonts w:ascii="宋体" w:hAnsi="宋体" w:cs="宋体" w:eastAsia="宋体" w:hint="default"/>
          <w:sz w:val="32"/>
          <w:szCs w:val="32"/>
        </w:rPr>
        <w:sectPr>
          <w:headerReference w:type="default" r:id="rId5"/>
          <w:footerReference w:type="default" r:id="rId6"/>
          <w:type w:val="continuous"/>
          <w:pgSz w:w="11910" w:h="16840"/>
          <w:pgMar w:header="786" w:footer="1018" w:top="1100" w:bottom="1200" w:left="1020" w:right="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0"/>
          <w:szCs w:val="20"/>
        </w:rPr>
      </w:pPr>
    </w:p>
    <w:p>
      <w:pPr>
        <w:pStyle w:val="Heading1"/>
        <w:spacing w:line="240" w:lineRule="auto"/>
        <w:ind w:left="2845" w:right="0"/>
        <w:jc w:val="left"/>
        <w:rPr>
          <w:b w:val="0"/>
          <w:bCs w:val="0"/>
        </w:rPr>
      </w:pPr>
      <w:bookmarkStart w:name="_TOC_250012" w:id="1"/>
      <w:r>
        <w:rPr/>
        <w:t>第一节重要提示、目录和释义</w:t>
      </w:r>
      <w:bookmarkEnd w:id="1"/>
      <w:r>
        <w:rPr>
          <w:b w:val="0"/>
          <w:bCs w:val="0"/>
        </w:rPr>
      </w:r>
    </w:p>
    <w:p>
      <w:pPr>
        <w:spacing w:line="240" w:lineRule="auto" w:before="0"/>
        <w:rPr>
          <w:rFonts w:ascii="宋体" w:hAnsi="宋体" w:cs="宋体" w:eastAsia="宋体" w:hint="default"/>
          <w:b/>
          <w:bCs/>
          <w:sz w:val="32"/>
          <w:szCs w:val="32"/>
        </w:rPr>
      </w:pPr>
    </w:p>
    <w:p>
      <w:pPr>
        <w:spacing w:line="408" w:lineRule="auto" w:before="212"/>
        <w:ind w:left="113" w:right="1127" w:firstLine="560"/>
        <w:jc w:val="both"/>
        <w:rPr>
          <w:rFonts w:ascii="宋体" w:hAnsi="宋体" w:cs="宋体" w:eastAsia="宋体" w:hint="default"/>
          <w:sz w:val="28"/>
          <w:szCs w:val="28"/>
        </w:rPr>
      </w:pPr>
      <w:r>
        <w:rPr>
          <w:rFonts w:ascii="宋体" w:hAnsi="宋体" w:cs="宋体" w:eastAsia="宋体" w:hint="default"/>
          <w:b/>
          <w:bCs/>
          <w:spacing w:val="3"/>
          <w:w w:val="95"/>
          <w:sz w:val="28"/>
          <w:szCs w:val="28"/>
        </w:rPr>
        <w:t>公司董事会、监事会及董事、监事、高级管理人员保证年度报告内容的真</w:t>
      </w:r>
      <w:r>
        <w:rPr>
          <w:rFonts w:ascii="宋体" w:hAnsi="宋体" w:cs="宋体" w:eastAsia="宋体" w:hint="default"/>
          <w:b/>
          <w:bCs/>
          <w:w w:val="99"/>
          <w:sz w:val="28"/>
          <w:szCs w:val="28"/>
        </w:rPr>
        <w:t> </w:t>
      </w:r>
      <w:r>
        <w:rPr>
          <w:rFonts w:ascii="宋体" w:hAnsi="宋体" w:cs="宋体" w:eastAsia="宋体" w:hint="default"/>
          <w:b/>
          <w:bCs/>
          <w:spacing w:val="3"/>
          <w:w w:val="95"/>
          <w:sz w:val="28"/>
          <w:szCs w:val="28"/>
        </w:rPr>
        <w:t>实、准确、完整，不存在虚假记载、误导性陈述或重大遗漏，并承担个别和连</w:t>
      </w:r>
      <w:r>
        <w:rPr>
          <w:rFonts w:ascii="宋体" w:hAnsi="宋体" w:cs="宋体" w:eastAsia="宋体" w:hint="default"/>
          <w:b/>
          <w:bCs/>
          <w:spacing w:val="34"/>
          <w:w w:val="95"/>
          <w:sz w:val="28"/>
          <w:szCs w:val="28"/>
        </w:rPr>
        <w:t> </w:t>
      </w:r>
      <w:r>
        <w:rPr>
          <w:rFonts w:ascii="宋体" w:hAnsi="宋体" w:cs="宋体" w:eastAsia="宋体" w:hint="default"/>
          <w:b/>
          <w:bCs/>
          <w:spacing w:val="34"/>
          <w:w w:val="95"/>
          <w:sz w:val="28"/>
          <w:szCs w:val="28"/>
        </w:rPr>
      </w:r>
      <w:r>
        <w:rPr>
          <w:rFonts w:ascii="宋体" w:hAnsi="宋体" w:cs="宋体" w:eastAsia="宋体" w:hint="default"/>
          <w:b/>
          <w:bCs/>
          <w:sz w:val="28"/>
          <w:szCs w:val="28"/>
        </w:rPr>
        <w:t>带的法律责任。</w:t>
      </w:r>
      <w:r>
        <w:rPr>
          <w:rFonts w:ascii="宋体" w:hAnsi="宋体" w:cs="宋体" w:eastAsia="宋体" w:hint="default"/>
          <w:sz w:val="28"/>
          <w:szCs w:val="28"/>
        </w:rPr>
      </w:r>
    </w:p>
    <w:p>
      <w:pPr>
        <w:spacing w:line="386" w:lineRule="auto" w:before="162"/>
        <w:ind w:left="113" w:right="1130" w:firstLine="560"/>
        <w:jc w:val="both"/>
        <w:rPr>
          <w:rFonts w:ascii="宋体" w:hAnsi="宋体" w:cs="宋体" w:eastAsia="宋体" w:hint="default"/>
          <w:sz w:val="28"/>
          <w:szCs w:val="28"/>
        </w:rPr>
      </w:pPr>
      <w:r>
        <w:rPr>
          <w:rFonts w:ascii="宋体" w:hAnsi="宋体" w:cs="宋体" w:eastAsia="宋体" w:hint="default"/>
          <w:b/>
          <w:bCs/>
          <w:w w:val="95"/>
          <w:sz w:val="28"/>
          <w:szCs w:val="28"/>
        </w:rPr>
        <w:t>公司负责人钱京、主管会计工作负责人徐霄凌及会计机构负责人</w:t>
      </w:r>
      <w:r>
        <w:rPr>
          <w:rFonts w:ascii="Times New Roman" w:hAnsi="Times New Roman" w:cs="Times New Roman" w:eastAsia="Times New Roman" w:hint="default"/>
          <w:b/>
          <w:bCs/>
          <w:w w:val="95"/>
          <w:sz w:val="28"/>
          <w:szCs w:val="28"/>
        </w:rPr>
        <w:t>(</w:t>
      </w:r>
      <w:r>
        <w:rPr>
          <w:rFonts w:ascii="宋体" w:hAnsi="宋体" w:cs="宋体" w:eastAsia="宋体" w:hint="default"/>
          <w:b/>
          <w:bCs/>
          <w:w w:val="95"/>
          <w:sz w:val="28"/>
          <w:szCs w:val="28"/>
        </w:rPr>
        <w:t>会计主管</w:t>
      </w:r>
      <w:r>
        <w:rPr>
          <w:rFonts w:ascii="宋体" w:hAnsi="宋体" w:cs="宋体" w:eastAsia="宋体" w:hint="default"/>
          <w:b/>
          <w:bCs/>
          <w:w w:val="99"/>
          <w:sz w:val="28"/>
          <w:szCs w:val="28"/>
        </w:rPr>
        <w:t> </w:t>
      </w:r>
      <w:r>
        <w:rPr>
          <w:rFonts w:ascii="宋体" w:hAnsi="宋体" w:cs="宋体" w:eastAsia="宋体" w:hint="default"/>
          <w:b/>
          <w:bCs/>
          <w:sz w:val="28"/>
          <w:szCs w:val="28"/>
        </w:rPr>
        <w:t>人员</w:t>
      </w:r>
      <w:r>
        <w:rPr>
          <w:rFonts w:ascii="Times New Roman" w:hAnsi="Times New Roman" w:cs="Times New Roman" w:eastAsia="Times New Roman" w:hint="default"/>
          <w:b/>
          <w:bCs/>
          <w:sz w:val="28"/>
          <w:szCs w:val="28"/>
        </w:rPr>
        <w:t>)</w:t>
      </w:r>
      <w:r>
        <w:rPr>
          <w:rFonts w:ascii="宋体" w:hAnsi="宋体" w:cs="宋体" w:eastAsia="宋体" w:hint="default"/>
          <w:b/>
          <w:bCs/>
          <w:sz w:val="28"/>
          <w:szCs w:val="28"/>
        </w:rPr>
        <w:t>刘春莲声明：保证年度报告中财务报告的真实、准确、完整。</w:t>
      </w:r>
      <w:r>
        <w:rPr>
          <w:rFonts w:ascii="宋体" w:hAnsi="宋体" w:cs="宋体" w:eastAsia="宋体" w:hint="default"/>
          <w:sz w:val="28"/>
          <w:szCs w:val="28"/>
        </w:rPr>
      </w:r>
    </w:p>
    <w:p>
      <w:pPr>
        <w:spacing w:line="475" w:lineRule="auto" w:before="147"/>
        <w:ind w:left="673" w:right="0" w:firstLine="0"/>
        <w:jc w:val="left"/>
        <w:rPr>
          <w:rFonts w:ascii="宋体" w:hAnsi="宋体" w:cs="宋体" w:eastAsia="宋体" w:hint="default"/>
          <w:sz w:val="28"/>
          <w:szCs w:val="28"/>
        </w:rPr>
      </w:pPr>
      <w:r>
        <w:rPr>
          <w:rFonts w:ascii="宋体" w:hAnsi="宋体" w:cs="宋体" w:eastAsia="宋体" w:hint="default"/>
          <w:b/>
          <w:bCs/>
          <w:sz w:val="28"/>
          <w:szCs w:val="28"/>
        </w:rPr>
        <w:t>所有董事均已出席了审议本报告的董事会会议。</w:t>
      </w:r>
      <w:r>
        <w:rPr>
          <w:rFonts w:ascii="宋体" w:hAnsi="宋体" w:cs="宋体" w:eastAsia="宋体" w:hint="default"/>
          <w:b/>
          <w:bCs/>
          <w:w w:val="99"/>
          <w:sz w:val="28"/>
          <w:szCs w:val="28"/>
        </w:rPr>
        <w:t> </w:t>
      </w:r>
      <w:r>
        <w:rPr>
          <w:rFonts w:ascii="宋体" w:hAnsi="宋体" w:cs="宋体" w:eastAsia="宋体" w:hint="default"/>
          <w:b/>
          <w:bCs/>
          <w:spacing w:val="3"/>
          <w:w w:val="95"/>
          <w:sz w:val="28"/>
          <w:szCs w:val="28"/>
        </w:rPr>
        <w:t>公司面临国内宏观经济增速放缓、市场竞争加剧、产品更新换代加速、人</w:t>
      </w:r>
      <w:r>
        <w:rPr>
          <w:rFonts w:ascii="宋体" w:hAnsi="宋体" w:cs="宋体" w:eastAsia="宋体" w:hint="default"/>
          <w:spacing w:val="3"/>
          <w:sz w:val="28"/>
          <w:szCs w:val="28"/>
        </w:rPr>
      </w:r>
    </w:p>
    <w:p>
      <w:pPr>
        <w:spacing w:line="350" w:lineRule="exact" w:before="0"/>
        <w:ind w:left="113" w:right="0" w:firstLine="0"/>
        <w:jc w:val="left"/>
        <w:rPr>
          <w:rFonts w:ascii="宋体" w:hAnsi="宋体" w:cs="宋体" w:eastAsia="宋体" w:hint="default"/>
          <w:sz w:val="28"/>
          <w:szCs w:val="28"/>
        </w:rPr>
      </w:pPr>
      <w:r>
        <w:rPr>
          <w:rFonts w:ascii="宋体" w:hAnsi="宋体" w:cs="宋体" w:eastAsia="宋体" w:hint="default"/>
          <w:b/>
          <w:bCs/>
          <w:spacing w:val="3"/>
          <w:sz w:val="28"/>
          <w:szCs w:val="28"/>
        </w:rPr>
        <w:t>力成本持续上升等方面的影响。受全球经济增长放缓的影响，公司新业务、新</w:t>
      </w:r>
      <w:r>
        <w:rPr>
          <w:rFonts w:ascii="宋体" w:hAnsi="宋体" w:cs="宋体" w:eastAsia="宋体" w:hint="default"/>
          <w:spacing w:val="3"/>
          <w:sz w:val="28"/>
          <w:szCs w:val="28"/>
        </w:rPr>
      </w:r>
    </w:p>
    <w:p>
      <w:pPr>
        <w:spacing w:line="240" w:lineRule="auto" w:before="9"/>
        <w:rPr>
          <w:rFonts w:ascii="宋体" w:hAnsi="宋体" w:cs="宋体" w:eastAsia="宋体" w:hint="default"/>
          <w:b/>
          <w:bCs/>
          <w:sz w:val="19"/>
          <w:szCs w:val="19"/>
        </w:rPr>
      </w:pPr>
    </w:p>
    <w:p>
      <w:pPr>
        <w:spacing w:line="408" w:lineRule="auto" w:before="0"/>
        <w:ind w:left="113" w:right="0" w:firstLine="0"/>
        <w:jc w:val="left"/>
        <w:rPr>
          <w:rFonts w:ascii="宋体" w:hAnsi="宋体" w:cs="宋体" w:eastAsia="宋体" w:hint="default"/>
          <w:sz w:val="28"/>
          <w:szCs w:val="28"/>
        </w:rPr>
      </w:pPr>
      <w:r>
        <w:rPr>
          <w:rFonts w:ascii="宋体" w:hAnsi="宋体" w:cs="宋体" w:eastAsia="宋体" w:hint="default"/>
          <w:b/>
          <w:bCs/>
          <w:spacing w:val="3"/>
          <w:w w:val="95"/>
          <w:sz w:val="28"/>
          <w:szCs w:val="28"/>
        </w:rPr>
        <w:t>市场开拓的难度增大、风险加剧，海外收入面临汇率波动的风险，敬请广大投</w:t>
      </w:r>
      <w:r>
        <w:rPr>
          <w:rFonts w:ascii="宋体" w:hAnsi="宋体" w:cs="宋体" w:eastAsia="宋体" w:hint="default"/>
          <w:b/>
          <w:bCs/>
          <w:spacing w:val="34"/>
          <w:w w:val="95"/>
          <w:sz w:val="28"/>
          <w:szCs w:val="28"/>
        </w:rPr>
        <w:t> </w:t>
      </w:r>
      <w:r>
        <w:rPr>
          <w:rFonts w:ascii="宋体" w:hAnsi="宋体" w:cs="宋体" w:eastAsia="宋体" w:hint="default"/>
          <w:b/>
          <w:bCs/>
          <w:spacing w:val="34"/>
          <w:w w:val="95"/>
          <w:sz w:val="28"/>
          <w:szCs w:val="28"/>
        </w:rPr>
      </w:r>
      <w:r>
        <w:rPr>
          <w:rFonts w:ascii="宋体" w:hAnsi="宋体" w:cs="宋体" w:eastAsia="宋体" w:hint="default"/>
          <w:b/>
          <w:bCs/>
          <w:sz w:val="28"/>
          <w:szCs w:val="28"/>
        </w:rPr>
        <w:t>资者注意投资风险。</w:t>
      </w:r>
      <w:r>
        <w:rPr>
          <w:rFonts w:ascii="宋体" w:hAnsi="宋体" w:cs="宋体" w:eastAsia="宋体" w:hint="default"/>
          <w:sz w:val="28"/>
          <w:szCs w:val="28"/>
        </w:rPr>
      </w:r>
    </w:p>
    <w:p>
      <w:pPr>
        <w:spacing w:line="386" w:lineRule="auto" w:before="161"/>
        <w:ind w:left="113" w:right="1130" w:firstLine="560"/>
        <w:jc w:val="both"/>
        <w:rPr>
          <w:rFonts w:ascii="宋体" w:hAnsi="宋体" w:cs="宋体" w:eastAsia="宋体" w:hint="default"/>
          <w:sz w:val="28"/>
          <w:szCs w:val="28"/>
        </w:rPr>
      </w:pPr>
      <w:r>
        <w:rPr>
          <w:rFonts w:ascii="宋体" w:hAnsi="宋体" w:cs="宋体" w:eastAsia="宋体" w:hint="default"/>
          <w:b/>
          <w:bCs/>
          <w:spacing w:val="3"/>
          <w:sz w:val="28"/>
          <w:szCs w:val="28"/>
        </w:rPr>
        <w:t>公司经本次董事会审议通过的利润分配预案为：以</w:t>
      </w:r>
      <w:r>
        <w:rPr>
          <w:rFonts w:ascii="宋体" w:hAnsi="宋体" w:cs="宋体" w:eastAsia="宋体" w:hint="default"/>
          <w:b/>
          <w:bCs/>
          <w:spacing w:val="-69"/>
          <w:sz w:val="28"/>
          <w:szCs w:val="28"/>
        </w:rPr>
        <w:t> </w:t>
      </w:r>
      <w:r>
        <w:rPr>
          <w:rFonts w:ascii="Times New Roman" w:hAnsi="Times New Roman" w:cs="Times New Roman" w:eastAsia="Times New Roman" w:hint="default"/>
          <w:b/>
          <w:bCs/>
          <w:sz w:val="28"/>
          <w:szCs w:val="28"/>
        </w:rPr>
        <w:t>696921354</w:t>
      </w:r>
      <w:r>
        <w:rPr>
          <w:rFonts w:ascii="Times New Roman" w:hAnsi="Times New Roman" w:cs="Times New Roman" w:eastAsia="Times New Roman" w:hint="default"/>
          <w:b/>
          <w:bCs/>
          <w:spacing w:val="-7"/>
          <w:sz w:val="28"/>
          <w:szCs w:val="28"/>
        </w:rPr>
        <w:t> </w:t>
      </w:r>
      <w:r>
        <w:rPr>
          <w:rFonts w:ascii="宋体" w:hAnsi="宋体" w:cs="宋体" w:eastAsia="宋体" w:hint="default"/>
          <w:b/>
          <w:bCs/>
          <w:spacing w:val="2"/>
          <w:sz w:val="28"/>
          <w:szCs w:val="28"/>
        </w:rPr>
        <w:t>股为基数，</w:t>
      </w:r>
      <w:r>
        <w:rPr>
          <w:rFonts w:ascii="宋体" w:hAnsi="宋体" w:cs="宋体" w:eastAsia="宋体" w:hint="default"/>
          <w:b/>
          <w:bCs/>
          <w:w w:val="99"/>
          <w:sz w:val="28"/>
          <w:szCs w:val="28"/>
        </w:rPr>
        <w:t> 向全体股东每</w:t>
      </w:r>
      <w:r>
        <w:rPr>
          <w:rFonts w:ascii="宋体" w:hAnsi="宋体" w:cs="宋体" w:eastAsia="宋体" w:hint="default"/>
          <w:b/>
          <w:bCs/>
          <w:spacing w:val="-66"/>
          <w:w w:val="99"/>
          <w:sz w:val="28"/>
          <w:szCs w:val="28"/>
        </w:rPr>
        <w:t> </w:t>
      </w:r>
      <w:r>
        <w:rPr>
          <w:rFonts w:ascii="Times New Roman" w:hAnsi="Times New Roman" w:cs="Times New Roman" w:eastAsia="Times New Roman" w:hint="default"/>
          <w:b/>
          <w:bCs/>
          <w:sz w:val="28"/>
          <w:szCs w:val="28"/>
        </w:rPr>
        <w:t>10</w:t>
      </w:r>
      <w:r>
        <w:rPr>
          <w:rFonts w:ascii="Times New Roman" w:hAnsi="Times New Roman" w:cs="Times New Roman" w:eastAsia="Times New Roman" w:hint="default"/>
          <w:b/>
          <w:bCs/>
          <w:spacing w:val="2"/>
          <w:sz w:val="28"/>
          <w:szCs w:val="28"/>
        </w:rPr>
        <w:t> </w:t>
      </w:r>
      <w:r>
        <w:rPr>
          <w:rFonts w:ascii="宋体" w:hAnsi="宋体" w:cs="宋体" w:eastAsia="宋体" w:hint="default"/>
          <w:b/>
          <w:bCs/>
          <w:w w:val="99"/>
          <w:sz w:val="28"/>
          <w:szCs w:val="28"/>
        </w:rPr>
        <w:t>股派发现金红利</w:t>
      </w:r>
      <w:r>
        <w:rPr>
          <w:rFonts w:ascii="宋体" w:hAnsi="宋体" w:cs="宋体" w:eastAsia="宋体" w:hint="default"/>
          <w:b/>
          <w:bCs/>
          <w:spacing w:val="-66"/>
          <w:w w:val="99"/>
          <w:sz w:val="28"/>
          <w:szCs w:val="28"/>
        </w:rPr>
        <w:t> </w:t>
      </w:r>
      <w:r>
        <w:rPr>
          <w:rFonts w:ascii="Times New Roman" w:hAnsi="Times New Roman" w:cs="Times New Roman" w:eastAsia="Times New Roman" w:hint="default"/>
          <w:b/>
          <w:bCs/>
          <w:sz w:val="28"/>
          <w:szCs w:val="28"/>
        </w:rPr>
        <w:t>0</w:t>
      </w:r>
      <w:r>
        <w:rPr>
          <w:rFonts w:ascii="Times New Roman" w:hAnsi="Times New Roman" w:cs="Times New Roman" w:eastAsia="Times New Roman" w:hint="default"/>
          <w:b/>
          <w:bCs/>
          <w:spacing w:val="2"/>
          <w:sz w:val="28"/>
          <w:szCs w:val="28"/>
        </w:rPr>
        <w:t> </w:t>
      </w:r>
      <w:r>
        <w:rPr>
          <w:rFonts w:ascii="宋体" w:hAnsi="宋体" w:cs="宋体" w:eastAsia="宋体" w:hint="default"/>
          <w:b/>
          <w:bCs/>
          <w:spacing w:val="-19"/>
          <w:w w:val="99"/>
          <w:sz w:val="28"/>
          <w:szCs w:val="28"/>
        </w:rPr>
        <w:t>元（含税），送红股</w:t>
      </w:r>
      <w:r>
        <w:rPr>
          <w:rFonts w:ascii="宋体" w:hAnsi="宋体" w:cs="宋体" w:eastAsia="宋体" w:hint="default"/>
          <w:b/>
          <w:bCs/>
          <w:spacing w:val="-66"/>
          <w:w w:val="99"/>
          <w:sz w:val="28"/>
          <w:szCs w:val="28"/>
        </w:rPr>
        <w:t> </w:t>
      </w:r>
      <w:r>
        <w:rPr>
          <w:rFonts w:ascii="Times New Roman" w:hAnsi="Times New Roman" w:cs="Times New Roman" w:eastAsia="Times New Roman" w:hint="default"/>
          <w:b/>
          <w:bCs/>
          <w:sz w:val="28"/>
          <w:szCs w:val="28"/>
        </w:rPr>
        <w:t>0</w:t>
      </w:r>
      <w:r>
        <w:rPr>
          <w:rFonts w:ascii="Times New Roman" w:hAnsi="Times New Roman" w:cs="Times New Roman" w:eastAsia="Times New Roman" w:hint="default"/>
          <w:b/>
          <w:bCs/>
          <w:spacing w:val="2"/>
          <w:sz w:val="28"/>
          <w:szCs w:val="28"/>
        </w:rPr>
        <w:t> </w:t>
      </w:r>
      <w:r>
        <w:rPr>
          <w:rFonts w:ascii="宋体" w:hAnsi="宋体" w:cs="宋体" w:eastAsia="宋体" w:hint="default"/>
          <w:b/>
          <w:bCs/>
          <w:spacing w:val="-17"/>
          <w:w w:val="99"/>
          <w:sz w:val="28"/>
          <w:szCs w:val="28"/>
        </w:rPr>
        <w:t>股（含税），不以公积</w:t>
      </w:r>
      <w:r>
        <w:rPr>
          <w:rFonts w:ascii="宋体" w:hAnsi="宋体" w:cs="宋体" w:eastAsia="宋体" w:hint="default"/>
          <w:b/>
          <w:bCs/>
          <w:w w:val="99"/>
          <w:sz w:val="28"/>
          <w:szCs w:val="28"/>
        </w:rPr>
        <w:t> </w:t>
      </w:r>
      <w:r>
        <w:rPr>
          <w:rFonts w:ascii="宋体" w:hAnsi="宋体" w:cs="宋体" w:eastAsia="宋体" w:hint="default"/>
          <w:b/>
          <w:bCs/>
          <w:sz w:val="28"/>
          <w:szCs w:val="28"/>
        </w:rPr>
        <w:t>金转增股本。</w:t>
      </w:r>
      <w:r>
        <w:rPr>
          <w:rFonts w:ascii="宋体" w:hAnsi="宋体" w:cs="宋体" w:eastAsia="宋体" w:hint="default"/>
          <w:sz w:val="28"/>
          <w:szCs w:val="28"/>
        </w:rPr>
      </w:r>
    </w:p>
    <w:p>
      <w:pPr>
        <w:spacing w:after="0" w:line="386" w:lineRule="auto"/>
        <w:jc w:val="both"/>
        <w:rPr>
          <w:rFonts w:ascii="宋体" w:hAnsi="宋体" w:cs="宋体" w:eastAsia="宋体" w:hint="default"/>
          <w:sz w:val="28"/>
          <w:szCs w:val="28"/>
        </w:rPr>
        <w:sectPr>
          <w:footerReference w:type="default" r:id="rId8"/>
          <w:pgSz w:w="11910" w:h="16840"/>
          <w:pgMar w:footer="1018" w:header="786" w:top="1100" w:bottom="1200" w:left="1020" w:right="0"/>
          <w:pgNumType w:start="2"/>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7"/>
          <w:szCs w:val="27"/>
        </w:rPr>
      </w:pPr>
    </w:p>
    <w:p>
      <w:pPr>
        <w:spacing w:line="460" w:lineRule="exact" w:before="0"/>
        <w:ind w:left="0" w:right="1019" w:firstLine="0"/>
        <w:jc w:val="center"/>
        <w:rPr>
          <w:rFonts w:ascii="宋体" w:hAnsi="宋体" w:cs="宋体" w:eastAsia="宋体" w:hint="default"/>
          <w:sz w:val="36"/>
          <w:szCs w:val="36"/>
        </w:rPr>
      </w:pPr>
      <w:r>
        <w:rPr>
          <w:rFonts w:ascii="宋体" w:hAnsi="宋体" w:cs="宋体" w:eastAsia="宋体" w:hint="default"/>
          <w:b/>
          <w:bCs/>
          <w:sz w:val="36"/>
          <w:szCs w:val="36"/>
        </w:rPr>
        <w:t>目录</w:t>
      </w:r>
      <w:r>
        <w:rPr>
          <w:rFonts w:ascii="宋体" w:hAnsi="宋体" w:cs="宋体" w:eastAsia="宋体" w:hint="default"/>
          <w:sz w:val="36"/>
          <w:szCs w:val="36"/>
        </w:rPr>
      </w:r>
    </w:p>
    <w:p>
      <w:pPr>
        <w:spacing w:line="240" w:lineRule="auto" w:before="0"/>
        <w:rPr>
          <w:rFonts w:ascii="宋体" w:hAnsi="宋体" w:cs="宋体" w:eastAsia="宋体" w:hint="default"/>
          <w:b/>
          <w:bCs/>
          <w:sz w:val="36"/>
          <w:szCs w:val="36"/>
        </w:rPr>
      </w:pPr>
    </w:p>
    <w:p>
      <w:pPr>
        <w:spacing w:line="240" w:lineRule="auto" w:before="0"/>
        <w:rPr>
          <w:rFonts w:ascii="宋体" w:hAnsi="宋体" w:cs="宋体" w:eastAsia="宋体" w:hint="default"/>
          <w:b/>
          <w:bCs/>
          <w:sz w:val="36"/>
          <w:szCs w:val="36"/>
        </w:rPr>
      </w:pPr>
    </w:p>
    <w:p>
      <w:pPr>
        <w:spacing w:line="240" w:lineRule="auto" w:before="3"/>
        <w:rPr>
          <w:rFonts w:ascii="宋体" w:hAnsi="宋体" w:cs="宋体" w:eastAsia="宋体" w:hint="default"/>
          <w:b/>
          <w:bCs/>
          <w:sz w:val="42"/>
          <w:szCs w:val="42"/>
        </w:rPr>
      </w:pPr>
    </w:p>
    <w:sdt>
      <w:sdtPr>
        <w:docPartObj>
          <w:docPartGallery w:val="Table of Contents"/>
          <w:docPartUnique/>
        </w:docPartObj>
      </w:sdtPr>
      <w:sdtEndPr/>
      <w:sdtContent>
        <w:p>
          <w:pPr>
            <w:pStyle w:val="TOC1"/>
            <w:tabs>
              <w:tab w:pos="9741" w:val="right" w:leader="dot"/>
            </w:tabs>
            <w:spacing w:line="240" w:lineRule="auto" w:before="0"/>
            <w:ind w:right="0"/>
            <w:jc w:val="left"/>
            <w:rPr>
              <w:rFonts w:ascii="Times New Roman" w:hAnsi="Times New Roman" w:cs="Times New Roman" w:eastAsia="Times New Roman" w:hint="default"/>
              <w:b w:val="0"/>
              <w:bCs w:val="0"/>
            </w:rPr>
          </w:pPr>
          <w:r>
            <w:fldChar w:fldCharType="begin"/>
          </w:r>
          <w:r>
            <w:instrText>TOC \o "1-1" \h \z \u </w:instrText>
          </w:r>
          <w:r>
            <w:fldChar w:fldCharType="separate"/>
          </w:r>
          <w:hyperlink w:history="true" w:anchor="_TOC_250012">
            <w:r>
              <w:rPr/>
              <w:t>第一节</w:t>
            </w:r>
            <w:r>
              <w:rPr>
                <w:spacing w:val="-3"/>
              </w:rPr>
              <w:t> </w:t>
            </w:r>
            <w:r>
              <w:rPr/>
              <w:t>重要提示、目录和释义</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3</w:t>
            </w:r>
            <w:r>
              <w:rPr>
                <w:rFonts w:ascii="Times New Roman" w:hAnsi="Times New Roman" w:cs="Times New Roman" w:eastAsia="Times New Roman" w:hint="default"/>
                <w:b w:val="0"/>
                <w:bCs w:val="0"/>
              </w:rPr>
            </w:r>
          </w:hyperlink>
        </w:p>
        <w:p>
          <w:pPr>
            <w:pStyle w:val="TOC1"/>
            <w:tabs>
              <w:tab w:pos="9741" w:val="right" w:leader="dot"/>
            </w:tabs>
            <w:spacing w:line="240" w:lineRule="auto"/>
            <w:ind w:right="0"/>
            <w:jc w:val="left"/>
            <w:rPr>
              <w:rFonts w:ascii="Times New Roman" w:hAnsi="Times New Roman" w:cs="Times New Roman" w:eastAsia="Times New Roman" w:hint="default"/>
              <w:b w:val="0"/>
              <w:bCs w:val="0"/>
            </w:rPr>
          </w:pPr>
          <w:hyperlink w:history="true" w:anchor="_TOC_250011">
            <w:r>
              <w:rPr/>
              <w:t>第二节</w:t>
            </w:r>
            <w:r>
              <w:rPr>
                <w:spacing w:val="-3"/>
              </w:rPr>
              <w:t> </w:t>
            </w:r>
            <w:r>
              <w:rPr/>
              <w:t>公司简介和主要财务指标</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9</w:t>
            </w:r>
            <w:r>
              <w:rPr>
                <w:rFonts w:ascii="Times New Roman" w:hAnsi="Times New Roman" w:cs="Times New Roman" w:eastAsia="Times New Roman" w:hint="default"/>
                <w:b w:val="0"/>
                <w:bCs w:val="0"/>
              </w:rPr>
            </w:r>
          </w:hyperlink>
        </w:p>
        <w:p>
          <w:pPr>
            <w:pStyle w:val="TOC1"/>
            <w:tabs>
              <w:tab w:pos="9741" w:val="right" w:leader="dot"/>
            </w:tabs>
            <w:spacing w:line="240" w:lineRule="auto"/>
            <w:ind w:right="0"/>
            <w:jc w:val="left"/>
            <w:rPr>
              <w:rFonts w:ascii="Times New Roman" w:hAnsi="Times New Roman" w:cs="Times New Roman" w:eastAsia="Times New Roman" w:hint="default"/>
              <w:b w:val="0"/>
              <w:bCs w:val="0"/>
            </w:rPr>
          </w:pPr>
          <w:hyperlink w:history="true" w:anchor="_TOC_250010">
            <w:r>
              <w:rPr/>
              <w:t>第三节</w:t>
            </w:r>
            <w:r>
              <w:rPr>
                <w:spacing w:val="-3"/>
              </w:rPr>
              <w:t> </w:t>
            </w:r>
            <w:r>
              <w:rPr/>
              <w:t>公司业务概要</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9</w:t>
            </w:r>
            <w:r>
              <w:rPr>
                <w:rFonts w:ascii="Times New Roman" w:hAnsi="Times New Roman" w:cs="Times New Roman" w:eastAsia="Times New Roman" w:hint="default"/>
                <w:b w:val="0"/>
                <w:bCs w:val="0"/>
              </w:rPr>
            </w:r>
          </w:hyperlink>
        </w:p>
        <w:p>
          <w:pPr>
            <w:pStyle w:val="TOC1"/>
            <w:tabs>
              <w:tab w:pos="9741" w:val="right" w:leader="dot"/>
            </w:tabs>
            <w:spacing w:line="240" w:lineRule="auto"/>
            <w:ind w:right="0"/>
            <w:jc w:val="left"/>
            <w:rPr>
              <w:rFonts w:ascii="Times New Roman" w:hAnsi="Times New Roman" w:cs="Times New Roman" w:eastAsia="Times New Roman" w:hint="default"/>
              <w:b w:val="0"/>
              <w:bCs w:val="0"/>
            </w:rPr>
          </w:pPr>
          <w:hyperlink w:history="true" w:anchor="_TOC_250009">
            <w:r>
              <w:rPr/>
              <w:t>第四节</w:t>
            </w:r>
            <w:r>
              <w:rPr>
                <w:spacing w:val="-3"/>
              </w:rPr>
              <w:t> </w:t>
            </w:r>
            <w:r>
              <w:rPr/>
              <w:t>经营情况讨论与分析</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12</w:t>
            </w:r>
            <w:r>
              <w:rPr>
                <w:rFonts w:ascii="Times New Roman" w:hAnsi="Times New Roman" w:cs="Times New Roman" w:eastAsia="Times New Roman" w:hint="default"/>
                <w:b w:val="0"/>
                <w:bCs w:val="0"/>
              </w:rPr>
            </w:r>
          </w:hyperlink>
        </w:p>
        <w:p>
          <w:pPr>
            <w:pStyle w:val="TOC1"/>
            <w:tabs>
              <w:tab w:pos="9741" w:val="right" w:leader="dot"/>
            </w:tabs>
            <w:spacing w:line="240" w:lineRule="auto"/>
            <w:ind w:right="0"/>
            <w:jc w:val="left"/>
            <w:rPr>
              <w:rFonts w:ascii="Times New Roman" w:hAnsi="Times New Roman" w:cs="Times New Roman" w:eastAsia="Times New Roman" w:hint="default"/>
              <w:b w:val="0"/>
              <w:bCs w:val="0"/>
            </w:rPr>
          </w:pPr>
          <w:hyperlink w:history="true" w:anchor="_TOC_250008">
            <w:r>
              <w:rPr/>
              <w:t>第五节</w:t>
            </w:r>
            <w:r>
              <w:rPr>
                <w:spacing w:val="-3"/>
              </w:rPr>
              <w:t> </w:t>
            </w:r>
            <w:r>
              <w:rPr/>
              <w:t>重要事项</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28</w:t>
            </w:r>
            <w:r>
              <w:rPr>
                <w:rFonts w:ascii="Times New Roman" w:hAnsi="Times New Roman" w:cs="Times New Roman" w:eastAsia="Times New Roman" w:hint="default"/>
                <w:b w:val="0"/>
                <w:bCs w:val="0"/>
              </w:rPr>
            </w:r>
          </w:hyperlink>
        </w:p>
        <w:p>
          <w:pPr>
            <w:pStyle w:val="TOC1"/>
            <w:tabs>
              <w:tab w:pos="9741" w:val="right" w:leader="dot"/>
            </w:tabs>
            <w:spacing w:line="240" w:lineRule="auto"/>
            <w:ind w:right="0"/>
            <w:jc w:val="left"/>
            <w:rPr>
              <w:rFonts w:ascii="Times New Roman" w:hAnsi="Times New Roman" w:cs="Times New Roman" w:eastAsia="Times New Roman" w:hint="default"/>
              <w:b w:val="0"/>
              <w:bCs w:val="0"/>
            </w:rPr>
          </w:pPr>
          <w:hyperlink w:history="true" w:anchor="_TOC_250007">
            <w:r>
              <w:rPr/>
              <w:t>第六节</w:t>
            </w:r>
            <w:r>
              <w:rPr>
                <w:spacing w:val="-3"/>
              </w:rPr>
              <w:t> </w:t>
            </w:r>
            <w:r>
              <w:rPr/>
              <w:t>股份变动及股东情况</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40</w:t>
            </w:r>
            <w:r>
              <w:rPr>
                <w:rFonts w:ascii="Times New Roman" w:hAnsi="Times New Roman" w:cs="Times New Roman" w:eastAsia="Times New Roman" w:hint="default"/>
                <w:b w:val="0"/>
                <w:bCs w:val="0"/>
              </w:rPr>
            </w:r>
          </w:hyperlink>
        </w:p>
        <w:p>
          <w:pPr>
            <w:pStyle w:val="TOC1"/>
            <w:tabs>
              <w:tab w:pos="9741" w:val="right" w:leader="dot"/>
            </w:tabs>
            <w:spacing w:line="240" w:lineRule="auto"/>
            <w:ind w:right="0"/>
            <w:jc w:val="left"/>
            <w:rPr>
              <w:rFonts w:ascii="Times New Roman" w:hAnsi="Times New Roman" w:cs="Times New Roman" w:eastAsia="Times New Roman" w:hint="default"/>
              <w:b w:val="0"/>
              <w:bCs w:val="0"/>
            </w:rPr>
          </w:pPr>
          <w:hyperlink w:history="true" w:anchor="_TOC_250006">
            <w:r>
              <w:rPr/>
              <w:t>第七节</w:t>
            </w:r>
            <w:r>
              <w:rPr>
                <w:spacing w:val="-3"/>
              </w:rPr>
              <w:t> </w:t>
            </w:r>
            <w:r>
              <w:rPr/>
              <w:t>优先股相关情况</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46</w:t>
            </w:r>
            <w:r>
              <w:rPr>
                <w:rFonts w:ascii="Times New Roman" w:hAnsi="Times New Roman" w:cs="Times New Roman" w:eastAsia="Times New Roman" w:hint="default"/>
                <w:b w:val="0"/>
                <w:bCs w:val="0"/>
              </w:rPr>
            </w:r>
          </w:hyperlink>
        </w:p>
        <w:p>
          <w:pPr>
            <w:pStyle w:val="TOC1"/>
            <w:tabs>
              <w:tab w:pos="9741" w:val="right" w:leader="dot"/>
            </w:tabs>
            <w:spacing w:line="240" w:lineRule="auto"/>
            <w:ind w:right="0"/>
            <w:jc w:val="left"/>
            <w:rPr>
              <w:rFonts w:ascii="Times New Roman" w:hAnsi="Times New Roman" w:cs="Times New Roman" w:eastAsia="Times New Roman" w:hint="default"/>
              <w:b w:val="0"/>
              <w:bCs w:val="0"/>
            </w:rPr>
          </w:pPr>
          <w:hyperlink w:history="true" w:anchor="_TOC_250005">
            <w:r>
              <w:rPr/>
              <w:t>第八节</w:t>
            </w:r>
            <w:r>
              <w:rPr>
                <w:spacing w:val="-3"/>
              </w:rPr>
              <w:t> </w:t>
            </w:r>
            <w:r>
              <w:rPr/>
              <w:t>可转换公司债券相关情况</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47</w:t>
            </w:r>
            <w:r>
              <w:rPr>
                <w:rFonts w:ascii="Times New Roman" w:hAnsi="Times New Roman" w:cs="Times New Roman" w:eastAsia="Times New Roman" w:hint="default"/>
                <w:b w:val="0"/>
                <w:bCs w:val="0"/>
              </w:rPr>
            </w:r>
          </w:hyperlink>
        </w:p>
        <w:p>
          <w:pPr>
            <w:pStyle w:val="TOC1"/>
            <w:tabs>
              <w:tab w:pos="9741" w:val="right" w:leader="dot"/>
            </w:tabs>
            <w:spacing w:line="240" w:lineRule="auto"/>
            <w:ind w:right="0"/>
            <w:jc w:val="left"/>
            <w:rPr>
              <w:rFonts w:ascii="Times New Roman" w:hAnsi="Times New Roman" w:cs="Times New Roman" w:eastAsia="Times New Roman" w:hint="default"/>
              <w:b w:val="0"/>
              <w:bCs w:val="0"/>
            </w:rPr>
          </w:pPr>
          <w:hyperlink w:history="true" w:anchor="_TOC_250004">
            <w:r>
              <w:rPr/>
              <w:t>第九节</w:t>
            </w:r>
            <w:r>
              <w:rPr>
                <w:spacing w:val="-3"/>
              </w:rPr>
              <w:t> </w:t>
            </w:r>
            <w:r>
              <w:rPr/>
              <w:t>董事、监事、高级管理人员和员工情况</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48</w:t>
            </w:r>
            <w:r>
              <w:rPr>
                <w:rFonts w:ascii="Times New Roman" w:hAnsi="Times New Roman" w:cs="Times New Roman" w:eastAsia="Times New Roman" w:hint="default"/>
                <w:b w:val="0"/>
                <w:bCs w:val="0"/>
              </w:rPr>
            </w:r>
          </w:hyperlink>
        </w:p>
        <w:p>
          <w:pPr>
            <w:pStyle w:val="TOC1"/>
            <w:tabs>
              <w:tab w:pos="9741" w:val="right" w:leader="dot"/>
            </w:tabs>
            <w:spacing w:line="240" w:lineRule="auto"/>
            <w:ind w:right="0"/>
            <w:jc w:val="left"/>
            <w:rPr>
              <w:rFonts w:ascii="Times New Roman" w:hAnsi="Times New Roman" w:cs="Times New Roman" w:eastAsia="Times New Roman" w:hint="default"/>
              <w:b w:val="0"/>
              <w:bCs w:val="0"/>
            </w:rPr>
          </w:pPr>
          <w:hyperlink w:history="true" w:anchor="_TOC_250003">
            <w:r>
              <w:rPr/>
              <w:t>第十节</w:t>
            </w:r>
            <w:r>
              <w:rPr>
                <w:spacing w:val="-3"/>
              </w:rPr>
              <w:t> </w:t>
            </w:r>
            <w:r>
              <w:rPr/>
              <w:t>公司治理</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53</w:t>
            </w:r>
            <w:r>
              <w:rPr>
                <w:rFonts w:ascii="Times New Roman" w:hAnsi="Times New Roman" w:cs="Times New Roman" w:eastAsia="Times New Roman" w:hint="default"/>
                <w:b w:val="0"/>
                <w:bCs w:val="0"/>
              </w:rPr>
            </w:r>
          </w:hyperlink>
        </w:p>
        <w:p>
          <w:pPr>
            <w:pStyle w:val="TOC1"/>
            <w:tabs>
              <w:tab w:pos="9741" w:val="right" w:leader="dot"/>
            </w:tabs>
            <w:spacing w:line="240" w:lineRule="auto"/>
            <w:ind w:right="0"/>
            <w:jc w:val="left"/>
            <w:rPr>
              <w:rFonts w:ascii="Times New Roman" w:hAnsi="Times New Roman" w:cs="Times New Roman" w:eastAsia="Times New Roman" w:hint="default"/>
              <w:b w:val="0"/>
              <w:bCs w:val="0"/>
            </w:rPr>
          </w:pPr>
          <w:hyperlink w:history="true" w:anchor="_TOC_250002">
            <w:r>
              <w:rPr/>
              <w:t>第十一节</w:t>
            </w:r>
            <w:r>
              <w:rPr>
                <w:spacing w:val="-3"/>
              </w:rPr>
              <w:t> </w:t>
            </w:r>
            <w:r>
              <w:rPr/>
              <w:t>公司债券相关情况</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59</w:t>
            </w:r>
            <w:r>
              <w:rPr>
                <w:rFonts w:ascii="Times New Roman" w:hAnsi="Times New Roman" w:cs="Times New Roman" w:eastAsia="Times New Roman" w:hint="default"/>
                <w:b w:val="0"/>
                <w:bCs w:val="0"/>
              </w:rPr>
            </w:r>
          </w:hyperlink>
        </w:p>
        <w:p>
          <w:pPr>
            <w:pStyle w:val="TOC1"/>
            <w:tabs>
              <w:tab w:pos="9741" w:val="right" w:leader="dot"/>
            </w:tabs>
            <w:spacing w:line="240" w:lineRule="auto"/>
            <w:ind w:right="0"/>
            <w:jc w:val="left"/>
            <w:rPr>
              <w:rFonts w:ascii="Times New Roman" w:hAnsi="Times New Roman" w:cs="Times New Roman" w:eastAsia="Times New Roman" w:hint="default"/>
              <w:b w:val="0"/>
              <w:bCs w:val="0"/>
            </w:rPr>
          </w:pPr>
          <w:hyperlink w:history="true" w:anchor="_TOC_250001">
            <w:r>
              <w:rPr/>
              <w:t>第十二节</w:t>
            </w:r>
            <w:r>
              <w:rPr>
                <w:spacing w:val="-3"/>
              </w:rPr>
              <w:t> </w:t>
            </w:r>
            <w:r>
              <w:rPr/>
              <w:t>财务报告</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60</w:t>
            </w:r>
            <w:r>
              <w:rPr>
                <w:rFonts w:ascii="Times New Roman" w:hAnsi="Times New Roman" w:cs="Times New Roman" w:eastAsia="Times New Roman" w:hint="default"/>
                <w:b w:val="0"/>
                <w:bCs w:val="0"/>
              </w:rPr>
            </w:r>
          </w:hyperlink>
        </w:p>
        <w:p>
          <w:pPr>
            <w:pStyle w:val="TOC1"/>
            <w:tabs>
              <w:tab w:pos="9741" w:val="right" w:leader="dot"/>
            </w:tabs>
            <w:spacing w:line="240" w:lineRule="auto"/>
            <w:ind w:right="0"/>
            <w:jc w:val="left"/>
            <w:rPr>
              <w:rFonts w:ascii="Times New Roman" w:hAnsi="Times New Roman" w:cs="Times New Roman" w:eastAsia="Times New Roman" w:hint="default"/>
              <w:b w:val="0"/>
              <w:bCs w:val="0"/>
            </w:rPr>
          </w:pPr>
          <w:hyperlink w:history="true" w:anchor="_TOC_250000">
            <w:r>
              <w:rPr/>
              <w:t>第十三节</w:t>
            </w:r>
            <w:r>
              <w:rPr>
                <w:spacing w:val="-3"/>
              </w:rPr>
              <w:t> </w:t>
            </w:r>
            <w:r>
              <w:rPr/>
              <w:t>备查文件目录</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195</w:t>
            </w:r>
            <w:r>
              <w:rPr>
                <w:rFonts w:ascii="Times New Roman" w:hAnsi="Times New Roman" w:cs="Times New Roman" w:eastAsia="Times New Roman" w:hint="default"/>
                <w:b w:val="0"/>
                <w:bCs w:val="0"/>
              </w:rPr>
            </w:r>
          </w:hyperlink>
        </w:p>
        <w:p>
          <w:pPr/>
          <w:r>
            <w:fldChar w:fldCharType="end"/>
          </w:r>
        </w:p>
      </w:sdtContent>
    </w:sdt>
    <w:p>
      <w:pPr>
        <w:spacing w:after="0"/>
        <w:sectPr>
          <w:pgSz w:w="11910" w:h="16840"/>
          <w:pgMar w:header="786" w:footer="1018" w:top="1100" w:bottom="1200" w:left="1020" w:right="0"/>
        </w:sectPr>
      </w:pPr>
    </w:p>
    <w:p>
      <w:pPr>
        <w:spacing w:before="907"/>
        <w:ind w:left="0" w:right="1019" w:firstLine="0"/>
        <w:jc w:val="center"/>
        <w:rPr>
          <w:rFonts w:ascii="宋体" w:hAnsi="宋体" w:cs="宋体" w:eastAsia="宋体" w:hint="default"/>
          <w:sz w:val="32"/>
          <w:szCs w:val="32"/>
        </w:rPr>
      </w:pPr>
      <w:r>
        <w:rPr>
          <w:rFonts w:ascii="宋体" w:hAnsi="宋体" w:cs="宋体" w:eastAsia="宋体" w:hint="default"/>
          <w:b/>
          <w:bCs/>
          <w:sz w:val="32"/>
          <w:szCs w:val="32"/>
        </w:rPr>
        <w:t>释义</w:t>
      </w:r>
      <w:r>
        <w:rPr>
          <w:rFonts w:ascii="宋体" w:hAnsi="宋体" w:cs="宋体" w:eastAsia="宋体" w:hint="default"/>
          <w:sz w:val="32"/>
          <w:szCs w:val="3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3524"/>
        <w:gridCol w:w="621"/>
        <w:gridCol w:w="5424"/>
      </w:tblGrid>
      <w:tr>
        <w:trPr>
          <w:trHeight w:val="402" w:hRule="exact"/>
        </w:trPr>
        <w:tc>
          <w:tcPr>
            <w:tcW w:w="352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释义项</w:t>
            </w:r>
          </w:p>
        </w:tc>
        <w:tc>
          <w:tcPr>
            <w:tcW w:w="62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释义内容</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公司或本公司或恒宝股份</w:t>
            </w:r>
          </w:p>
        </w:tc>
        <w:tc>
          <w:tcPr>
            <w:tcW w:w="62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恒宝股份有限公司</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《公司法》</w:t>
            </w:r>
          </w:p>
        </w:tc>
        <w:tc>
          <w:tcPr>
            <w:tcW w:w="62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中华人民共和国公司法</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《证券法》</w:t>
            </w:r>
          </w:p>
        </w:tc>
        <w:tc>
          <w:tcPr>
            <w:tcW w:w="62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中华人民共和国证券法</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《公司章程》</w:t>
            </w:r>
          </w:p>
        </w:tc>
        <w:tc>
          <w:tcPr>
            <w:tcW w:w="62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恒宝股份有限公司章程</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中国证监会或证监会</w:t>
            </w:r>
          </w:p>
        </w:tc>
        <w:tc>
          <w:tcPr>
            <w:tcW w:w="62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中国证券监督管理委员会</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交易所或深交所</w:t>
            </w:r>
          </w:p>
        </w:tc>
        <w:tc>
          <w:tcPr>
            <w:tcW w:w="62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深圳证券交易所</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新加坡国际</w:t>
            </w:r>
          </w:p>
        </w:tc>
        <w:tc>
          <w:tcPr>
            <w:tcW w:w="62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恒宝国际有限责任公司</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智能系统</w:t>
            </w:r>
          </w:p>
        </w:tc>
        <w:tc>
          <w:tcPr>
            <w:tcW w:w="62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江苏恒宝智能系统技术有限公司</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一卡易</w:t>
            </w:r>
          </w:p>
        </w:tc>
        <w:tc>
          <w:tcPr>
            <w:tcW w:w="62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深圳一卡易科技股份有限公司</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一卡易网络</w:t>
            </w:r>
          </w:p>
        </w:tc>
        <w:tc>
          <w:tcPr>
            <w:tcW w:w="62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深圳一卡易网络科技有限公司</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钱客多</w:t>
            </w:r>
          </w:p>
        </w:tc>
        <w:tc>
          <w:tcPr>
            <w:tcW w:w="62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深圳钱客多科技有限公司</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云宝金服</w:t>
            </w:r>
          </w:p>
        </w:tc>
        <w:tc>
          <w:tcPr>
            <w:tcW w:w="62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云宝金服（北京）科技有限公司</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报告期</w:t>
            </w:r>
          </w:p>
        </w:tc>
        <w:tc>
          <w:tcPr>
            <w:tcW w:w="62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r>
    </w:tbl>
    <w:p>
      <w:pPr>
        <w:spacing w:after="0" w:line="240" w:lineRule="auto"/>
        <w:jc w:val="left"/>
        <w:rPr>
          <w:rFonts w:ascii="宋体" w:hAnsi="宋体" w:cs="宋体" w:eastAsia="宋体" w:hint="default"/>
          <w:sz w:val="18"/>
          <w:szCs w:val="18"/>
        </w:rPr>
        <w:sectPr>
          <w:headerReference w:type="default" r:id="rId9"/>
          <w:pgSz w:w="11910" w:h="16840"/>
          <w:pgMar w:header="906" w:footer="1018" w:top="1100" w:bottom="1200" w:left="1020" w:right="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7"/>
          <w:szCs w:val="17"/>
        </w:rPr>
      </w:pPr>
    </w:p>
    <w:p>
      <w:pPr>
        <w:pStyle w:val="Heading1"/>
        <w:spacing w:line="240" w:lineRule="auto"/>
        <w:ind w:left="2685" w:right="0"/>
        <w:jc w:val="left"/>
        <w:rPr>
          <w:b w:val="0"/>
          <w:bCs w:val="0"/>
        </w:rPr>
      </w:pPr>
      <w:bookmarkStart w:name="_TOC_250011" w:id="2"/>
      <w:r>
        <w:rPr/>
        <w:t>第二节公司简介和主要财务指标</w:t>
      </w:r>
      <w:bookmarkEnd w:id="2"/>
      <w:r>
        <w:rPr>
          <w:b w:val="0"/>
          <w:bCs w:val="0"/>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6"/>
          <w:szCs w:val="16"/>
        </w:rPr>
      </w:pPr>
    </w:p>
    <w:p>
      <w:pPr>
        <w:pStyle w:val="Heading2"/>
        <w:spacing w:line="240" w:lineRule="auto" w:before="26"/>
        <w:ind w:right="0"/>
        <w:jc w:val="left"/>
        <w:rPr>
          <w:b w:val="0"/>
          <w:bCs w:val="0"/>
        </w:rPr>
      </w:pPr>
      <w:r>
        <w:rPr/>
        <w:t>一、公司信息</w:t>
      </w:r>
      <w:r>
        <w:rPr>
          <w:b w:val="0"/>
          <w:bCs w:val="0"/>
        </w:rPr>
      </w:r>
    </w:p>
    <w:p>
      <w:pPr>
        <w:spacing w:line="240" w:lineRule="auto" w:before="11"/>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2284"/>
        <w:gridCol w:w="2953"/>
        <w:gridCol w:w="2156"/>
        <w:gridCol w:w="2176"/>
      </w:tblGrid>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股票简称</w:t>
            </w:r>
          </w:p>
        </w:tc>
        <w:tc>
          <w:tcPr>
            <w:tcW w:w="2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恒宝股份</w:t>
            </w:r>
          </w:p>
        </w:tc>
        <w:tc>
          <w:tcPr>
            <w:tcW w:w="215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股票代码</w:t>
            </w:r>
          </w:p>
        </w:tc>
        <w:tc>
          <w:tcPr>
            <w:tcW w:w="2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03" w:right="0"/>
              <w:jc w:val="left"/>
              <w:rPr>
                <w:rFonts w:ascii="Times New Roman" w:hAnsi="Times New Roman" w:cs="Times New Roman" w:eastAsia="Times New Roman" w:hint="default"/>
                <w:sz w:val="18"/>
                <w:szCs w:val="18"/>
              </w:rPr>
            </w:pPr>
            <w:r>
              <w:rPr>
                <w:rFonts w:ascii="Times New Roman"/>
                <w:sz w:val="18"/>
              </w:rPr>
              <w:t>002104</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股票上市证券交易所</w:t>
            </w:r>
          </w:p>
        </w:tc>
        <w:tc>
          <w:tcPr>
            <w:tcW w:w="72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深圳证券交易所</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公司的中文名称</w:t>
            </w:r>
          </w:p>
        </w:tc>
        <w:tc>
          <w:tcPr>
            <w:tcW w:w="72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恒宝股份有限公司</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公司的中文简称</w:t>
            </w:r>
          </w:p>
        </w:tc>
        <w:tc>
          <w:tcPr>
            <w:tcW w:w="72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恒宝股份</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公司的外文名称（如有）</w:t>
            </w:r>
          </w:p>
        </w:tc>
        <w:tc>
          <w:tcPr>
            <w:tcW w:w="72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03" w:right="0"/>
              <w:jc w:val="left"/>
              <w:rPr>
                <w:rFonts w:ascii="Times New Roman" w:hAnsi="Times New Roman" w:cs="Times New Roman" w:eastAsia="Times New Roman" w:hint="default"/>
                <w:sz w:val="18"/>
                <w:szCs w:val="18"/>
              </w:rPr>
            </w:pPr>
            <w:r>
              <w:rPr>
                <w:rFonts w:ascii="Times New Roman"/>
                <w:sz w:val="18"/>
              </w:rPr>
              <w:t>Hengbao</w:t>
            </w:r>
            <w:r>
              <w:rPr>
                <w:rFonts w:ascii="Times New Roman"/>
                <w:spacing w:val="5"/>
                <w:sz w:val="18"/>
              </w:rPr>
              <w:t> </w:t>
            </w:r>
            <w:r>
              <w:rPr>
                <w:rFonts w:ascii="Times New Roman"/>
                <w:spacing w:val="-3"/>
                <w:sz w:val="18"/>
              </w:rPr>
              <w:t>Co.,LTD.</w:t>
            </w:r>
          </w:p>
        </w:tc>
      </w:tr>
      <w:tr>
        <w:trPr>
          <w:trHeight w:val="714" w:hRule="exact"/>
        </w:trPr>
        <w:tc>
          <w:tcPr>
            <w:tcW w:w="22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02" w:right="190"/>
              <w:jc w:val="left"/>
              <w:rPr>
                <w:rFonts w:ascii="宋体" w:hAnsi="宋体" w:cs="宋体" w:eastAsia="宋体" w:hint="default"/>
                <w:sz w:val="18"/>
                <w:szCs w:val="18"/>
              </w:rPr>
            </w:pPr>
            <w:r>
              <w:rPr>
                <w:rFonts w:ascii="宋体" w:hAnsi="宋体" w:cs="宋体" w:eastAsia="宋体" w:hint="default"/>
                <w:sz w:val="18"/>
                <w:szCs w:val="18"/>
              </w:rPr>
              <w:t>公司的外文名称缩写（如 有）</w:t>
            </w:r>
          </w:p>
        </w:tc>
        <w:tc>
          <w:tcPr>
            <w:tcW w:w="72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Hengbao</w:t>
            </w:r>
            <w:r>
              <w:rPr>
                <w:rFonts w:ascii="Times New Roman"/>
                <w:spacing w:val="5"/>
                <w:sz w:val="18"/>
              </w:rPr>
              <w:t> </w:t>
            </w:r>
            <w:r>
              <w:rPr>
                <w:rFonts w:ascii="Times New Roman"/>
                <w:spacing w:val="-3"/>
                <w:sz w:val="18"/>
              </w:rPr>
              <w:t>Co.,LTD.</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公司的法定代表人</w:t>
            </w:r>
          </w:p>
        </w:tc>
        <w:tc>
          <w:tcPr>
            <w:tcW w:w="72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钱京</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注册地址</w:t>
            </w:r>
          </w:p>
        </w:tc>
        <w:tc>
          <w:tcPr>
            <w:tcW w:w="72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江苏省丹阳市横塘工业区</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注册地址的邮政编码</w:t>
            </w:r>
          </w:p>
        </w:tc>
        <w:tc>
          <w:tcPr>
            <w:tcW w:w="72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03" w:right="0"/>
              <w:jc w:val="left"/>
              <w:rPr>
                <w:rFonts w:ascii="Times New Roman" w:hAnsi="Times New Roman" w:cs="Times New Roman" w:eastAsia="Times New Roman" w:hint="default"/>
                <w:sz w:val="18"/>
                <w:szCs w:val="18"/>
              </w:rPr>
            </w:pPr>
            <w:r>
              <w:rPr>
                <w:rFonts w:ascii="Times New Roman"/>
                <w:sz w:val="18"/>
              </w:rPr>
              <w:t>212355</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办公地址</w:t>
            </w:r>
          </w:p>
        </w:tc>
        <w:tc>
          <w:tcPr>
            <w:tcW w:w="72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江苏省丹阳市横塘工业区</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办公地址的邮政编码</w:t>
            </w:r>
          </w:p>
        </w:tc>
        <w:tc>
          <w:tcPr>
            <w:tcW w:w="72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03" w:right="0"/>
              <w:jc w:val="left"/>
              <w:rPr>
                <w:rFonts w:ascii="Times New Roman" w:hAnsi="Times New Roman" w:cs="Times New Roman" w:eastAsia="Times New Roman" w:hint="default"/>
                <w:sz w:val="18"/>
                <w:szCs w:val="18"/>
              </w:rPr>
            </w:pPr>
            <w:r>
              <w:rPr>
                <w:rFonts w:ascii="Times New Roman"/>
                <w:sz w:val="18"/>
              </w:rPr>
              <w:t>212355</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公司网址</w:t>
            </w:r>
          </w:p>
        </w:tc>
        <w:tc>
          <w:tcPr>
            <w:tcW w:w="72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03" w:right="0"/>
              <w:jc w:val="left"/>
              <w:rPr>
                <w:rFonts w:ascii="Times New Roman" w:hAnsi="Times New Roman" w:cs="Times New Roman" w:eastAsia="Times New Roman" w:hint="default"/>
                <w:sz w:val="18"/>
                <w:szCs w:val="18"/>
              </w:rPr>
            </w:pPr>
            <w:hyperlink r:id="rId10">
              <w:r>
                <w:rPr>
                  <w:rFonts w:ascii="Times New Roman"/>
                  <w:sz w:val="18"/>
                </w:rPr>
                <w:t>http://www.hengbao.com</w:t>
              </w:r>
            </w:hyperlink>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72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03" w:right="0"/>
              <w:jc w:val="left"/>
              <w:rPr>
                <w:rFonts w:ascii="Times New Roman" w:hAnsi="Times New Roman" w:cs="Times New Roman" w:eastAsia="Times New Roman" w:hint="default"/>
                <w:sz w:val="18"/>
                <w:szCs w:val="18"/>
              </w:rPr>
            </w:pPr>
            <w:hyperlink r:id="rId11">
              <w:r>
                <w:rPr>
                  <w:rFonts w:ascii="Times New Roman"/>
                  <w:sz w:val="18"/>
                </w:rPr>
                <w:t>hengbao@hengbao.com</w:t>
              </w:r>
            </w:hyperlink>
          </w:p>
        </w:tc>
      </w:tr>
    </w:tbl>
    <w:p>
      <w:pPr>
        <w:spacing w:line="240" w:lineRule="auto" w:before="12"/>
        <w:rPr>
          <w:rFonts w:ascii="宋体" w:hAnsi="宋体" w:cs="宋体" w:eastAsia="宋体" w:hint="default"/>
          <w:b/>
          <w:bCs/>
          <w:sz w:val="17"/>
          <w:szCs w:val="17"/>
        </w:rPr>
      </w:pPr>
    </w:p>
    <w:p>
      <w:pPr>
        <w:pStyle w:val="Heading2"/>
        <w:spacing w:line="240" w:lineRule="auto" w:before="26"/>
        <w:ind w:right="0"/>
        <w:jc w:val="left"/>
        <w:rPr>
          <w:b w:val="0"/>
          <w:bCs w:val="0"/>
        </w:rPr>
      </w:pPr>
      <w:r>
        <w:rPr/>
        <w:t>二、联系人和联系方式</w:t>
      </w:r>
      <w:r>
        <w:rPr>
          <w:b w:val="0"/>
          <w:bCs w:val="0"/>
        </w:rPr>
      </w:r>
    </w:p>
    <w:p>
      <w:pPr>
        <w:spacing w:line="240" w:lineRule="auto" w:before="12"/>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董事会秘书</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50" w:right="0"/>
              <w:jc w:val="left"/>
              <w:rPr>
                <w:rFonts w:ascii="宋体" w:hAnsi="宋体" w:cs="宋体" w:eastAsia="宋体" w:hint="default"/>
                <w:sz w:val="18"/>
                <w:szCs w:val="18"/>
              </w:rPr>
            </w:pPr>
            <w:r>
              <w:rPr>
                <w:rFonts w:ascii="宋体" w:hAnsi="宋体" w:cs="宋体" w:eastAsia="宋体" w:hint="default"/>
                <w:sz w:val="18"/>
                <w:szCs w:val="18"/>
              </w:rPr>
              <w:t>证券事务代表</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陈妹妹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王坚</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联系地址</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江苏省丹阳市横塘工业区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江苏省丹阳市横塘工业区</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电话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2" w:right="0"/>
              <w:jc w:val="left"/>
              <w:rPr>
                <w:rFonts w:ascii="Times New Roman" w:hAnsi="Times New Roman" w:cs="Times New Roman" w:eastAsia="Times New Roman" w:hint="default"/>
                <w:sz w:val="18"/>
                <w:szCs w:val="18"/>
              </w:rPr>
            </w:pPr>
            <w:r>
              <w:rPr>
                <w:rFonts w:ascii="Times New Roman"/>
                <w:sz w:val="18"/>
              </w:rPr>
              <w:t>0511-86644324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0511-86644324</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传真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2" w:right="0"/>
              <w:jc w:val="left"/>
              <w:rPr>
                <w:rFonts w:ascii="Times New Roman" w:hAnsi="Times New Roman" w:cs="Times New Roman" w:eastAsia="Times New Roman" w:hint="default"/>
                <w:sz w:val="18"/>
                <w:szCs w:val="18"/>
              </w:rPr>
            </w:pPr>
            <w:r>
              <w:rPr>
                <w:rFonts w:ascii="Times New Roman"/>
                <w:sz w:val="18"/>
              </w:rPr>
              <w:t>0511-86644324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0511-86644324</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2" w:right="0"/>
              <w:jc w:val="left"/>
              <w:rPr>
                <w:rFonts w:ascii="Times New Roman" w:hAnsi="Times New Roman" w:cs="Times New Roman" w:eastAsia="Times New Roman" w:hint="default"/>
                <w:sz w:val="18"/>
                <w:szCs w:val="18"/>
              </w:rPr>
            </w:pPr>
            <w:hyperlink r:id="rId12">
              <w:r>
                <w:rPr>
                  <w:rFonts w:ascii="Times New Roman"/>
                  <w:sz w:val="18"/>
                </w:rPr>
                <w:t>ir@hengbao.com</w:t>
              </w:r>
            </w:hyperlink>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hyperlink r:id="rId12">
              <w:r>
                <w:rPr>
                  <w:rFonts w:ascii="Times New Roman"/>
                  <w:sz w:val="18"/>
                </w:rPr>
                <w:t>ir@hengbao.com</w:t>
              </w:r>
            </w:hyperlink>
          </w:p>
        </w:tc>
      </w:tr>
    </w:tbl>
    <w:p>
      <w:pPr>
        <w:spacing w:line="240" w:lineRule="auto" w:before="0"/>
        <w:rPr>
          <w:rFonts w:ascii="宋体" w:hAnsi="宋体" w:cs="宋体" w:eastAsia="宋体" w:hint="default"/>
          <w:b/>
          <w:bCs/>
          <w:sz w:val="18"/>
          <w:szCs w:val="18"/>
        </w:rPr>
      </w:pPr>
    </w:p>
    <w:p>
      <w:pPr>
        <w:pStyle w:val="Heading2"/>
        <w:spacing w:line="240" w:lineRule="auto" w:before="26"/>
        <w:ind w:right="0"/>
        <w:jc w:val="left"/>
        <w:rPr>
          <w:b w:val="0"/>
          <w:bCs w:val="0"/>
        </w:rPr>
      </w:pPr>
      <w:r>
        <w:rPr/>
        <w:t>三、信息披露及备置地点</w:t>
      </w:r>
      <w:r>
        <w:rPr>
          <w:b w:val="0"/>
          <w:bCs w:val="0"/>
        </w:rPr>
      </w:r>
    </w:p>
    <w:p>
      <w:pPr>
        <w:spacing w:line="240" w:lineRule="auto" w:before="11"/>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3992"/>
        <w:gridCol w:w="5576"/>
      </w:tblGrid>
      <w:tr>
        <w:trPr>
          <w:trHeight w:val="402" w:hRule="exact"/>
        </w:trPr>
        <w:tc>
          <w:tcPr>
            <w:tcW w:w="39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公司选定的信息披露媒体的名称</w:t>
            </w:r>
          </w:p>
        </w:tc>
        <w:tc>
          <w:tcPr>
            <w:tcW w:w="5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《中国证券报</w:t>
            </w:r>
            <w:r>
              <w:rPr>
                <w:rFonts w:ascii="宋体" w:hAnsi="宋体" w:cs="宋体" w:eastAsia="宋体" w:hint="default"/>
                <w:spacing w:val="-90"/>
                <w:sz w:val="18"/>
                <w:szCs w:val="18"/>
              </w:rPr>
              <w:t>》、</w:t>
            </w:r>
            <w:r>
              <w:rPr>
                <w:rFonts w:ascii="宋体" w:hAnsi="宋体" w:cs="宋体" w:eastAsia="宋体" w:hint="default"/>
                <w:sz w:val="18"/>
                <w:szCs w:val="18"/>
              </w:rPr>
              <w:t>《上海证券</w:t>
            </w:r>
            <w:r>
              <w:rPr>
                <w:rFonts w:ascii="宋体" w:hAnsi="宋体" w:cs="宋体" w:eastAsia="宋体" w:hint="default"/>
                <w:spacing w:val="-2"/>
                <w:sz w:val="18"/>
                <w:szCs w:val="18"/>
              </w:rPr>
              <w:t>报</w:t>
            </w:r>
            <w:r>
              <w:rPr>
                <w:rFonts w:ascii="宋体" w:hAnsi="宋体" w:cs="宋体" w:eastAsia="宋体" w:hint="default"/>
                <w:sz w:val="18"/>
                <w:szCs w:val="18"/>
              </w:rPr>
              <w:t>》</w:t>
            </w:r>
          </w:p>
        </w:tc>
      </w:tr>
      <w:tr>
        <w:trPr>
          <w:trHeight w:val="402" w:hRule="exact"/>
        </w:trPr>
        <w:tc>
          <w:tcPr>
            <w:tcW w:w="39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登载年度报告的中国证监会指定网站的网址</w:t>
            </w:r>
          </w:p>
        </w:tc>
        <w:tc>
          <w:tcPr>
            <w:tcW w:w="5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hyperlink r:id="rId13">
              <w:r>
                <w:rPr>
                  <w:rFonts w:ascii="Times New Roman"/>
                  <w:sz w:val="18"/>
                </w:rPr>
                <w:t>http://www.cninfo.com.cn</w:t>
              </w:r>
            </w:hyperlink>
          </w:p>
        </w:tc>
      </w:tr>
      <w:tr>
        <w:trPr>
          <w:trHeight w:val="402" w:hRule="exact"/>
        </w:trPr>
        <w:tc>
          <w:tcPr>
            <w:tcW w:w="39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公司年度报告备置地点</w:t>
            </w:r>
          </w:p>
        </w:tc>
        <w:tc>
          <w:tcPr>
            <w:tcW w:w="5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深圳证券交易所、江苏省丹阳市横塘工业区公司证券事务部</w:t>
            </w:r>
          </w:p>
        </w:tc>
      </w:tr>
    </w:tbl>
    <w:p>
      <w:pPr>
        <w:spacing w:after="0" w:line="240" w:lineRule="auto"/>
        <w:jc w:val="left"/>
        <w:rPr>
          <w:rFonts w:ascii="宋体" w:hAnsi="宋体" w:cs="宋体" w:eastAsia="宋体" w:hint="default"/>
          <w:sz w:val="18"/>
          <w:szCs w:val="18"/>
        </w:rPr>
        <w:sectPr>
          <w:pgSz w:w="11910" w:h="16840"/>
          <w:pgMar w:header="906" w:footer="1018" w:top="1100" w:bottom="1200" w:left="1020" w:right="0"/>
        </w:sectPr>
      </w:pPr>
    </w:p>
    <w:p>
      <w:pPr>
        <w:spacing w:line="240" w:lineRule="auto" w:before="8"/>
        <w:rPr>
          <w:rFonts w:ascii="宋体" w:hAnsi="宋体" w:cs="宋体" w:eastAsia="宋体" w:hint="default"/>
          <w:b/>
          <w:bCs/>
          <w:sz w:val="20"/>
          <w:szCs w:val="20"/>
        </w:rPr>
      </w:pPr>
    </w:p>
    <w:p>
      <w:pPr>
        <w:pStyle w:val="Heading2"/>
        <w:spacing w:line="240" w:lineRule="auto" w:before="26"/>
        <w:ind w:right="0"/>
        <w:jc w:val="left"/>
        <w:rPr>
          <w:b w:val="0"/>
          <w:bCs w:val="0"/>
        </w:rPr>
      </w:pPr>
      <w:r>
        <w:rPr/>
        <w:t>四、注册变更情况</w:t>
      </w:r>
      <w:r>
        <w:rPr>
          <w:b w:val="0"/>
          <w:bCs w:val="0"/>
        </w:rPr>
      </w:r>
    </w:p>
    <w:p>
      <w:pPr>
        <w:spacing w:line="240" w:lineRule="auto" w:before="11"/>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3190"/>
        <w:gridCol w:w="6378"/>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组织机构代码</w:t>
            </w:r>
          </w:p>
        </w:tc>
        <w:tc>
          <w:tcPr>
            <w:tcW w:w="6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91320000253710940L</w:t>
            </w:r>
          </w:p>
        </w:tc>
      </w:tr>
      <w:tr>
        <w:trPr>
          <w:trHeight w:val="714"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02" w:right="101"/>
              <w:jc w:val="left"/>
              <w:rPr>
                <w:rFonts w:ascii="宋体" w:hAnsi="宋体" w:cs="宋体" w:eastAsia="宋体" w:hint="default"/>
                <w:sz w:val="18"/>
                <w:szCs w:val="18"/>
              </w:rPr>
            </w:pPr>
            <w:r>
              <w:rPr>
                <w:rFonts w:ascii="宋体" w:hAnsi="宋体" w:cs="宋体" w:eastAsia="宋体" w:hint="default"/>
                <w:spacing w:val="-6"/>
                <w:sz w:val="18"/>
                <w:szCs w:val="18"/>
              </w:rPr>
              <w:t>公司上市以来主营业务的变化情况（如</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有）</w:t>
            </w:r>
          </w:p>
        </w:tc>
        <w:tc>
          <w:tcPr>
            <w:tcW w:w="6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无变更</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历次控股股东的变更情况（如有）</w:t>
            </w:r>
          </w:p>
        </w:tc>
        <w:tc>
          <w:tcPr>
            <w:tcW w:w="6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无变更</w:t>
            </w:r>
          </w:p>
        </w:tc>
      </w:tr>
    </w:tbl>
    <w:p>
      <w:pPr>
        <w:spacing w:line="240" w:lineRule="auto" w:before="1"/>
        <w:rPr>
          <w:rFonts w:ascii="宋体" w:hAnsi="宋体" w:cs="宋体" w:eastAsia="宋体" w:hint="default"/>
          <w:b/>
          <w:bCs/>
          <w:sz w:val="18"/>
          <w:szCs w:val="18"/>
        </w:rPr>
      </w:pPr>
    </w:p>
    <w:p>
      <w:pPr>
        <w:pStyle w:val="Heading2"/>
        <w:spacing w:line="240" w:lineRule="auto" w:before="26"/>
        <w:ind w:right="0"/>
        <w:jc w:val="left"/>
        <w:rPr>
          <w:b w:val="0"/>
          <w:bCs w:val="0"/>
        </w:rPr>
      </w:pPr>
      <w:r>
        <w:rPr/>
        <w:t>五、其他有关资料</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公司聘请的会计师事务所</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662"/>
        <w:gridCol w:w="6906"/>
      </w:tblGrid>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会计师事务所名称</w:t>
            </w:r>
          </w:p>
        </w:tc>
        <w:tc>
          <w:tcPr>
            <w:tcW w:w="6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上会会计师事务所（特殊普通合伙）</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会计师事务所办公地址</w:t>
            </w:r>
          </w:p>
        </w:tc>
        <w:tc>
          <w:tcPr>
            <w:tcW w:w="6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上海市静安区威海路</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755 </w:t>
            </w:r>
            <w:r>
              <w:rPr>
                <w:rFonts w:ascii="宋体" w:hAnsi="宋体" w:cs="宋体" w:eastAsia="宋体" w:hint="default"/>
                <w:sz w:val="18"/>
                <w:szCs w:val="18"/>
              </w:rPr>
              <w:t>号文新报业大厦</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25 </w:t>
            </w:r>
            <w:r>
              <w:rPr>
                <w:rFonts w:ascii="宋体" w:hAnsi="宋体" w:cs="宋体" w:eastAsia="宋体" w:hint="default"/>
                <w:sz w:val="18"/>
                <w:szCs w:val="18"/>
              </w:rPr>
              <w:t>楼</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签字会计师姓名</w:t>
            </w:r>
          </w:p>
        </w:tc>
        <w:tc>
          <w:tcPr>
            <w:tcW w:w="6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耿磊 赵彧非</w:t>
            </w:r>
          </w:p>
        </w:tc>
      </w:tr>
    </w:tbl>
    <w:p>
      <w:pPr>
        <w:pStyle w:val="BodyText"/>
        <w:spacing w:line="240" w:lineRule="auto" w:before="49"/>
        <w:ind w:right="0"/>
        <w:jc w:val="left"/>
      </w:pPr>
      <w:r>
        <w:rPr/>
        <w:t>公司聘请的报告期内履行持续督导职责的保荐机构</w:t>
      </w:r>
    </w:p>
    <w:p>
      <w:pPr>
        <w:pStyle w:val="BodyText"/>
        <w:spacing w:line="360" w:lineRule="auto" w:before="116"/>
        <w:ind w:right="6792"/>
        <w:jc w:val="left"/>
      </w:pPr>
      <w:r>
        <w:rPr/>
        <w:t>□ 适用 √ 不适用 公司聘请的报告期内履行持续督导职责的财务顾问</w:t>
      </w:r>
    </w:p>
    <w:p>
      <w:pPr>
        <w:pStyle w:val="BodyText"/>
        <w:spacing w:line="240" w:lineRule="auto" w:before="26"/>
        <w:ind w:right="0"/>
        <w:jc w:val="left"/>
      </w:pPr>
      <w:r>
        <w:rPr/>
        <w:t>□ 适用 √ 不适用</w:t>
      </w:r>
    </w:p>
    <w:p>
      <w:pPr>
        <w:spacing w:line="240" w:lineRule="auto" w:before="1"/>
        <w:rPr>
          <w:rFonts w:ascii="宋体" w:hAnsi="宋体" w:cs="宋体" w:eastAsia="宋体" w:hint="default"/>
          <w:sz w:val="25"/>
          <w:szCs w:val="25"/>
        </w:rPr>
      </w:pPr>
    </w:p>
    <w:p>
      <w:pPr>
        <w:pStyle w:val="Heading2"/>
        <w:spacing w:line="240" w:lineRule="auto"/>
        <w:ind w:right="0"/>
        <w:jc w:val="left"/>
        <w:rPr>
          <w:b w:val="0"/>
          <w:bCs w:val="0"/>
        </w:rPr>
      </w:pPr>
      <w:r>
        <w:rPr/>
        <w:t>六、主要会计数据和财务指标</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公司是否需追溯调整或重述以前年度会计数据</w:t>
      </w:r>
    </w:p>
    <w:p>
      <w:pPr>
        <w:pStyle w:val="BodyText"/>
        <w:spacing w:line="240" w:lineRule="auto" w:before="116"/>
        <w:ind w:right="0"/>
        <w:jc w:val="left"/>
      </w:pPr>
      <w:r>
        <w:rPr/>
        <w:t>□ 是 √ 否</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621"/>
        <w:gridCol w:w="1738"/>
        <w:gridCol w:w="1737"/>
        <w:gridCol w:w="1737"/>
        <w:gridCol w:w="1736"/>
      </w:tblGrid>
      <w:tr>
        <w:trPr>
          <w:trHeight w:val="401" w:hRule="exact"/>
        </w:trPr>
        <w:tc>
          <w:tcPr>
            <w:tcW w:w="2621"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73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5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p>
        </w:tc>
        <w:tc>
          <w:tcPr>
            <w:tcW w:w="173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57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p>
        </w:tc>
        <w:tc>
          <w:tcPr>
            <w:tcW w:w="173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232" w:right="0"/>
              <w:jc w:val="left"/>
              <w:rPr>
                <w:rFonts w:ascii="宋体" w:hAnsi="宋体" w:cs="宋体" w:eastAsia="宋体" w:hint="default"/>
                <w:sz w:val="18"/>
                <w:szCs w:val="18"/>
              </w:rPr>
            </w:pPr>
            <w:r>
              <w:rPr>
                <w:rFonts w:ascii="宋体" w:hAnsi="宋体" w:cs="宋体" w:eastAsia="宋体" w:hint="default"/>
                <w:sz w:val="18"/>
                <w:szCs w:val="18"/>
              </w:rPr>
              <w:t>本年比上年增减</w:t>
            </w:r>
          </w:p>
        </w:tc>
        <w:tc>
          <w:tcPr>
            <w:tcW w:w="173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57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p>
        </w:tc>
      </w:tr>
      <w:tr>
        <w:trPr>
          <w:trHeight w:val="403" w:hRule="exact"/>
        </w:trPr>
        <w:tc>
          <w:tcPr>
            <w:tcW w:w="262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营业收入（元）</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1,535,467,255.35</w:t>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1,690,305,333.68</w:t>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w w:val="95"/>
                <w:sz w:val="18"/>
              </w:rPr>
              <w:t>-9.16%</w:t>
            </w:r>
            <w:r>
              <w:rPr>
                <w:rFonts w:ascii="Times New Roman"/>
                <w:sz w:val="18"/>
              </w:rPr>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1,368,374,091.69</w:t>
            </w:r>
          </w:p>
        </w:tc>
      </w:tr>
      <w:tr>
        <w:trPr>
          <w:trHeight w:val="714" w:hRule="exact"/>
        </w:trPr>
        <w:tc>
          <w:tcPr>
            <w:tcW w:w="262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p>
            <w:pPr>
              <w:pStyle w:val="TableParagraph"/>
              <w:spacing w:line="240" w:lineRule="auto" w:before="76"/>
              <w:ind w:left="102"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86,769,193.40</w:t>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145,493,021.11</w:t>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95"/>
                <w:sz w:val="18"/>
              </w:rPr>
              <w:t>-40.36%</w:t>
            </w:r>
            <w:r>
              <w:rPr>
                <w:rFonts w:ascii="Times New Roman"/>
                <w:sz w:val="18"/>
              </w:rPr>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162,648,403.93</w:t>
            </w:r>
          </w:p>
        </w:tc>
      </w:tr>
      <w:tr>
        <w:trPr>
          <w:trHeight w:val="714" w:hRule="exact"/>
        </w:trPr>
        <w:tc>
          <w:tcPr>
            <w:tcW w:w="262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49"/>
              <w:ind w:left="102" w:right="166"/>
              <w:jc w:val="left"/>
              <w:rPr>
                <w:rFonts w:ascii="宋体" w:hAnsi="宋体" w:cs="宋体" w:eastAsia="宋体" w:hint="default"/>
                <w:sz w:val="18"/>
                <w:szCs w:val="18"/>
              </w:rPr>
            </w:pPr>
            <w:r>
              <w:rPr>
                <w:rFonts w:ascii="宋体" w:hAnsi="宋体" w:cs="宋体" w:eastAsia="宋体" w:hint="default"/>
                <w:sz w:val="18"/>
                <w:szCs w:val="18"/>
              </w:rPr>
              <w:t>归属于上市公司股东的扣除非 经常性损益的净利润（元）</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75,470,025.95</w:t>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92,113,790.14</w:t>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95"/>
                <w:sz w:val="18"/>
              </w:rPr>
              <w:t>-18.07%</w:t>
            </w:r>
            <w:r>
              <w:rPr>
                <w:rFonts w:ascii="Times New Roman"/>
                <w:sz w:val="18"/>
              </w:rPr>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104,212,945.50</w:t>
            </w:r>
          </w:p>
        </w:tc>
      </w:tr>
      <w:tr>
        <w:trPr>
          <w:trHeight w:val="714" w:hRule="exact"/>
        </w:trPr>
        <w:tc>
          <w:tcPr>
            <w:tcW w:w="262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p>
            <w:pPr>
              <w:pStyle w:val="TableParagraph"/>
              <w:spacing w:line="240" w:lineRule="auto" w:before="76"/>
              <w:ind w:left="102"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-44,451,823.26</w:t>
            </w:r>
            <w:r>
              <w:rPr>
                <w:rFonts w:ascii="Times New Roman"/>
                <w:sz w:val="18"/>
              </w:rPr>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588,243,108.85</w:t>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95"/>
                <w:sz w:val="18"/>
              </w:rPr>
              <w:t>-107.56%</w:t>
            </w:r>
            <w:r>
              <w:rPr>
                <w:rFonts w:ascii="Times New Roman"/>
                <w:sz w:val="18"/>
              </w:rPr>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-429,867,978.47</w:t>
            </w:r>
            <w:r>
              <w:rPr>
                <w:rFonts w:ascii="Times New Roman"/>
                <w:sz w:val="18"/>
              </w:rPr>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0.124</w:t>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0.205</w:t>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w w:val="95"/>
                <w:sz w:val="18"/>
              </w:rPr>
              <w:t>-39.51%</w:t>
            </w:r>
            <w:r>
              <w:rPr>
                <w:rFonts w:ascii="Times New Roman"/>
                <w:sz w:val="18"/>
              </w:rPr>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0.228</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0.124</w:t>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0.205</w:t>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w w:val="95"/>
                <w:sz w:val="18"/>
              </w:rPr>
              <w:t>-39.51%</w:t>
            </w:r>
            <w:r>
              <w:rPr>
                <w:rFonts w:ascii="Times New Roman"/>
                <w:sz w:val="18"/>
              </w:rPr>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0.228</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w w:val="95"/>
                <w:sz w:val="18"/>
              </w:rPr>
              <w:t>4.54%</w:t>
            </w:r>
            <w:r>
              <w:rPr>
                <w:rFonts w:ascii="Times New Roman"/>
                <w:sz w:val="18"/>
              </w:rPr>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w w:val="95"/>
                <w:sz w:val="18"/>
              </w:rPr>
              <w:t>7.82%</w:t>
            </w:r>
            <w:r>
              <w:rPr>
                <w:rFonts w:ascii="Times New Roman"/>
                <w:sz w:val="18"/>
              </w:rPr>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w w:val="95"/>
                <w:sz w:val="18"/>
              </w:rPr>
              <w:t>-3.28%</w:t>
            </w:r>
            <w:r>
              <w:rPr>
                <w:rFonts w:ascii="Times New Roman"/>
                <w:sz w:val="18"/>
              </w:rPr>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w w:val="95"/>
                <w:sz w:val="18"/>
              </w:rPr>
              <w:t>9.48%</w:t>
            </w:r>
            <w:r>
              <w:rPr>
                <w:rFonts w:ascii="Times New Roman"/>
                <w:sz w:val="18"/>
              </w:rPr>
            </w:r>
          </w:p>
        </w:tc>
      </w:tr>
      <w:tr>
        <w:trPr>
          <w:trHeight w:val="713" w:hRule="exact"/>
        </w:trPr>
        <w:tc>
          <w:tcPr>
            <w:tcW w:w="2621"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73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8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年末</w:t>
            </w:r>
          </w:p>
        </w:tc>
        <w:tc>
          <w:tcPr>
            <w:tcW w:w="173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8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年末</w:t>
            </w:r>
          </w:p>
        </w:tc>
        <w:tc>
          <w:tcPr>
            <w:tcW w:w="173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772" w:right="142" w:hanging="630"/>
              <w:jc w:val="left"/>
              <w:rPr>
                <w:rFonts w:ascii="宋体" w:hAnsi="宋体" w:cs="宋体" w:eastAsia="宋体" w:hint="default"/>
                <w:sz w:val="18"/>
                <w:szCs w:val="18"/>
              </w:rPr>
            </w:pPr>
            <w:r>
              <w:rPr>
                <w:rFonts w:ascii="宋体" w:hAnsi="宋体" w:cs="宋体" w:eastAsia="宋体" w:hint="default"/>
                <w:sz w:val="18"/>
                <w:szCs w:val="18"/>
              </w:rPr>
              <w:t>本年末比上年末增 减</w:t>
            </w:r>
          </w:p>
        </w:tc>
        <w:tc>
          <w:tcPr>
            <w:tcW w:w="173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8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年末</w:t>
            </w:r>
          </w:p>
        </w:tc>
      </w:tr>
      <w:tr>
        <w:trPr>
          <w:trHeight w:val="403" w:hRule="exact"/>
        </w:trPr>
        <w:tc>
          <w:tcPr>
            <w:tcW w:w="262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总资产（元）</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2,349,715,249.41</w:t>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2,250,514,166.49</w:t>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w w:val="95"/>
                <w:sz w:val="18"/>
              </w:rPr>
              <w:t>4.41%</w:t>
            </w:r>
            <w:r>
              <w:rPr>
                <w:rFonts w:ascii="Times New Roman"/>
                <w:sz w:val="18"/>
              </w:rPr>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2,186,573,315.72</w:t>
            </w:r>
          </w:p>
        </w:tc>
      </w:tr>
      <w:tr>
        <w:trPr>
          <w:trHeight w:val="714" w:hRule="exact"/>
        </w:trPr>
        <w:tc>
          <w:tcPr>
            <w:tcW w:w="262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归属于上市公司股东的净资产</w:t>
            </w:r>
          </w:p>
          <w:p>
            <w:pPr>
              <w:pStyle w:val="TableParagraph"/>
              <w:spacing w:line="240" w:lineRule="auto" w:before="76"/>
              <w:ind w:left="102"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1,928,289,808.98</w:t>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1,894,006,700.33</w:t>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1.81%</w:t>
            </w:r>
            <w:r>
              <w:rPr>
                <w:rFonts w:ascii="Times New Roman"/>
                <w:sz w:val="18"/>
              </w:rPr>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1,794,188,026.42</w:t>
            </w:r>
          </w:p>
        </w:tc>
      </w:tr>
    </w:tbl>
    <w:p>
      <w:pPr>
        <w:spacing w:after="0" w:line="240" w:lineRule="auto"/>
        <w:jc w:val="right"/>
        <w:rPr>
          <w:rFonts w:ascii="Times New Roman" w:hAnsi="Times New Roman" w:cs="Times New Roman" w:eastAsia="Times New Roman" w:hint="default"/>
          <w:sz w:val="18"/>
          <w:szCs w:val="18"/>
        </w:rPr>
        <w:sectPr>
          <w:pgSz w:w="11910" w:h="16840"/>
          <w:pgMar w:header="906" w:footer="1018" w:top="1100" w:bottom="1200" w:left="1020" w:right="0"/>
        </w:sectPr>
      </w:pPr>
    </w:p>
    <w:p>
      <w:pPr>
        <w:spacing w:line="240" w:lineRule="auto" w:before="8"/>
        <w:rPr>
          <w:rFonts w:ascii="宋体" w:hAnsi="宋体" w:cs="宋体" w:eastAsia="宋体" w:hint="default"/>
          <w:sz w:val="20"/>
          <w:szCs w:val="20"/>
        </w:rPr>
      </w:pPr>
    </w:p>
    <w:p>
      <w:pPr>
        <w:pStyle w:val="Heading2"/>
        <w:spacing w:line="240" w:lineRule="auto" w:before="26"/>
        <w:ind w:right="0"/>
        <w:jc w:val="left"/>
        <w:rPr>
          <w:b w:val="0"/>
          <w:bCs w:val="0"/>
        </w:rPr>
      </w:pPr>
      <w:r>
        <w:rPr/>
        <w:t>七、境内外会计准则下会计数据差异</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r>
        <w:rPr>
          <w:rFonts w:ascii="Times New Roman" w:hAnsi="Times New Roman" w:cs="Times New Roman" w:eastAsia="Times New Roman" w:hint="default"/>
        </w:rPr>
        <w:t>1</w:t>
      </w:r>
      <w:r>
        <w:rPr/>
        <w:t>、同时按照国际会计准则与按照中国会计准则披露的财务报告中净利润和净资产差异情况</w:t>
      </w:r>
      <w:r>
        <w:rPr>
          <w:b w:val="0"/>
          <w:bCs w:val="0"/>
        </w:rPr>
      </w:r>
    </w:p>
    <w:p>
      <w:pPr>
        <w:spacing w:line="240" w:lineRule="auto" w:before="6"/>
        <w:rPr>
          <w:rFonts w:ascii="宋体" w:hAnsi="宋体" w:cs="宋体" w:eastAsia="宋体" w:hint="default"/>
          <w:b/>
          <w:bCs/>
          <w:sz w:val="26"/>
          <w:szCs w:val="26"/>
        </w:rPr>
      </w:pPr>
    </w:p>
    <w:p>
      <w:pPr>
        <w:pStyle w:val="BodyText"/>
        <w:spacing w:line="360" w:lineRule="auto"/>
        <w:ind w:right="1165"/>
        <w:jc w:val="left"/>
      </w:pPr>
      <w:r>
        <w:rPr/>
        <w:t>□ 适用 √ 不适用 公司报告期不存在按照国际会计准则与按照中国会计准则披露的财务报告中净利润和净资产差异情况。</w:t>
      </w:r>
    </w:p>
    <w:p>
      <w:pPr>
        <w:spacing w:line="240" w:lineRule="auto" w:before="0"/>
        <w:rPr>
          <w:rFonts w:ascii="宋体" w:hAnsi="宋体" w:cs="宋体" w:eastAsia="宋体" w:hint="default"/>
          <w:sz w:val="20"/>
          <w:szCs w:val="20"/>
        </w:rPr>
      </w:pPr>
    </w:p>
    <w:p>
      <w:pPr>
        <w:pStyle w:val="Heading3"/>
        <w:spacing w:line="240" w:lineRule="auto"/>
        <w:ind w:right="0"/>
        <w:jc w:val="left"/>
        <w:rPr>
          <w:b w:val="0"/>
          <w:bCs w:val="0"/>
        </w:rPr>
      </w:pPr>
      <w:r>
        <w:rPr>
          <w:rFonts w:ascii="Times New Roman" w:hAnsi="Times New Roman" w:cs="Times New Roman" w:eastAsia="Times New Roman" w:hint="default"/>
        </w:rPr>
        <w:t>2</w:t>
      </w:r>
      <w:r>
        <w:rPr/>
        <w:t>、同时按照境外会计准则与按照中国会计准则披露的财务报告中净利润和净资产差异情况</w:t>
      </w:r>
      <w:r>
        <w:rPr>
          <w:b w:val="0"/>
          <w:bCs w:val="0"/>
        </w:rPr>
      </w:r>
    </w:p>
    <w:p>
      <w:pPr>
        <w:spacing w:line="240" w:lineRule="auto" w:before="6"/>
        <w:rPr>
          <w:rFonts w:ascii="宋体" w:hAnsi="宋体" w:cs="宋体" w:eastAsia="宋体" w:hint="default"/>
          <w:b/>
          <w:bCs/>
          <w:sz w:val="26"/>
          <w:szCs w:val="26"/>
        </w:rPr>
      </w:pPr>
    </w:p>
    <w:p>
      <w:pPr>
        <w:pStyle w:val="BodyText"/>
        <w:spacing w:line="360" w:lineRule="auto"/>
        <w:ind w:right="2652"/>
        <w:jc w:val="left"/>
      </w:pPr>
      <w:r>
        <w:rPr/>
        <w:t>□ 适用 √ 不适用 公司报告期不存在按照境外会计准则与按照中国会计准则披露的财务报告中净利润和净资产差异情况。</w:t>
      </w:r>
    </w:p>
    <w:p>
      <w:pPr>
        <w:spacing w:line="240" w:lineRule="auto" w:before="3"/>
        <w:rPr>
          <w:rFonts w:ascii="宋体" w:hAnsi="宋体" w:cs="宋体" w:eastAsia="宋体" w:hint="default"/>
          <w:sz w:val="18"/>
          <w:szCs w:val="18"/>
        </w:rPr>
      </w:pPr>
    </w:p>
    <w:p>
      <w:pPr>
        <w:pStyle w:val="Heading2"/>
        <w:spacing w:line="240" w:lineRule="auto"/>
        <w:ind w:right="0"/>
        <w:jc w:val="left"/>
        <w:rPr>
          <w:b w:val="0"/>
          <w:bCs w:val="0"/>
        </w:rPr>
      </w:pPr>
      <w:r>
        <w:rPr/>
        <w:t>八、分季度主要财务指标</w:t>
      </w:r>
      <w:r>
        <w:rPr>
          <w:b w:val="0"/>
          <w:bCs w:val="0"/>
        </w:rPr>
      </w:r>
    </w:p>
    <w:p>
      <w:pPr>
        <w:spacing w:line="240" w:lineRule="auto" w:before="2"/>
        <w:rPr>
          <w:rFonts w:ascii="宋体" w:hAnsi="宋体" w:cs="宋体" w:eastAsia="宋体" w:hint="default"/>
          <w:b/>
          <w:bCs/>
          <w:sz w:val="23"/>
          <w:szCs w:val="23"/>
        </w:rPr>
      </w:pPr>
    </w:p>
    <w:p>
      <w:pPr>
        <w:pStyle w:val="BodyText"/>
        <w:spacing w:line="240" w:lineRule="auto" w:before="44"/>
        <w:ind w:left="0" w:right="1132"/>
        <w:jc w:val="right"/>
      </w:pPr>
      <w:r>
        <w:rPr>
          <w:spacing w:val="-1"/>
        </w:rPr>
        <w:t>单位：元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621"/>
        <w:gridCol w:w="1740"/>
        <w:gridCol w:w="1739"/>
        <w:gridCol w:w="1739"/>
        <w:gridCol w:w="1730"/>
      </w:tblGrid>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74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505" w:right="0"/>
              <w:jc w:val="left"/>
              <w:rPr>
                <w:rFonts w:ascii="宋体" w:hAnsi="宋体" w:cs="宋体" w:eastAsia="宋体" w:hint="default"/>
                <w:sz w:val="18"/>
                <w:szCs w:val="18"/>
              </w:rPr>
            </w:pPr>
            <w:r>
              <w:rPr>
                <w:rFonts w:ascii="宋体" w:hAnsi="宋体" w:cs="宋体" w:eastAsia="宋体" w:hint="default"/>
                <w:sz w:val="18"/>
                <w:szCs w:val="18"/>
              </w:rPr>
              <w:t>第一季度</w:t>
            </w:r>
          </w:p>
        </w:tc>
        <w:tc>
          <w:tcPr>
            <w:tcW w:w="173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503" w:right="0"/>
              <w:jc w:val="left"/>
              <w:rPr>
                <w:rFonts w:ascii="宋体" w:hAnsi="宋体" w:cs="宋体" w:eastAsia="宋体" w:hint="default"/>
                <w:sz w:val="18"/>
                <w:szCs w:val="18"/>
              </w:rPr>
            </w:pPr>
            <w:r>
              <w:rPr>
                <w:rFonts w:ascii="宋体" w:hAnsi="宋体" w:cs="宋体" w:eastAsia="宋体" w:hint="default"/>
                <w:sz w:val="18"/>
                <w:szCs w:val="18"/>
              </w:rPr>
              <w:t>第二季度</w:t>
            </w:r>
          </w:p>
        </w:tc>
        <w:tc>
          <w:tcPr>
            <w:tcW w:w="173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503" w:right="0"/>
              <w:jc w:val="left"/>
              <w:rPr>
                <w:rFonts w:ascii="宋体" w:hAnsi="宋体" w:cs="宋体" w:eastAsia="宋体" w:hint="default"/>
                <w:sz w:val="18"/>
                <w:szCs w:val="18"/>
              </w:rPr>
            </w:pPr>
            <w:r>
              <w:rPr>
                <w:rFonts w:ascii="宋体" w:hAnsi="宋体" w:cs="宋体" w:eastAsia="宋体" w:hint="default"/>
                <w:sz w:val="18"/>
                <w:szCs w:val="18"/>
              </w:rPr>
              <w:t>第三季度</w:t>
            </w:r>
          </w:p>
        </w:tc>
        <w:tc>
          <w:tcPr>
            <w:tcW w:w="173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99" w:right="0"/>
              <w:jc w:val="left"/>
              <w:rPr>
                <w:rFonts w:ascii="宋体" w:hAnsi="宋体" w:cs="宋体" w:eastAsia="宋体" w:hint="default"/>
                <w:sz w:val="18"/>
                <w:szCs w:val="18"/>
              </w:rPr>
            </w:pPr>
            <w:r>
              <w:rPr>
                <w:rFonts w:ascii="宋体" w:hAnsi="宋体" w:cs="宋体" w:eastAsia="宋体" w:hint="default"/>
                <w:sz w:val="18"/>
                <w:szCs w:val="18"/>
              </w:rPr>
              <w:t>第四季度</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355,207,783.92</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297,737,369.43</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347,592,880.47</w:t>
            </w: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534,929,221.53</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25,909,578.12</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21,680,224.45</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17,531,276.73</w:t>
            </w: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21,648,114.10</w:t>
            </w:r>
          </w:p>
        </w:tc>
      </w:tr>
      <w:tr>
        <w:trPr>
          <w:trHeight w:val="714" w:hRule="exact"/>
        </w:trPr>
        <w:tc>
          <w:tcPr>
            <w:tcW w:w="262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02" w:right="166"/>
              <w:jc w:val="left"/>
              <w:rPr>
                <w:rFonts w:ascii="宋体" w:hAnsi="宋体" w:cs="宋体" w:eastAsia="宋体" w:hint="default"/>
                <w:sz w:val="18"/>
                <w:szCs w:val="18"/>
              </w:rPr>
            </w:pPr>
            <w:r>
              <w:rPr>
                <w:rFonts w:ascii="宋体" w:hAnsi="宋体" w:cs="宋体" w:eastAsia="宋体" w:hint="default"/>
                <w:sz w:val="18"/>
                <w:szCs w:val="18"/>
              </w:rPr>
              <w:t>归属于上市公司股东的扣除非 经常性损益的净利润</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21,352,663.54</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19,419,417.68</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13,468,300.03</w:t>
            </w: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21,229,644.70</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-120,707,939.19</w:t>
            </w:r>
            <w:r>
              <w:rPr>
                <w:rFonts w:ascii="Times New Roman"/>
                <w:sz w:val="18"/>
              </w:rPr>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-90,469,378.06</w:t>
            </w:r>
            <w:r>
              <w:rPr>
                <w:rFonts w:ascii="Times New Roman"/>
                <w:sz w:val="18"/>
              </w:rPr>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-146,657,531.99</w:t>
            </w:r>
            <w:r>
              <w:rPr>
                <w:rFonts w:ascii="Times New Roman"/>
                <w:sz w:val="18"/>
              </w:rPr>
            </w: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313,383,025.98</w:t>
            </w:r>
          </w:p>
        </w:tc>
      </w:tr>
    </w:tbl>
    <w:p>
      <w:pPr>
        <w:pStyle w:val="BodyText"/>
        <w:spacing w:line="240" w:lineRule="auto" w:before="49"/>
        <w:ind w:right="0"/>
        <w:jc w:val="left"/>
      </w:pPr>
      <w:r>
        <w:rPr/>
        <w:t>上述财务指标或其加总数是否与公司已披露季度报告、半年度报告相关财务指标存在重大差异</w:t>
      </w:r>
    </w:p>
    <w:p>
      <w:pPr>
        <w:pStyle w:val="BodyText"/>
        <w:spacing w:line="240" w:lineRule="auto" w:before="116"/>
        <w:ind w:right="0"/>
        <w:jc w:val="left"/>
      </w:pPr>
      <w:r>
        <w:rPr/>
        <w:t>□ 是 √ 否</w:t>
      </w:r>
    </w:p>
    <w:p>
      <w:pPr>
        <w:spacing w:line="240" w:lineRule="auto" w:before="1"/>
        <w:rPr>
          <w:rFonts w:ascii="宋体" w:hAnsi="宋体" w:cs="宋体" w:eastAsia="宋体" w:hint="default"/>
          <w:sz w:val="25"/>
          <w:szCs w:val="25"/>
        </w:rPr>
      </w:pPr>
    </w:p>
    <w:p>
      <w:pPr>
        <w:pStyle w:val="Heading2"/>
        <w:spacing w:line="240" w:lineRule="auto"/>
        <w:ind w:right="0"/>
        <w:jc w:val="left"/>
        <w:rPr>
          <w:b w:val="0"/>
          <w:bCs w:val="0"/>
        </w:rPr>
      </w:pPr>
      <w:r>
        <w:rPr/>
        <w:t>九、非经常性损益项目及金额</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0"/>
        <w:jc w:val="left"/>
      </w:pPr>
      <w:r>
        <w:rPr/>
        <w:t>√ 适用 □ 不适用</w:t>
      </w:r>
    </w:p>
    <w:p>
      <w:pPr>
        <w:pStyle w:val="BodyText"/>
        <w:spacing w:line="240" w:lineRule="auto" w:before="116"/>
        <w:ind w:left="0" w:right="1132"/>
        <w:jc w:val="right"/>
      </w:pPr>
      <w:r>
        <w:rPr>
          <w:spacing w:val="-1"/>
        </w:rPr>
        <w:t>单位：元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296"/>
        <w:gridCol w:w="1520"/>
        <w:gridCol w:w="1520"/>
        <w:gridCol w:w="1522"/>
        <w:gridCol w:w="1710"/>
      </w:tblGrid>
      <w:tr>
        <w:trPr>
          <w:trHeight w:val="401" w:hRule="exact"/>
        </w:trPr>
        <w:tc>
          <w:tcPr>
            <w:tcW w:w="32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2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28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年金额</w:t>
            </w:r>
          </w:p>
        </w:tc>
        <w:tc>
          <w:tcPr>
            <w:tcW w:w="152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2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年金额</w:t>
            </w:r>
          </w:p>
        </w:tc>
        <w:tc>
          <w:tcPr>
            <w:tcW w:w="152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2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年金额</w:t>
            </w:r>
          </w:p>
        </w:tc>
        <w:tc>
          <w:tcPr>
            <w:tcW w:w="171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715" w:hRule="exact"/>
        </w:trPr>
        <w:tc>
          <w:tcPr>
            <w:tcW w:w="32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49"/>
              <w:ind w:left="102" w:right="122"/>
              <w:jc w:val="left"/>
              <w:rPr>
                <w:rFonts w:ascii="宋体" w:hAnsi="宋体" w:cs="宋体" w:eastAsia="宋体" w:hint="default"/>
                <w:sz w:val="18"/>
                <w:szCs w:val="18"/>
              </w:rPr>
            </w:pPr>
            <w:r>
              <w:rPr>
                <w:rFonts w:ascii="宋体" w:hAnsi="宋体" w:cs="宋体" w:eastAsia="宋体" w:hint="default"/>
                <w:sz w:val="18"/>
                <w:szCs w:val="18"/>
              </w:rPr>
              <w:t>非流动资产处置损益（包括已计提资产 减值准备的冲销部分）</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-577,486.26</w:t>
            </w:r>
            <w:r>
              <w:rPr>
                <w:rFonts w:ascii="Times New Roman"/>
                <w:sz w:val="18"/>
              </w:rPr>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52,214,754.01</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42,047.17</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32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02" w:right="121"/>
              <w:jc w:val="both"/>
              <w:rPr>
                <w:rFonts w:ascii="宋体" w:hAnsi="宋体" w:cs="宋体" w:eastAsia="宋体" w:hint="default"/>
                <w:sz w:val="18"/>
                <w:szCs w:val="18"/>
              </w:rPr>
            </w:pPr>
            <w:r>
              <w:rPr>
                <w:rFonts w:ascii="宋体" w:hAnsi="宋体" w:cs="宋体" w:eastAsia="宋体" w:hint="default"/>
                <w:sz w:val="18"/>
                <w:szCs w:val="18"/>
              </w:rPr>
              <w:t>计入当期损益的政府补助（与企业业务 密切相关，按照国家统一标准定额或定 量享受的政府补助除外）</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6,066,506.77</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4,089,727.52</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15,282,626.40</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委托他人投资或管理资产的损益</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10,740,380.01</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6,218,101.06</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2,875,959.52</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2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49"/>
              <w:ind w:left="102" w:right="121"/>
              <w:jc w:val="left"/>
              <w:rPr>
                <w:rFonts w:ascii="宋体" w:hAnsi="宋体" w:cs="宋体" w:eastAsia="宋体" w:hint="default"/>
                <w:sz w:val="18"/>
                <w:szCs w:val="18"/>
              </w:rPr>
            </w:pPr>
            <w:r>
              <w:rPr>
                <w:rFonts w:ascii="宋体" w:hAnsi="宋体" w:cs="宋体" w:eastAsia="宋体" w:hint="default"/>
                <w:sz w:val="18"/>
                <w:szCs w:val="18"/>
              </w:rPr>
              <w:t>与公司正常经营业务无关的或有事项产 生的损益</w:t>
            </w:r>
          </w:p>
        </w:tc>
        <w:tc>
          <w:tcPr>
            <w:tcW w:w="1520" w:type="dxa"/>
            <w:tcBorders>
              <w:top w:val="single" w:sz="4" w:space="0" w:color="000000"/>
              <w:left w:val="single" w:sz="4" w:space="0" w:color="000000"/>
              <w:bottom w:val="single" w:sz="4" w:space="0" w:color="000000"/>
              <w:right w:val="single" w:sz="4" w:space="0" w:color="000000"/>
            </w:tcBorders>
          </w:tcPr>
          <w:p>
            <w:pPr/>
          </w:p>
        </w:tc>
        <w:tc>
          <w:tcPr>
            <w:tcW w:w="1520"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50,000,000.00</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1297" w:hRule="exact"/>
        </w:trPr>
        <w:tc>
          <w:tcPr>
            <w:tcW w:w="32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02" w:right="121"/>
              <w:jc w:val="both"/>
              <w:rPr>
                <w:rFonts w:ascii="宋体" w:hAnsi="宋体" w:cs="宋体" w:eastAsia="宋体" w:hint="default"/>
                <w:sz w:val="18"/>
                <w:szCs w:val="18"/>
              </w:rPr>
            </w:pPr>
            <w:r>
              <w:rPr>
                <w:rFonts w:ascii="宋体" w:hAnsi="宋体" w:cs="宋体" w:eastAsia="宋体" w:hint="default"/>
                <w:sz w:val="18"/>
                <w:szCs w:val="18"/>
              </w:rPr>
              <w:t>除同公司正常经营业务相关的有效套期 保值业务外，持有交易性金融资产、衍 生金融资产、交易性金融负债、衍生金 融负债产生的公允价值变动损益，以及</w:t>
            </w:r>
          </w:p>
        </w:tc>
        <w:tc>
          <w:tcPr>
            <w:tcW w:w="1520" w:type="dxa"/>
            <w:tcBorders>
              <w:top w:val="single" w:sz="4" w:space="0" w:color="000000"/>
              <w:left w:val="single" w:sz="4" w:space="0" w:color="000000"/>
              <w:bottom w:val="single" w:sz="4" w:space="0" w:color="000000"/>
              <w:right w:val="single" w:sz="4" w:space="0" w:color="000000"/>
            </w:tcBorders>
          </w:tcPr>
          <w:p>
            <w:pP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17,179.89</w:t>
            </w:r>
          </w:p>
        </w:tc>
        <w:tc>
          <w:tcPr>
            <w:tcW w:w="1522" w:type="dxa"/>
            <w:tcBorders>
              <w:top w:val="single" w:sz="4" w:space="0" w:color="000000"/>
              <w:left w:val="single" w:sz="4" w:space="0" w:color="000000"/>
              <w:bottom w:val="single" w:sz="4" w:space="0" w:color="000000"/>
              <w:right w:val="single" w:sz="4" w:space="0" w:color="000000"/>
            </w:tcBorders>
          </w:tcPr>
          <w:p>
            <w:pPr/>
          </w:p>
        </w:tc>
        <w:tc>
          <w:tcPr>
            <w:tcW w:w="1710" w:type="dxa"/>
            <w:tcBorders>
              <w:top w:val="single" w:sz="4" w:space="0" w:color="000000"/>
              <w:left w:val="single" w:sz="4" w:space="0" w:color="000000"/>
              <w:bottom w:val="single" w:sz="4" w:space="0" w:color="000000"/>
              <w:right w:val="single" w:sz="4" w:space="0" w:color="000000"/>
            </w:tcBorders>
          </w:tcPr>
          <w:p>
            <w:pPr/>
          </w:p>
        </w:tc>
      </w:tr>
    </w:tbl>
    <w:p>
      <w:pPr>
        <w:spacing w:after="0"/>
        <w:sectPr>
          <w:headerReference w:type="default" r:id="rId14"/>
          <w:pgSz w:w="11910" w:h="16840"/>
          <w:pgMar w:header="906" w:footer="1018" w:top="1100" w:bottom="1200" w:left="1020" w:right="0"/>
        </w:sectPr>
      </w:pPr>
    </w:p>
    <w:p>
      <w:pPr>
        <w:spacing w:line="240" w:lineRule="auto" w:before="7"/>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3296"/>
        <w:gridCol w:w="1520"/>
        <w:gridCol w:w="1520"/>
        <w:gridCol w:w="1522"/>
        <w:gridCol w:w="1710"/>
      </w:tblGrid>
      <w:tr>
        <w:trPr>
          <w:trHeight w:val="986" w:hRule="exact"/>
        </w:trPr>
        <w:tc>
          <w:tcPr>
            <w:tcW w:w="32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10"/>
              <w:ind w:left="102" w:right="121"/>
              <w:jc w:val="both"/>
              <w:rPr>
                <w:rFonts w:ascii="宋体" w:hAnsi="宋体" w:cs="宋体" w:eastAsia="宋体" w:hint="default"/>
                <w:sz w:val="18"/>
                <w:szCs w:val="18"/>
              </w:rPr>
            </w:pPr>
            <w:r>
              <w:rPr>
                <w:rFonts w:ascii="宋体" w:hAnsi="宋体" w:cs="宋体" w:eastAsia="宋体" w:hint="default"/>
                <w:sz w:val="18"/>
                <w:szCs w:val="18"/>
              </w:rPr>
              <w:t>处置交易性金融资产、衍生金融资产、 交易性金融负债、衍生金融负债和其他 债权投资取得的投资收益</w:t>
            </w:r>
          </w:p>
        </w:tc>
        <w:tc>
          <w:tcPr>
            <w:tcW w:w="1520" w:type="dxa"/>
            <w:tcBorders>
              <w:top w:val="single" w:sz="4" w:space="0" w:color="000000"/>
              <w:left w:val="single" w:sz="4" w:space="0" w:color="000000"/>
              <w:bottom w:val="single" w:sz="4" w:space="0" w:color="000000"/>
              <w:right w:val="single" w:sz="4" w:space="0" w:color="000000"/>
            </w:tcBorders>
          </w:tcPr>
          <w:p>
            <w:pPr/>
          </w:p>
        </w:tc>
        <w:tc>
          <w:tcPr>
            <w:tcW w:w="1520"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2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49"/>
              <w:ind w:left="102" w:right="121"/>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 出</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-161,362.36</w:t>
            </w:r>
            <w:r>
              <w:rPr>
                <w:rFonts w:ascii="Times New Roman"/>
                <w:sz w:val="18"/>
              </w:rPr>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-578,687.38</w:t>
            </w:r>
            <w:r>
              <w:rPr>
                <w:rFonts w:ascii="Times New Roman"/>
                <w:sz w:val="18"/>
              </w:rPr>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-1,267,444.71</w:t>
            </w:r>
            <w:r>
              <w:rPr>
                <w:rFonts w:ascii="Times New Roman"/>
                <w:sz w:val="18"/>
              </w:rPr>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2,067,154.54</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6,298,897.23</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6,931,566.06</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少数股东权益影响额（税后）</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2,701,716.17</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2,282,946.90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1,566,163.89</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11,299,167.45</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53,379,230.97</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58,435,458.43</w:t>
            </w:r>
          </w:p>
        </w:tc>
        <w:tc>
          <w:tcPr>
            <w:tcW w:w="171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300" w:lineRule="auto" w:before="49"/>
        <w:ind w:right="1131"/>
        <w:jc w:val="both"/>
      </w:pPr>
      <w:r>
        <w:rPr>
          <w:spacing w:val="-3"/>
        </w:rPr>
        <w:t>对公司根据《公开发行证券的公司信息披露解释性公告第</w:t>
      </w:r>
      <w:r>
        <w:rPr>
          <w:spacing w:val="-40"/>
        </w:rPr>
        <w:t> </w:t>
      </w:r>
      <w:r>
        <w:rPr>
          <w:rFonts w:ascii="Times New Roman" w:hAnsi="Times New Roman" w:cs="Times New Roman" w:eastAsia="Times New Roman" w:hint="default"/>
        </w:rPr>
        <w:t>1</w:t>
      </w:r>
      <w:r>
        <w:rPr>
          <w:rFonts w:ascii="Times New Roman" w:hAnsi="Times New Roman" w:cs="Times New Roman" w:eastAsia="Times New Roman" w:hint="default"/>
          <w:spacing w:val="5"/>
        </w:rPr>
        <w:t> </w:t>
      </w:r>
      <w:r>
        <w:rPr>
          <w:spacing w:val="-7"/>
        </w:rPr>
        <w:t>号——非经常性损益》定义界定的非经常性损益项目，以及把《公</w:t>
      </w:r>
      <w:r>
        <w:rPr/>
        <w:t> 开发行证券的公司信息披露解释性公告第 </w:t>
      </w:r>
      <w:r>
        <w:rPr>
          <w:rFonts w:ascii="Times New Roman" w:hAnsi="Times New Roman" w:cs="Times New Roman" w:eastAsia="Times New Roman" w:hint="default"/>
        </w:rPr>
        <w:t>1</w:t>
      </w:r>
      <w:r>
        <w:rPr>
          <w:rFonts w:ascii="Times New Roman" w:hAnsi="Times New Roman" w:cs="Times New Roman" w:eastAsia="Times New Roman" w:hint="default"/>
          <w:spacing w:val="-24"/>
        </w:rPr>
        <w:t> </w:t>
      </w:r>
      <w:r>
        <w:rPr>
          <w:spacing w:val="-3"/>
        </w:rPr>
        <w:t>号——非经常性损益》中列举的非经常性损益项目界定为经常性损益的项目，应</w:t>
      </w:r>
      <w:r>
        <w:rPr/>
        <w:t> 说明原因</w:t>
      </w:r>
    </w:p>
    <w:p>
      <w:pPr>
        <w:pStyle w:val="BodyText"/>
        <w:spacing w:line="240" w:lineRule="auto" w:before="71"/>
        <w:ind w:right="0"/>
        <w:jc w:val="both"/>
      </w:pPr>
      <w:r>
        <w:rPr/>
        <w:t>□ 适用 √ 不适用</w:t>
      </w:r>
    </w:p>
    <w:p>
      <w:pPr>
        <w:pStyle w:val="BodyText"/>
        <w:spacing w:line="300" w:lineRule="auto" w:before="116"/>
        <w:ind w:right="1131"/>
        <w:jc w:val="both"/>
      </w:pPr>
      <w:r>
        <w:rPr/>
        <w:t>公司报告期不存在将根据《公开发行证券的公司信息披露解释性公告第</w:t>
      </w:r>
      <w:r>
        <w:rPr>
          <w:spacing w:val="-53"/>
        </w:rPr>
        <w:t> </w:t>
      </w:r>
      <w:r>
        <w:rPr>
          <w:rFonts w:ascii="Times New Roman" w:hAnsi="Times New Roman" w:cs="Times New Roman" w:eastAsia="Times New Roman" w:hint="default"/>
        </w:rPr>
        <w:t>1</w:t>
      </w:r>
      <w:r>
        <w:rPr>
          <w:rFonts w:ascii="Times New Roman" w:hAnsi="Times New Roman" w:cs="Times New Roman" w:eastAsia="Times New Roman" w:hint="default"/>
          <w:spacing w:val="-8"/>
        </w:rPr>
        <w:t> </w:t>
      </w:r>
      <w:r>
        <w:rPr>
          <w:spacing w:val="-3"/>
        </w:rPr>
        <w:t>号——非经常性损益》定义、列举的非经常性损益</w:t>
      </w:r>
      <w:r>
        <w:rPr/>
        <w:t> 项目界定为经常性损益的项目的情形。</w:t>
      </w:r>
    </w:p>
    <w:p>
      <w:pPr>
        <w:spacing w:after="0" w:line="300" w:lineRule="auto"/>
        <w:jc w:val="both"/>
        <w:sectPr>
          <w:pgSz w:w="11910" w:h="16840"/>
          <w:pgMar w:header="906" w:footer="1018" w:top="1100" w:bottom="1200" w:left="10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7"/>
          <w:szCs w:val="17"/>
        </w:rPr>
      </w:pPr>
    </w:p>
    <w:p>
      <w:pPr>
        <w:pStyle w:val="Heading1"/>
        <w:spacing w:line="240" w:lineRule="auto"/>
        <w:ind w:left="3487" w:right="0"/>
        <w:jc w:val="left"/>
        <w:rPr>
          <w:b w:val="0"/>
          <w:bCs w:val="0"/>
        </w:rPr>
      </w:pPr>
      <w:bookmarkStart w:name="_TOC_250010" w:id="3"/>
      <w:r>
        <w:rPr/>
        <w:t>第三节公司业务概要</w:t>
      </w:r>
      <w:bookmarkEnd w:id="3"/>
      <w:r>
        <w:rPr>
          <w:b w:val="0"/>
          <w:bCs w:val="0"/>
        </w:rPr>
      </w:r>
    </w:p>
    <w:p>
      <w:pPr>
        <w:spacing w:line="240" w:lineRule="auto" w:before="10"/>
        <w:rPr>
          <w:rFonts w:ascii="宋体" w:hAnsi="宋体" w:cs="宋体" w:eastAsia="宋体" w:hint="default"/>
          <w:b/>
          <w:bCs/>
          <w:sz w:val="38"/>
          <w:szCs w:val="38"/>
        </w:rPr>
      </w:pPr>
    </w:p>
    <w:p>
      <w:pPr>
        <w:pStyle w:val="Heading2"/>
        <w:spacing w:line="240" w:lineRule="auto"/>
        <w:ind w:right="0"/>
        <w:jc w:val="both"/>
        <w:rPr>
          <w:b w:val="0"/>
          <w:bCs w:val="0"/>
        </w:rPr>
      </w:pPr>
      <w:r>
        <w:rPr/>
        <w:t>一、报告期内公司从事的主要业务</w:t>
      </w:r>
      <w:r>
        <w:rPr>
          <w:b w:val="0"/>
          <w:bCs w:val="0"/>
        </w:rPr>
      </w:r>
    </w:p>
    <w:p>
      <w:pPr>
        <w:spacing w:line="240" w:lineRule="auto" w:before="7"/>
        <w:rPr>
          <w:rFonts w:ascii="宋体" w:hAnsi="宋体" w:cs="宋体" w:eastAsia="宋体" w:hint="default"/>
          <w:b/>
          <w:bCs/>
          <w:sz w:val="26"/>
          <w:szCs w:val="26"/>
        </w:rPr>
      </w:pPr>
    </w:p>
    <w:p>
      <w:pPr>
        <w:pStyle w:val="BodyText"/>
        <w:spacing w:line="316" w:lineRule="auto"/>
        <w:ind w:right="1032" w:firstLine="360"/>
        <w:jc w:val="left"/>
      </w:pPr>
      <w:r>
        <w:rPr>
          <w:spacing w:val="-4"/>
        </w:rPr>
        <w:t>恒宝股份是</w:t>
      </w:r>
      <w:r>
        <w:rPr>
          <w:color w:val="252525"/>
          <w:spacing w:val="-4"/>
        </w:rPr>
        <w:t>中国金融科技、物联网、数字安全和数字化服务领域的领军企业，致力于为银行、通信、政府公共服务部门、</w:t>
      </w:r>
      <w:r>
        <w:rPr>
          <w:color w:val="252525"/>
        </w:rPr>
        <w:t> 防务、交通和先进制造等领域提供金融科技、物联网和数字安全安全及数字化服务整套解决方案，从安全设备到支付安全、 </w:t>
      </w:r>
      <w:r>
        <w:rPr>
          <w:color w:val="252525"/>
          <w:spacing w:val="-2"/>
        </w:rPr>
        <w:t>身份与隐私保护、移动支付解决方案、云认证访问服务、智能设备远程管理、数字化服务、数据安全和区块链技术等，公司</w:t>
      </w:r>
      <w:r>
        <w:rPr>
          <w:color w:val="252525"/>
          <w:spacing w:val="-67"/>
        </w:rPr>
        <w:t> </w:t>
      </w:r>
      <w:r>
        <w:rPr>
          <w:color w:val="252525"/>
          <w:spacing w:val="-67"/>
        </w:rPr>
      </w:r>
      <w:r>
        <w:rPr>
          <w:color w:val="252525"/>
        </w:rPr>
        <w:t>以雄厚的技术实力和多年在金融、物联网和数字安全领域独特的经验助力客户为数十亿用户设备提供服务。</w:t>
      </w:r>
      <w:r>
        <w:rPr/>
      </w:r>
    </w:p>
    <w:p>
      <w:pPr>
        <w:pStyle w:val="BodyText"/>
        <w:spacing w:line="316" w:lineRule="auto" w:before="59"/>
        <w:ind w:right="0" w:firstLine="360"/>
        <w:jc w:val="left"/>
      </w:pPr>
      <w:r>
        <w:rPr>
          <w:spacing w:val="-2"/>
        </w:rPr>
        <w:t>业务方面，公司主要面向</w:t>
      </w:r>
      <w:r>
        <w:rPr>
          <w:color w:val="252525"/>
          <w:spacing w:val="-2"/>
        </w:rPr>
        <w:t>致力于为银行、通信、政府公共服务部门、防务、交通</w:t>
      </w:r>
      <w:r>
        <w:rPr>
          <w:spacing w:val="-2"/>
        </w:rPr>
        <w:t>等多个行业致力于提供高端智能化产品</w:t>
      </w:r>
      <w:r>
        <w:rPr/>
        <w:t> </w:t>
      </w:r>
      <w:r>
        <w:rPr>
          <w:spacing w:val="-2"/>
        </w:rPr>
        <w:t>及数字安全解决方案等服务。具体包括：通信和物联网连接、安全产品、系统平台、身份认证识别、数据安全、移动支付解</w:t>
      </w:r>
      <w:r>
        <w:rPr>
          <w:spacing w:val="-69"/>
        </w:rPr>
        <w:t> </w:t>
      </w:r>
      <w:r>
        <w:rPr>
          <w:spacing w:val="-69"/>
        </w:rPr>
      </w:r>
      <w:r>
        <w:rPr>
          <w:spacing w:val="-4"/>
        </w:rPr>
        <w:t>决方案、智能终端、智能卡、智能卡模块封装，以及金融科技服务等。此外，公司在区块链技术产品工程化已有一定的储备，</w:t>
      </w:r>
      <w:r>
        <w:rPr>
          <w:spacing w:val="-44"/>
        </w:rPr>
        <w:t> </w:t>
      </w:r>
      <w:r>
        <w:rPr>
          <w:spacing w:val="-44"/>
        </w:rPr>
      </w:r>
      <w:r>
        <w:rPr/>
        <w:t>在数字安全和数据交易等方面均进行了布局。</w:t>
      </w:r>
    </w:p>
    <w:p>
      <w:pPr>
        <w:pStyle w:val="BodyText"/>
        <w:spacing w:line="307" w:lineRule="auto" w:before="58"/>
        <w:ind w:right="1125" w:firstLine="360"/>
        <w:jc w:val="both"/>
      </w:pPr>
      <w:r>
        <w:rPr/>
        <w:t>目前，公司的客户遍布海内外。一方面，在国内取得了国家十大部委等政府机关的信赖，并与</w:t>
      </w:r>
      <w:r>
        <w:rPr>
          <w:rFonts w:ascii="Times New Roman" w:hAnsi="Times New Roman" w:cs="Times New Roman" w:eastAsia="Times New Roman" w:hint="default"/>
        </w:rPr>
        <w:t>100</w:t>
      </w:r>
      <w:r>
        <w:rPr/>
        <w:t>多家银行、三大通信 </w:t>
      </w:r>
      <w:r>
        <w:rPr>
          <w:spacing w:val="-2"/>
        </w:rPr>
        <w:t>运营商建立了稳健的合作；另一方面，为助力</w:t>
      </w:r>
      <w:r>
        <w:rPr>
          <w:rFonts w:ascii="Times New Roman" w:hAnsi="Times New Roman" w:cs="Times New Roman" w:eastAsia="Times New Roman" w:hint="default"/>
          <w:spacing w:val="-2"/>
        </w:rPr>
        <w:t>“</w:t>
      </w:r>
      <w:r>
        <w:rPr>
          <w:spacing w:val="-2"/>
        </w:rPr>
        <w:t>一带一路</w:t>
      </w:r>
      <w:r>
        <w:rPr>
          <w:rFonts w:ascii="Times New Roman" w:hAnsi="Times New Roman" w:cs="Times New Roman" w:eastAsia="Times New Roman" w:hint="default"/>
          <w:spacing w:val="-2"/>
        </w:rPr>
        <w:t>”</w:t>
      </w:r>
      <w:r>
        <w:rPr>
          <w:spacing w:val="-2"/>
        </w:rPr>
        <w:t>建设，与银联国际达成了多项战略合作，先后在柬埔寨、缅甸、澳</w:t>
      </w:r>
      <w:r>
        <w:rPr>
          <w:spacing w:val="-44"/>
        </w:rPr>
        <w:t> </w:t>
      </w:r>
      <w:r>
        <w:rPr>
          <w:spacing w:val="-44"/>
        </w:rPr>
      </w:r>
      <w:r>
        <w:rPr>
          <w:spacing w:val="-2"/>
        </w:rPr>
        <w:t>大利亚等地区，首发恒宝银联卡，是银联海外新兴支付业务布局中，参与项目最多、合作最紧密的企业，也是国内入围银行</w:t>
      </w:r>
      <w:r>
        <w:rPr>
          <w:spacing w:val="-66"/>
        </w:rPr>
        <w:t> </w:t>
      </w:r>
      <w:r>
        <w:rPr>
          <w:spacing w:val="-66"/>
        </w:rPr>
      </w:r>
      <w:r>
        <w:rPr/>
        <w:t>智能卡及数据安全解决方案等服务提供商最全的企业之一。</w:t>
      </w:r>
    </w:p>
    <w:p>
      <w:pPr>
        <w:pStyle w:val="BodyText"/>
        <w:spacing w:line="316" w:lineRule="auto" w:before="26"/>
        <w:ind w:left="473" w:right="0"/>
        <w:jc w:val="left"/>
      </w:pPr>
      <w:r>
        <w:rPr/>
        <w:t>具体产品方面表现如下： </w:t>
      </w:r>
      <w:r>
        <w:rPr>
          <w:spacing w:val="-2"/>
        </w:rPr>
        <w:t>安全产品为商业银行、行业客户和物联网客户提供基于智能手机的移动互联网身份识别或安全支付端到端解决方案和物</w:t>
      </w:r>
    </w:p>
    <w:p>
      <w:pPr>
        <w:pStyle w:val="BodyText"/>
        <w:spacing w:line="300" w:lineRule="auto" w:before="19"/>
        <w:ind w:right="1113"/>
        <w:jc w:val="both"/>
      </w:pPr>
      <w:r>
        <w:rPr>
          <w:spacing w:val="-1"/>
        </w:rPr>
        <w:t>联网通讯过程中的信息加密和传递加密。在可信执行环境（</w:t>
      </w:r>
      <w:r>
        <w:rPr>
          <w:rFonts w:ascii="Times New Roman" w:hAnsi="Times New Roman" w:cs="Times New Roman" w:eastAsia="Times New Roman" w:hint="default"/>
          <w:spacing w:val="-1"/>
        </w:rPr>
        <w:t>TEE</w:t>
      </w:r>
      <w:r>
        <w:rPr>
          <w:spacing w:val="-1"/>
        </w:rPr>
        <w:t>）体系成为共识的背景下，提供集</w:t>
      </w:r>
      <w:r>
        <w:rPr>
          <w:rFonts w:ascii="Times New Roman" w:hAnsi="Times New Roman" w:cs="Times New Roman" w:eastAsia="Times New Roman" w:hint="default"/>
          <w:spacing w:val="-1"/>
        </w:rPr>
        <w:t>TEE</w:t>
      </w:r>
      <w:r>
        <w:rPr>
          <w:spacing w:val="-1"/>
        </w:rPr>
        <w:t>、</w:t>
      </w:r>
      <w:r>
        <w:rPr>
          <w:rFonts w:ascii="Times New Roman" w:hAnsi="Times New Roman" w:cs="Times New Roman" w:eastAsia="Times New Roman" w:hint="default"/>
          <w:spacing w:val="-1"/>
        </w:rPr>
        <w:t>TA</w:t>
      </w:r>
      <w:r>
        <w:rPr>
          <w:spacing w:val="-1"/>
        </w:rPr>
        <w:t>、</w:t>
      </w:r>
      <w:r>
        <w:rPr>
          <w:rFonts w:ascii="Times New Roman" w:hAnsi="Times New Roman" w:cs="Times New Roman" w:eastAsia="Times New Roman" w:hint="default"/>
          <w:spacing w:val="-1"/>
        </w:rPr>
        <w:t>eSE</w:t>
      </w:r>
      <w:r>
        <w:rPr>
          <w:spacing w:val="-1"/>
        </w:rPr>
        <w:t>、</w:t>
      </w:r>
      <w:r>
        <w:rPr>
          <w:rFonts w:ascii="Times New Roman" w:hAnsi="Times New Roman" w:cs="Times New Roman" w:eastAsia="Times New Roman" w:hint="default"/>
          <w:spacing w:val="-1"/>
        </w:rPr>
        <w:t>TSM</w:t>
      </w:r>
      <w:r>
        <w:rPr>
          <w:spacing w:val="-1"/>
        </w:rPr>
        <w:t>、</w:t>
      </w:r>
      <w:r>
        <w:rPr>
          <w:spacing w:val="-47"/>
        </w:rPr>
        <w:t> </w:t>
      </w:r>
      <w:r>
        <w:rPr>
          <w:rFonts w:ascii="Times New Roman" w:hAnsi="Times New Roman" w:cs="Times New Roman" w:eastAsia="Times New Roman" w:hint="default"/>
        </w:rPr>
        <w:t>TAM</w:t>
      </w:r>
      <w:r>
        <w:rPr/>
        <w:t>的完整的安全解决方案。公司与产业链合作方紧密合作，提供适合不同应用场景的安全解决方案。公司在产品技术、</w:t>
      </w:r>
      <w:r>
        <w:rPr>
          <w:spacing w:val="-58"/>
        </w:rPr>
        <w:t> </w:t>
      </w:r>
      <w:r>
        <w:rPr>
          <w:spacing w:val="-58"/>
        </w:rPr>
      </w:r>
      <w:r>
        <w:rPr/>
        <w:t>应用拓展，产业链合作等方面具备一定的先发优势。</w:t>
      </w:r>
    </w:p>
    <w:p>
      <w:pPr>
        <w:pStyle w:val="BodyText"/>
        <w:spacing w:line="300" w:lineRule="auto" w:before="31"/>
        <w:ind w:right="1056" w:firstLine="360"/>
        <w:jc w:val="both"/>
      </w:pPr>
      <w:r>
        <w:rPr/>
        <w:t>智能</w:t>
      </w:r>
      <w:r>
        <w:rPr>
          <w:rFonts w:ascii="Times New Roman" w:hAnsi="Times New Roman" w:cs="Times New Roman" w:eastAsia="Times New Roman" w:hint="default"/>
        </w:rPr>
        <w:t>IC</w:t>
      </w:r>
      <w:r>
        <w:rPr/>
        <w:t>卡产品主要原材料为</w:t>
      </w:r>
      <w:r>
        <w:rPr>
          <w:rFonts w:ascii="Times New Roman" w:hAnsi="Times New Roman" w:cs="Times New Roman" w:eastAsia="Times New Roman" w:hint="default"/>
        </w:rPr>
        <w:t>CPU</w:t>
      </w:r>
      <w:r>
        <w:rPr/>
        <w:t>芯片，公司通过参加商业银行、城市一卡通等客户的公开招投标获得发卡资格和订单， 并按照招投标确定的价格和订单数量销售给客户。该业务主要的业绩驱动因素为卡片销售价格的变化幅度。</w:t>
      </w:r>
    </w:p>
    <w:p>
      <w:pPr>
        <w:pStyle w:val="BodyText"/>
        <w:spacing w:line="300" w:lineRule="auto" w:before="31"/>
        <w:ind w:right="1128" w:firstLine="360"/>
        <w:jc w:val="both"/>
      </w:pPr>
      <w:r>
        <w:rPr>
          <w:spacing w:val="-2"/>
        </w:rPr>
        <w:t>通信和物联网连接是以</w:t>
      </w:r>
      <w:r>
        <w:rPr>
          <w:rFonts w:ascii="Times New Roman" w:hAnsi="Times New Roman" w:cs="Times New Roman" w:eastAsia="Times New Roman" w:hint="default"/>
          <w:spacing w:val="-2"/>
        </w:rPr>
        <w:t>CPU</w:t>
      </w:r>
      <w:r>
        <w:rPr>
          <w:spacing w:val="-2"/>
        </w:rPr>
        <w:t>芯片为基础，为运营商的通讯设备和物联网终端设备提供连接服务。该业务主要驱动因素为</w:t>
      </w:r>
      <w:r>
        <w:rPr/>
        <w:t> 连接设备数量。公司一直以来在三大运营商占有较高比例。尤其在物联网市场不断增长的情况下，连接设备会大幅增长。</w:t>
      </w:r>
    </w:p>
    <w:p>
      <w:pPr>
        <w:pStyle w:val="BodyText"/>
        <w:spacing w:line="307" w:lineRule="auto" w:before="31"/>
        <w:ind w:right="1126" w:firstLine="360"/>
        <w:jc w:val="both"/>
      </w:pPr>
      <w:r>
        <w:rPr>
          <w:spacing w:val="-2"/>
        </w:rPr>
        <w:t>智能终端是移动互联网时代方便持卡人随时随地进行</w:t>
      </w:r>
      <w:r>
        <w:rPr>
          <w:rFonts w:ascii="Times New Roman" w:hAnsi="Times New Roman" w:cs="Times New Roman" w:eastAsia="Times New Roman" w:hint="default"/>
          <w:spacing w:val="-2"/>
        </w:rPr>
        <w:t>IC</w:t>
      </w:r>
      <w:r>
        <w:rPr>
          <w:spacing w:val="-2"/>
        </w:rPr>
        <w:t>卡有卡支付和圈存的移动终端，传统燃气、交通等民生便民应用</w:t>
      </w:r>
      <w:r>
        <w:rPr/>
        <w:t> 对线上充值与支付需求明确。</w:t>
      </w:r>
      <w:r>
        <w:rPr>
          <w:rFonts w:ascii="Times New Roman" w:hAnsi="Times New Roman" w:cs="Times New Roman" w:eastAsia="Times New Roman" w:hint="default"/>
        </w:rPr>
        <w:t>mPOS</w:t>
      </w:r>
      <w:r>
        <w:rPr/>
        <w:t>、智能</w:t>
      </w:r>
      <w:r>
        <w:rPr>
          <w:rFonts w:ascii="Times New Roman" w:hAnsi="Times New Roman" w:cs="Times New Roman" w:eastAsia="Times New Roman" w:hint="default"/>
        </w:rPr>
        <w:t>POS</w:t>
      </w:r>
      <w:r>
        <w:rPr/>
        <w:t>等互联网</w:t>
      </w:r>
      <w:r>
        <w:rPr>
          <w:rFonts w:ascii="Times New Roman" w:hAnsi="Times New Roman" w:cs="Times New Roman" w:eastAsia="Times New Roman" w:hint="default"/>
        </w:rPr>
        <w:t>POS</w:t>
      </w:r>
      <w:r>
        <w:rPr/>
        <w:t>产品是移动互联网时代传统</w:t>
      </w:r>
      <w:r>
        <w:rPr>
          <w:rFonts w:ascii="Times New Roman" w:hAnsi="Times New Roman" w:cs="Times New Roman" w:eastAsia="Times New Roman" w:hint="default"/>
        </w:rPr>
        <w:t>POS</w:t>
      </w:r>
      <w:r>
        <w:rPr/>
        <w:t>的更新换代产品。税控盘是国</w:t>
      </w:r>
      <w:r>
        <w:rPr>
          <w:spacing w:val="-36"/>
        </w:rPr>
        <w:t> </w:t>
      </w:r>
      <w:r>
        <w:rPr>
          <w:spacing w:val="-36"/>
        </w:rPr>
      </w:r>
      <w:r>
        <w:rPr>
          <w:spacing w:val="-2"/>
        </w:rPr>
        <w:t>税总局规定的增值税纳税人必备的税控设备，销售价格由国家发改委确定。公司终端产品主要的业绩驱动因素为产品销售量</w:t>
      </w:r>
      <w:r>
        <w:rPr>
          <w:spacing w:val="-64"/>
        </w:rPr>
        <w:t> </w:t>
      </w:r>
      <w:r>
        <w:rPr>
          <w:spacing w:val="-64"/>
        </w:rPr>
      </w:r>
      <w:r>
        <w:rPr/>
        <w:t>和成本控制。</w:t>
      </w:r>
    </w:p>
    <w:p>
      <w:pPr>
        <w:pStyle w:val="BodyText"/>
        <w:spacing w:line="309" w:lineRule="auto" w:before="26"/>
        <w:ind w:right="0" w:firstLine="360"/>
        <w:jc w:val="left"/>
      </w:pPr>
      <w:r>
        <w:rPr>
          <w:spacing w:val="-2"/>
        </w:rPr>
        <w:t>系统平台产品主要面向商业银行及行业客户提供行业一卡通、移动支付整体解决方案，面向商业银行及行业客户提供金</w:t>
      </w:r>
      <w:r>
        <w:rPr/>
        <w:t> </w:t>
      </w:r>
      <w:r>
        <w:rPr>
          <w:spacing w:val="-4"/>
        </w:rPr>
        <w:t>融</w:t>
      </w:r>
      <w:r>
        <w:rPr>
          <w:rFonts w:ascii="Times New Roman" w:hAnsi="Times New Roman" w:cs="Times New Roman" w:eastAsia="Times New Roman" w:hint="default"/>
          <w:spacing w:val="-4"/>
        </w:rPr>
        <w:t>IC</w:t>
      </w:r>
      <w:r>
        <w:rPr>
          <w:spacing w:val="-4"/>
        </w:rPr>
        <w:t>卡即时发卡以及社保卡、居民健康卡等行业卡的即时补换卡整体解决方案。其中移动支付整体解决方案聚合了手机</w:t>
      </w:r>
      <w:r>
        <w:rPr>
          <w:rFonts w:ascii="Times New Roman" w:hAnsi="Times New Roman" w:cs="Times New Roman" w:eastAsia="Times New Roman" w:hint="default"/>
          <w:spacing w:val="-4"/>
        </w:rPr>
        <w:t>PAY</w:t>
      </w:r>
      <w:r>
        <w:rPr>
          <w:spacing w:val="-4"/>
        </w:rPr>
        <w:t>、</w:t>
      </w:r>
      <w:r>
        <w:rPr>
          <w:spacing w:val="-38"/>
        </w:rPr>
        <w:t> </w:t>
      </w:r>
      <w:r>
        <w:rPr/>
        <w:t>行业</w:t>
      </w:r>
      <w:r>
        <w:rPr>
          <w:rFonts w:ascii="Times New Roman" w:hAnsi="Times New Roman" w:cs="Times New Roman" w:eastAsia="Times New Roman" w:hint="default"/>
        </w:rPr>
        <w:t>HCE</w:t>
      </w:r>
      <w:r>
        <w:rPr/>
        <w:t>、二维码、手机</w:t>
      </w:r>
      <w:r>
        <w:rPr>
          <w:rFonts w:ascii="Times New Roman" w:hAnsi="Times New Roman" w:cs="Times New Roman" w:eastAsia="Times New Roman" w:hint="default"/>
        </w:rPr>
        <w:t>TA</w:t>
      </w:r>
      <w:r>
        <w:rPr/>
        <w:t>盾最新技术，是国内外商业银行业务需求热点，也是公司培育的新的业务增长点。</w:t>
      </w:r>
    </w:p>
    <w:p>
      <w:pPr>
        <w:pStyle w:val="BodyText"/>
        <w:spacing w:line="316" w:lineRule="auto" w:before="5"/>
        <w:ind w:right="1129" w:firstLine="360"/>
        <w:jc w:val="both"/>
      </w:pPr>
      <w:r>
        <w:rPr>
          <w:spacing w:val="-2"/>
        </w:rPr>
        <w:t>金融科技服务主要面向金融领域，立足于公司长久以来在金融行业的丰富经验，通过技术手段的应用，尤其是计算机互</w:t>
      </w:r>
      <w:r>
        <w:rPr/>
        <w:t> </w:t>
      </w:r>
      <w:r>
        <w:rPr>
          <w:spacing w:val="-2"/>
        </w:rPr>
        <w:t>联网技术以提高金融服务质量和效率、降低金融机构运营成本。公司主要专注于在支付科技、交易科技、税务科技、监管科</w:t>
      </w:r>
      <w:r>
        <w:rPr>
          <w:spacing w:val="-67"/>
        </w:rPr>
        <w:t> </w:t>
      </w:r>
      <w:r>
        <w:rPr>
          <w:spacing w:val="-67"/>
        </w:rPr>
      </w:r>
      <w:r>
        <w:rPr/>
        <w:t>技和保险科技领域的开拓，并且一直致力于区块链技术在这些领域的应用。金融科技服务是在金融领域的新增长业务。</w:t>
      </w:r>
    </w:p>
    <w:p>
      <w:pPr>
        <w:pStyle w:val="BodyText"/>
        <w:spacing w:line="316" w:lineRule="auto" w:before="59"/>
        <w:ind w:right="1129" w:firstLine="360"/>
        <w:jc w:val="both"/>
      </w:pPr>
      <w:r>
        <w:rPr>
          <w:spacing w:val="-2"/>
        </w:rPr>
        <w:t>特种通信物联网业务主要面向公安、消防、国防建设、国家安全等应用领域市场，重点布局高端传感器设备、通信加密</w:t>
      </w:r>
      <w:r>
        <w:rPr/>
        <w:t> </w:t>
      </w:r>
      <w:r>
        <w:rPr>
          <w:spacing w:val="-2"/>
        </w:rPr>
        <w:t>终端、智能侦测终端等核心产品。在充分了解客户需求之后，与传统通信设备制造企业合作，在传统产品中融合了公司在金</w:t>
      </w:r>
      <w:r>
        <w:rPr>
          <w:spacing w:val="-67"/>
        </w:rPr>
        <w:t> </w:t>
      </w:r>
      <w:r>
        <w:rPr>
          <w:spacing w:val="-67"/>
        </w:rPr>
      </w:r>
      <w:r>
        <w:rPr>
          <w:spacing w:val="-2"/>
        </w:rPr>
        <w:t>融支付，移动通信、信息安全等领域的技术优势，形成了新一代高端智能安全通信设备；并结合智能云服务平台，为客户提</w:t>
      </w:r>
      <w:r>
        <w:rPr>
          <w:spacing w:val="-66"/>
        </w:rPr>
        <w:t> </w:t>
      </w:r>
      <w:r>
        <w:rPr>
          <w:spacing w:val="-66"/>
        </w:rPr>
      </w:r>
      <w:r>
        <w:rPr/>
        <w:t>供应急指挥通信、数据链等特种应用整体解决方案。该业务是公司培育的新的业务增长点。</w:t>
      </w:r>
    </w:p>
    <w:p>
      <w:pPr>
        <w:spacing w:after="0" w:line="316" w:lineRule="auto"/>
        <w:jc w:val="both"/>
        <w:sectPr>
          <w:pgSz w:w="11910" w:h="16840"/>
          <w:pgMar w:header="906" w:footer="1018" w:top="1100" w:bottom="1200" w:left="1020" w:right="0"/>
        </w:sectPr>
      </w:pPr>
    </w:p>
    <w:p>
      <w:pPr>
        <w:spacing w:line="240" w:lineRule="auto" w:before="8"/>
        <w:rPr>
          <w:rFonts w:ascii="宋体" w:hAnsi="宋体" w:cs="宋体" w:eastAsia="宋体" w:hint="default"/>
          <w:sz w:val="20"/>
          <w:szCs w:val="20"/>
        </w:rPr>
      </w:pPr>
    </w:p>
    <w:p>
      <w:pPr>
        <w:pStyle w:val="Heading2"/>
        <w:spacing w:line="240" w:lineRule="auto" w:before="26"/>
        <w:ind w:right="0"/>
        <w:jc w:val="left"/>
        <w:rPr>
          <w:b w:val="0"/>
          <w:bCs w:val="0"/>
        </w:rPr>
      </w:pPr>
      <w:r>
        <w:rPr/>
        <w:t>二、主要资产重大变化情况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r>
        <w:rPr>
          <w:rFonts w:ascii="Times New Roman" w:hAnsi="Times New Roman" w:cs="Times New Roman" w:eastAsia="Times New Roman" w:hint="default"/>
        </w:rPr>
        <w:t>1</w:t>
      </w:r>
      <w:r>
        <w:rPr/>
        <w:t>、主要资产重大变化情况</w:t>
      </w:r>
      <w:r>
        <w:rPr>
          <w:b w:val="0"/>
          <w:bCs w:val="0"/>
        </w:rPr>
      </w:r>
    </w:p>
    <w:p>
      <w:pPr>
        <w:spacing w:line="240" w:lineRule="auto" w:before="10"/>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3051"/>
        <w:gridCol w:w="6517"/>
      </w:tblGrid>
      <w:tr>
        <w:trPr>
          <w:trHeight w:val="401" w:hRule="exact"/>
        </w:trPr>
        <w:tc>
          <w:tcPr>
            <w:tcW w:w="305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主要资产</w:t>
            </w:r>
          </w:p>
        </w:tc>
        <w:tc>
          <w:tcPr>
            <w:tcW w:w="651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重大变化说明</w:t>
            </w:r>
          </w:p>
        </w:tc>
      </w:tr>
      <w:tr>
        <w:trPr>
          <w:trHeight w:val="403" w:hRule="exact"/>
        </w:trPr>
        <w:tc>
          <w:tcPr>
            <w:tcW w:w="305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股权资产</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无重大变化。</w:t>
            </w:r>
          </w:p>
        </w:tc>
      </w:tr>
      <w:tr>
        <w:trPr>
          <w:trHeight w:val="402" w:hRule="exact"/>
        </w:trPr>
        <w:tc>
          <w:tcPr>
            <w:tcW w:w="305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无重大变化。</w:t>
            </w:r>
          </w:p>
        </w:tc>
      </w:tr>
      <w:tr>
        <w:trPr>
          <w:trHeight w:val="402" w:hRule="exact"/>
        </w:trPr>
        <w:tc>
          <w:tcPr>
            <w:tcW w:w="305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无重大变化。</w:t>
            </w:r>
          </w:p>
        </w:tc>
      </w:tr>
      <w:tr>
        <w:trPr>
          <w:trHeight w:val="714" w:hRule="exact"/>
        </w:trPr>
        <w:tc>
          <w:tcPr>
            <w:tcW w:w="305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102" w:right="102"/>
              <w:jc w:val="left"/>
              <w:rPr>
                <w:rFonts w:ascii="宋体" w:hAnsi="宋体" w:cs="宋体" w:eastAsia="宋体" w:hint="default"/>
                <w:sz w:val="18"/>
                <w:szCs w:val="18"/>
              </w:rPr>
            </w:pPr>
            <w:r>
              <w:rPr>
                <w:rFonts w:ascii="宋体" w:hAnsi="宋体" w:cs="宋体" w:eastAsia="宋体" w:hint="default"/>
                <w:sz w:val="18"/>
                <w:szCs w:val="18"/>
              </w:rPr>
              <w:t>报告期末，在建工程比年初增加</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2,312.45 </w:t>
            </w:r>
            <w:r>
              <w:rPr>
                <w:rFonts w:ascii="宋体" w:hAnsi="宋体" w:cs="宋体" w:eastAsia="宋体" w:hint="default"/>
                <w:sz w:val="18"/>
                <w:szCs w:val="18"/>
              </w:rPr>
              <w:t>万元，主要是因为子公司智能系统购买 办公楼及办公楼装修影响所致。</w:t>
            </w:r>
          </w:p>
        </w:tc>
      </w:tr>
      <w:tr>
        <w:trPr>
          <w:trHeight w:val="714" w:hRule="exact"/>
        </w:trPr>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102" w:right="101"/>
              <w:jc w:val="left"/>
              <w:rPr>
                <w:rFonts w:ascii="宋体" w:hAnsi="宋体" w:cs="宋体" w:eastAsia="宋体" w:hint="default"/>
                <w:sz w:val="18"/>
                <w:szCs w:val="18"/>
              </w:rPr>
            </w:pPr>
            <w:r>
              <w:rPr>
                <w:rFonts w:ascii="宋体" w:hAnsi="宋体" w:cs="宋体" w:eastAsia="宋体" w:hint="default"/>
                <w:spacing w:val="-2"/>
                <w:sz w:val="18"/>
                <w:szCs w:val="18"/>
              </w:rPr>
              <w:t>报告期末，公司货币资金比年初减少</w:t>
            </w:r>
            <w:r>
              <w:rPr>
                <w:rFonts w:ascii="宋体" w:hAnsi="宋体" w:cs="宋体" w:eastAsia="宋体" w:hint="default"/>
                <w:spacing w:val="-33"/>
                <w:sz w:val="18"/>
                <w:szCs w:val="18"/>
              </w:rPr>
              <w:t> </w:t>
            </w:r>
            <w:r>
              <w:rPr>
                <w:rFonts w:ascii="Times New Roman" w:hAnsi="Times New Roman" w:cs="Times New Roman" w:eastAsia="Times New Roman" w:hint="default"/>
                <w:spacing w:val="-2"/>
                <w:sz w:val="18"/>
                <w:szCs w:val="18"/>
              </w:rPr>
              <w:t>35.02%</w:t>
            </w:r>
            <w:r>
              <w:rPr>
                <w:rFonts w:ascii="宋体" w:hAnsi="宋体" w:cs="宋体" w:eastAsia="宋体" w:hint="default"/>
                <w:spacing w:val="-2"/>
                <w:sz w:val="18"/>
                <w:szCs w:val="18"/>
              </w:rPr>
              <w:t>，主要是因为报告期公司增加购买理</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财产品影响所致。</w:t>
            </w:r>
          </w:p>
        </w:tc>
      </w:tr>
      <w:tr>
        <w:trPr>
          <w:trHeight w:val="714" w:hRule="exact"/>
        </w:trPr>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102" w:right="101"/>
              <w:jc w:val="left"/>
              <w:rPr>
                <w:rFonts w:ascii="宋体" w:hAnsi="宋体" w:cs="宋体" w:eastAsia="宋体" w:hint="default"/>
                <w:sz w:val="18"/>
                <w:szCs w:val="18"/>
              </w:rPr>
            </w:pPr>
            <w:r>
              <w:rPr>
                <w:rFonts w:ascii="宋体" w:hAnsi="宋体" w:cs="宋体" w:eastAsia="宋体" w:hint="default"/>
                <w:spacing w:val="-2"/>
                <w:sz w:val="18"/>
                <w:szCs w:val="18"/>
              </w:rPr>
              <w:t>报告期末，公司交易性金融资产比年初增加</w:t>
            </w:r>
            <w:r>
              <w:rPr>
                <w:rFonts w:ascii="宋体" w:hAnsi="宋体" w:cs="宋体" w:eastAsia="宋体" w:hint="default"/>
                <w:spacing w:val="-33"/>
                <w:sz w:val="18"/>
                <w:szCs w:val="18"/>
              </w:rPr>
              <w:t> </w:t>
            </w:r>
            <w:r>
              <w:rPr>
                <w:rFonts w:ascii="Times New Roman" w:hAnsi="Times New Roman" w:cs="Times New Roman" w:eastAsia="Times New Roman" w:hint="default"/>
                <w:spacing w:val="-2"/>
                <w:sz w:val="18"/>
                <w:szCs w:val="18"/>
              </w:rPr>
              <w:t>59.09%</w:t>
            </w:r>
            <w:r>
              <w:rPr>
                <w:rFonts w:ascii="宋体" w:hAnsi="宋体" w:cs="宋体" w:eastAsia="宋体" w:hint="default"/>
                <w:spacing w:val="-2"/>
                <w:sz w:val="18"/>
                <w:szCs w:val="18"/>
              </w:rPr>
              <w:t>，主要是因为报告期公司购买</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结构性存款理财产品比年初增加所致。</w:t>
            </w:r>
          </w:p>
        </w:tc>
      </w:tr>
      <w:tr>
        <w:trPr>
          <w:trHeight w:val="714" w:hRule="exact"/>
        </w:trPr>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102" w:right="101"/>
              <w:jc w:val="left"/>
              <w:rPr>
                <w:rFonts w:ascii="宋体" w:hAnsi="宋体" w:cs="宋体" w:eastAsia="宋体" w:hint="default"/>
                <w:sz w:val="18"/>
                <w:szCs w:val="18"/>
              </w:rPr>
            </w:pPr>
            <w:r>
              <w:rPr>
                <w:rFonts w:ascii="宋体" w:hAnsi="宋体" w:cs="宋体" w:eastAsia="宋体" w:hint="default"/>
                <w:spacing w:val="-2"/>
                <w:sz w:val="18"/>
                <w:szCs w:val="18"/>
              </w:rPr>
              <w:t>报告期末，公司预付款项比年初增加</w:t>
            </w:r>
            <w:r>
              <w:rPr>
                <w:rFonts w:ascii="宋体" w:hAnsi="宋体" w:cs="宋体" w:eastAsia="宋体" w:hint="default"/>
                <w:spacing w:val="-33"/>
                <w:sz w:val="18"/>
                <w:szCs w:val="18"/>
              </w:rPr>
              <w:t> </w:t>
            </w:r>
            <w:r>
              <w:rPr>
                <w:rFonts w:ascii="Times New Roman" w:hAnsi="Times New Roman" w:cs="Times New Roman" w:eastAsia="Times New Roman" w:hint="default"/>
                <w:spacing w:val="-2"/>
                <w:sz w:val="18"/>
                <w:szCs w:val="18"/>
              </w:rPr>
              <w:t>64.73%</w:t>
            </w:r>
            <w:r>
              <w:rPr>
                <w:rFonts w:ascii="宋体" w:hAnsi="宋体" w:cs="宋体" w:eastAsia="宋体" w:hint="default"/>
                <w:spacing w:val="-2"/>
                <w:sz w:val="18"/>
                <w:szCs w:val="18"/>
              </w:rPr>
              <w:t>，主要是因为报告期公司预付大额特</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种通信物联网业务配套采购硬件款所致。</w:t>
            </w:r>
          </w:p>
        </w:tc>
      </w:tr>
    </w:tbl>
    <w:p>
      <w:pPr>
        <w:spacing w:line="240" w:lineRule="auto" w:before="1"/>
        <w:rPr>
          <w:rFonts w:ascii="宋体" w:hAnsi="宋体" w:cs="宋体" w:eastAsia="宋体" w:hint="default"/>
          <w:b/>
          <w:bCs/>
          <w:sz w:val="19"/>
          <w:szCs w:val="19"/>
        </w:rPr>
      </w:pPr>
    </w:p>
    <w:p>
      <w:pPr>
        <w:pStyle w:val="Heading3"/>
        <w:spacing w:line="240" w:lineRule="auto" w:before="35"/>
        <w:ind w:right="0"/>
        <w:jc w:val="left"/>
        <w:rPr>
          <w:b w:val="0"/>
          <w:bCs w:val="0"/>
        </w:rPr>
      </w:pPr>
      <w:r>
        <w:rPr>
          <w:rFonts w:ascii="Times New Roman" w:hAnsi="Times New Roman" w:cs="Times New Roman" w:eastAsia="Times New Roman" w:hint="default"/>
        </w:rPr>
        <w:t>2</w:t>
      </w:r>
      <w:r>
        <w:rPr/>
        <w:t>、主要境外资产情况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
        <w:rPr>
          <w:rFonts w:ascii="宋体" w:hAnsi="宋体" w:cs="宋体" w:eastAsia="宋体" w:hint="default"/>
          <w:sz w:val="25"/>
          <w:szCs w:val="25"/>
        </w:rPr>
      </w:pPr>
    </w:p>
    <w:p>
      <w:pPr>
        <w:pStyle w:val="Heading2"/>
        <w:spacing w:line="240" w:lineRule="auto"/>
        <w:ind w:right="0"/>
        <w:jc w:val="left"/>
        <w:rPr>
          <w:b w:val="0"/>
          <w:bCs w:val="0"/>
        </w:rPr>
      </w:pPr>
      <w:r>
        <w:rPr/>
        <w:t>三、核心竞争力分析</w:t>
      </w:r>
      <w:r>
        <w:rPr>
          <w:b w:val="0"/>
          <w:bCs w:val="0"/>
        </w:rPr>
      </w:r>
    </w:p>
    <w:p>
      <w:pPr>
        <w:spacing w:line="240" w:lineRule="auto" w:before="8"/>
        <w:rPr>
          <w:rFonts w:ascii="宋体" w:hAnsi="宋体" w:cs="宋体" w:eastAsia="宋体" w:hint="default"/>
          <w:b/>
          <w:bCs/>
          <w:sz w:val="26"/>
          <w:szCs w:val="26"/>
        </w:rPr>
      </w:pPr>
    </w:p>
    <w:p>
      <w:pPr>
        <w:pStyle w:val="BodyText"/>
        <w:spacing w:line="316" w:lineRule="auto"/>
        <w:ind w:right="0" w:firstLine="419"/>
        <w:jc w:val="left"/>
      </w:pPr>
      <w:r>
        <w:rPr>
          <w:spacing w:val="-2"/>
        </w:rPr>
        <w:t>作为中国数据安全领域的领军企业，公司</w:t>
      </w:r>
      <w:r>
        <w:rPr>
          <w:color w:val="252525"/>
          <w:spacing w:val="-2"/>
        </w:rPr>
        <w:t>致力于为银行、通信、政府公共服务部门、防务、交通等领域提供数据安全、</w:t>
      </w:r>
      <w:r>
        <w:rPr>
          <w:color w:val="252525"/>
        </w:rPr>
        <w:t> </w:t>
      </w:r>
      <w:r>
        <w:rPr>
          <w:color w:val="252525"/>
          <w:spacing w:val="-2"/>
        </w:rPr>
        <w:t>身份认证、智能模组、平台服务、大数据和区块链技术解决方案等，从安全设备到支付安全、身份与隐私保护、移动支付解</w:t>
      </w:r>
      <w:r>
        <w:rPr>
          <w:color w:val="252525"/>
          <w:spacing w:val="-67"/>
        </w:rPr>
        <w:t> </w:t>
      </w:r>
      <w:r>
        <w:rPr>
          <w:color w:val="252525"/>
          <w:spacing w:val="-67"/>
        </w:rPr>
      </w:r>
      <w:r>
        <w:rPr>
          <w:color w:val="252525"/>
          <w:spacing w:val="-2"/>
        </w:rPr>
        <w:t>决方案、云认证访问服务及物联网等，公司以雄厚的技术实力和多年在数字安全领域独特的经验助力客户为数十亿用户设备</w:t>
      </w:r>
      <w:r>
        <w:rPr>
          <w:color w:val="252525"/>
          <w:spacing w:val="-64"/>
        </w:rPr>
        <w:t> </w:t>
      </w:r>
      <w:r>
        <w:rPr>
          <w:color w:val="252525"/>
          <w:spacing w:val="-64"/>
        </w:rPr>
      </w:r>
      <w:r>
        <w:rPr>
          <w:color w:val="252525"/>
          <w:spacing w:val="-2"/>
        </w:rPr>
        <w:t>提供安全数据服务。</w:t>
      </w:r>
      <w:r>
        <w:rPr>
          <w:spacing w:val="-2"/>
        </w:rPr>
        <w:t>随着公司战略升级，为客户提供更加安全化和智能化的连接服务解决方案目标的确立，公司不断提升核</w:t>
      </w:r>
      <w:r>
        <w:rPr>
          <w:spacing w:val="-65"/>
        </w:rPr>
        <w:t> </w:t>
      </w:r>
      <w:r>
        <w:rPr>
          <w:spacing w:val="-65"/>
        </w:rPr>
      </w:r>
      <w:r>
        <w:rPr/>
        <w:t>心竞争力和综合运营能力，加快资源整合速度，在新产品研发能力、运营管理水平、市场拓展等方面成为行业领导者。</w:t>
      </w:r>
    </w:p>
    <w:p>
      <w:pPr>
        <w:pStyle w:val="BodyText"/>
        <w:spacing w:line="309" w:lineRule="auto" w:before="58"/>
        <w:ind w:right="0" w:firstLine="419"/>
        <w:jc w:val="left"/>
      </w:pPr>
      <w:r>
        <w:rPr>
          <w:rFonts w:ascii="Times New Roman" w:hAnsi="Times New Roman" w:cs="Times New Roman" w:eastAsia="Times New Roman" w:hint="default"/>
        </w:rPr>
        <w:t>1</w:t>
      </w:r>
      <w:r>
        <w:rPr/>
        <w:t>、技术优势。公司是国家火炬重点高新技术企业、国家规划布局内重点软件企业、国家高新技术企业和</w:t>
      </w:r>
      <w:r>
        <w:rPr>
          <w:rFonts w:ascii="Times New Roman" w:hAnsi="Times New Roman" w:cs="Times New Roman" w:eastAsia="Times New Roman" w:hint="default"/>
        </w:rPr>
        <w:t>“</w:t>
      </w:r>
      <w:r>
        <w:rPr/>
        <w:t>双软</w:t>
      </w:r>
      <w:r>
        <w:rPr>
          <w:rFonts w:ascii="Times New Roman" w:hAnsi="Times New Roman" w:cs="Times New Roman" w:eastAsia="Times New Roman" w:hint="default"/>
        </w:rPr>
        <w:t>”</w:t>
      </w:r>
      <w:r>
        <w:rPr/>
        <w:t>认证的 </w:t>
      </w:r>
      <w:r>
        <w:rPr>
          <w:spacing w:val="-4"/>
        </w:rPr>
        <w:t>企业、也是江苏省智能卡工程技术研究开发中心。公司以智能卡、安全终端、移动支付及系统整体解决方案为主要技术方向，</w:t>
      </w:r>
      <w:r>
        <w:rPr>
          <w:spacing w:val="-44"/>
        </w:rPr>
        <w:t> </w:t>
      </w:r>
      <w:r>
        <w:rPr>
          <w:spacing w:val="-44"/>
        </w:rPr>
      </w:r>
      <w:r>
        <w:rPr/>
        <w:t>不断探索新产品市场。报告期内公司继续加大移动支付、安全终端、平台产品等研发投入。</w:t>
      </w:r>
    </w:p>
    <w:p>
      <w:pPr>
        <w:pStyle w:val="BodyText"/>
        <w:spacing w:line="300" w:lineRule="auto" w:before="64"/>
        <w:ind w:right="1115" w:firstLine="419"/>
        <w:jc w:val="left"/>
      </w:pPr>
      <w:r>
        <w:rPr>
          <w:rFonts w:ascii="Times New Roman" w:hAnsi="Times New Roman" w:cs="Times New Roman" w:eastAsia="Times New Roman" w:hint="default"/>
          <w:spacing w:val="-1"/>
        </w:rPr>
        <w:t>2</w:t>
      </w:r>
      <w:r>
        <w:rPr>
          <w:spacing w:val="-1"/>
        </w:rPr>
        <w:t>、规模优势。公司经过智能卡产业多年发展，产品线齐全、产能领先，拥有丰富的制造和供应链优势，有助于公司更</w:t>
      </w:r>
      <w:r>
        <w:rPr/>
        <w:t> 好地降低成本，并且在更大的范围内调控资源，提供产品市场竞争能力。</w:t>
      </w:r>
    </w:p>
    <w:p>
      <w:pPr>
        <w:pStyle w:val="BodyText"/>
        <w:spacing w:line="309" w:lineRule="auto" w:before="71"/>
        <w:ind w:right="0" w:firstLine="419"/>
        <w:jc w:val="left"/>
      </w:pPr>
      <w:r>
        <w:rPr>
          <w:rFonts w:ascii="Times New Roman" w:hAnsi="Times New Roman" w:cs="Times New Roman" w:eastAsia="Times New Roman" w:hint="default"/>
          <w:spacing w:val="-3"/>
        </w:rPr>
        <w:t>3</w:t>
      </w:r>
      <w:r>
        <w:rPr>
          <w:spacing w:val="-3"/>
        </w:rPr>
        <w:t>、行业优势。公司凭借突出的市场能力、技术能力和服务能力，是三大通信运营商、各大商业银行、住建部、交通部、</w:t>
      </w:r>
      <w:r>
        <w:rPr/>
        <w:t> </w:t>
      </w:r>
      <w:r>
        <w:rPr>
          <w:spacing w:val="-2"/>
        </w:rPr>
        <w:t>卫生部、国税总局、铁路公司等重要客户相关产品的主要供应商。公司是目前国内智能卡行业中拥有各种资质最多的企业之</w:t>
      </w:r>
      <w:r>
        <w:rPr>
          <w:spacing w:val="-62"/>
        </w:rPr>
        <w:t> </w:t>
      </w:r>
      <w:r>
        <w:rPr>
          <w:spacing w:val="-62"/>
        </w:rPr>
      </w:r>
      <w:r>
        <w:rPr/>
        <w:t>一，这些资质是智能卡企业进入重要细分市场的必要条件。</w:t>
      </w:r>
    </w:p>
    <w:p>
      <w:pPr>
        <w:pStyle w:val="BodyText"/>
        <w:spacing w:line="300" w:lineRule="auto" w:before="63"/>
        <w:ind w:right="0" w:firstLine="419"/>
        <w:jc w:val="left"/>
      </w:pPr>
      <w:r>
        <w:rPr>
          <w:rFonts w:ascii="Times New Roman" w:hAnsi="Times New Roman" w:cs="Times New Roman" w:eastAsia="Times New Roman" w:hint="default"/>
          <w:spacing w:val="-2"/>
        </w:rPr>
        <w:t>4</w:t>
      </w:r>
      <w:r>
        <w:rPr>
          <w:spacing w:val="-2"/>
        </w:rPr>
        <w:t>、产品结构优势。公司的业务覆盖通信、金融支付、政府公共服务部门三大应用领域，产品覆盖智能卡、安全终端和</w:t>
      </w:r>
      <w:r>
        <w:rPr/>
        <w:t> 移动支付及系统平台解决方案、运营服务，产品结构丰富，打通三端形成闭环。</w:t>
      </w:r>
    </w:p>
    <w:p>
      <w:pPr>
        <w:pStyle w:val="BodyText"/>
        <w:spacing w:line="300" w:lineRule="auto" w:before="71"/>
        <w:ind w:right="0" w:firstLine="419"/>
        <w:jc w:val="left"/>
      </w:pPr>
      <w:r>
        <w:rPr>
          <w:rFonts w:ascii="Times New Roman" w:hAnsi="Times New Roman" w:cs="Times New Roman" w:eastAsia="Times New Roman" w:hint="default"/>
          <w:spacing w:val="-2"/>
        </w:rPr>
        <w:t>5</w:t>
      </w:r>
      <w:r>
        <w:rPr>
          <w:spacing w:val="-2"/>
        </w:rPr>
        <w:t>、管理优势。经过多年的发展实践，公司已拥有较完善的法人治理结构和良好的现代化企业运营机制。公司通过建立</w:t>
      </w:r>
      <w:r>
        <w:rPr/>
        <w:t> 健全内部控制，持续不断的深化内部管理提升机制，使得公司应变能力和抗风险能力不断加强。</w:t>
      </w:r>
    </w:p>
    <w:p>
      <w:pPr>
        <w:pStyle w:val="BodyText"/>
        <w:spacing w:line="240" w:lineRule="auto" w:before="71"/>
        <w:ind w:left="533" w:right="0"/>
        <w:jc w:val="left"/>
      </w:pPr>
      <w:r>
        <w:rPr>
          <w:rFonts w:ascii="Times New Roman" w:hAnsi="Times New Roman" w:cs="Times New Roman" w:eastAsia="Times New Roman" w:hint="default"/>
        </w:rPr>
        <w:t>6</w:t>
      </w:r>
      <w:r>
        <w:rPr/>
        <w:t>、国际市场业务优势。公司于2010年2月、2018年11月和2019年5月在新加坡、肯尼亚和印度尼西亚分别设立了恒宝国</w:t>
      </w:r>
    </w:p>
    <w:p>
      <w:pPr>
        <w:spacing w:after="0" w:line="240" w:lineRule="auto"/>
        <w:jc w:val="left"/>
        <w:sectPr>
          <w:pgSz w:w="11910" w:h="16840"/>
          <w:pgMar w:header="906" w:footer="1018" w:top="1100" w:bottom="1200" w:left="1020" w:right="0"/>
        </w:sectPr>
      </w:pPr>
    </w:p>
    <w:p>
      <w:pPr>
        <w:spacing w:line="240" w:lineRule="auto" w:before="11"/>
        <w:rPr>
          <w:rFonts w:ascii="宋体" w:hAnsi="宋体" w:cs="宋体" w:eastAsia="宋体" w:hint="default"/>
          <w:sz w:val="22"/>
          <w:szCs w:val="22"/>
        </w:rPr>
      </w:pPr>
    </w:p>
    <w:p>
      <w:pPr>
        <w:pStyle w:val="BodyText"/>
        <w:spacing w:line="300" w:lineRule="auto" w:before="44"/>
        <w:ind w:right="1118"/>
        <w:jc w:val="left"/>
      </w:pPr>
      <w:r>
        <w:rPr>
          <w:spacing w:val="-2"/>
        </w:rPr>
        <w:t>际有限责任公司和恒宝（中东非洲）有限责任公司和</w:t>
      </w:r>
      <w:r>
        <w:rPr>
          <w:rFonts w:ascii="Times New Roman" w:hAnsi="Times New Roman" w:cs="Times New Roman" w:eastAsia="Times New Roman" w:hint="default"/>
          <w:spacing w:val="-2"/>
        </w:rPr>
        <w:t>“PT.Chipstone</w:t>
      </w:r>
      <w:r>
        <w:rPr>
          <w:rFonts w:ascii="Times New Roman" w:hAnsi="Times New Roman" w:cs="Times New Roman" w:eastAsia="Times New Roman" w:hint="default"/>
          <w:spacing w:val="4"/>
        </w:rPr>
        <w:t> </w:t>
      </w:r>
      <w:r>
        <w:rPr>
          <w:rFonts w:ascii="Times New Roman" w:hAnsi="Times New Roman" w:cs="Times New Roman" w:eastAsia="Times New Roman" w:hint="default"/>
          <w:spacing w:val="-2"/>
        </w:rPr>
        <w:t>Technologies</w:t>
      </w:r>
      <w:r>
        <w:rPr>
          <w:rFonts w:ascii="Times New Roman" w:hAnsi="Times New Roman" w:cs="Times New Roman" w:eastAsia="Times New Roman" w:hint="default"/>
          <w:spacing w:val="7"/>
        </w:rPr>
        <w:t> </w:t>
      </w:r>
      <w:r>
        <w:rPr>
          <w:rFonts w:ascii="Times New Roman" w:hAnsi="Times New Roman" w:cs="Times New Roman" w:eastAsia="Times New Roman" w:hint="default"/>
          <w:spacing w:val="-1"/>
        </w:rPr>
        <w:t>Indonesia”</w:t>
      </w:r>
      <w:r>
        <w:rPr>
          <w:spacing w:val="-1"/>
        </w:rPr>
        <w:t>，未来公司将继续加强海外市场的</w:t>
      </w:r>
      <w:r>
        <w:rPr>
          <w:spacing w:val="-87"/>
        </w:rPr>
        <w:t> </w:t>
      </w:r>
      <w:r>
        <w:rPr>
          <w:spacing w:val="-87"/>
        </w:rPr>
      </w:r>
      <w:r>
        <w:rPr/>
        <w:t>开发力度，将海外市场的发展拓展成公司新的利润增长空间。</w:t>
      </w:r>
    </w:p>
    <w:p>
      <w:pPr>
        <w:spacing w:after="0" w:line="300" w:lineRule="auto"/>
        <w:jc w:val="left"/>
        <w:sectPr>
          <w:pgSz w:w="11910" w:h="16840"/>
          <w:pgMar w:header="906" w:footer="1018" w:top="1100" w:bottom="1200" w:left="10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left="3006" w:right="0"/>
        <w:jc w:val="left"/>
        <w:rPr>
          <w:b w:val="0"/>
          <w:bCs w:val="0"/>
        </w:rPr>
      </w:pPr>
      <w:bookmarkStart w:name="_TOC_250009" w:id="4"/>
      <w:r>
        <w:rPr/>
        <w:t>第四节经营情况讨论与分析</w:t>
      </w:r>
      <w:bookmarkEnd w:id="4"/>
      <w:r>
        <w:rPr>
          <w:b w:val="0"/>
          <w:bCs w:val="0"/>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6"/>
          <w:szCs w:val="16"/>
        </w:rPr>
      </w:pPr>
    </w:p>
    <w:p>
      <w:pPr>
        <w:pStyle w:val="Heading2"/>
        <w:spacing w:line="240" w:lineRule="auto" w:before="26"/>
        <w:ind w:right="0"/>
        <w:jc w:val="both"/>
        <w:rPr>
          <w:b w:val="0"/>
          <w:bCs w:val="0"/>
        </w:rPr>
      </w:pPr>
      <w:r>
        <w:rPr/>
        <w:t>一、概述</w:t>
      </w:r>
      <w:r>
        <w:rPr>
          <w:b w:val="0"/>
          <w:bCs w:val="0"/>
        </w:rPr>
      </w:r>
    </w:p>
    <w:p>
      <w:pPr>
        <w:spacing w:line="240" w:lineRule="auto" w:before="7"/>
        <w:rPr>
          <w:rFonts w:ascii="宋体" w:hAnsi="宋体" w:cs="宋体" w:eastAsia="宋体" w:hint="default"/>
          <w:b/>
          <w:bCs/>
          <w:sz w:val="26"/>
          <w:szCs w:val="26"/>
        </w:rPr>
      </w:pPr>
    </w:p>
    <w:p>
      <w:pPr>
        <w:pStyle w:val="BodyText"/>
        <w:spacing w:line="300" w:lineRule="auto"/>
        <w:ind w:right="1123" w:firstLine="360"/>
        <w:jc w:val="both"/>
      </w:pPr>
      <w:r>
        <w:rPr/>
        <w:t>报告期内公司实现营业收入</w:t>
      </w:r>
      <w:r>
        <w:rPr>
          <w:rFonts w:ascii="Times New Roman" w:hAnsi="Times New Roman" w:cs="Times New Roman" w:eastAsia="Times New Roman" w:hint="default"/>
        </w:rPr>
        <w:t>153,546.73</w:t>
      </w:r>
      <w:r>
        <w:rPr/>
        <w:t>万元，较上年同期减少</w:t>
      </w:r>
      <w:r>
        <w:rPr>
          <w:rFonts w:ascii="Times New Roman" w:hAnsi="Times New Roman" w:cs="Times New Roman" w:eastAsia="Times New Roman" w:hint="default"/>
        </w:rPr>
        <w:t>9.16%</w:t>
      </w:r>
      <w:r>
        <w:rPr/>
        <w:t>；归属于上市公司股东的净利润</w:t>
      </w:r>
      <w:r>
        <w:rPr>
          <w:rFonts w:ascii="Times New Roman" w:hAnsi="Times New Roman" w:cs="Times New Roman" w:eastAsia="Times New Roman" w:hint="default"/>
        </w:rPr>
        <w:t>8,676.92</w:t>
      </w:r>
      <w:r>
        <w:rPr/>
        <w:t>万元，较上 </w:t>
      </w:r>
      <w:r>
        <w:rPr>
          <w:spacing w:val="-1"/>
        </w:rPr>
        <w:t>年同期减少</w:t>
      </w:r>
      <w:r>
        <w:rPr>
          <w:rFonts w:ascii="Times New Roman" w:hAnsi="Times New Roman" w:cs="Times New Roman" w:eastAsia="Times New Roman" w:hint="default"/>
          <w:spacing w:val="-1"/>
        </w:rPr>
        <w:t>40.36%</w:t>
      </w:r>
      <w:r>
        <w:rPr>
          <w:spacing w:val="-1"/>
        </w:rPr>
        <w:t>；营业成本</w:t>
      </w:r>
      <w:r>
        <w:rPr>
          <w:rFonts w:ascii="Times New Roman" w:hAnsi="Times New Roman" w:cs="Times New Roman" w:eastAsia="Times New Roman" w:hint="default"/>
          <w:spacing w:val="-1"/>
        </w:rPr>
        <w:t>116,940.94</w:t>
      </w:r>
      <w:r>
        <w:rPr>
          <w:spacing w:val="-1"/>
        </w:rPr>
        <w:t>万元，较上年同期减少</w:t>
      </w:r>
      <w:r>
        <w:rPr>
          <w:rFonts w:ascii="Times New Roman" w:hAnsi="Times New Roman" w:cs="Times New Roman" w:eastAsia="Times New Roman" w:hint="default"/>
          <w:spacing w:val="-1"/>
        </w:rPr>
        <w:t>12.94%</w:t>
      </w:r>
      <w:r>
        <w:rPr>
          <w:spacing w:val="-1"/>
        </w:rPr>
        <w:t>；管理费用、销售费用、财务费用三项期间费用共计</w:t>
      </w:r>
      <w:r>
        <w:rPr>
          <w:spacing w:val="-49"/>
        </w:rPr>
        <w:t> </w:t>
      </w:r>
      <w:r>
        <w:rPr>
          <w:spacing w:val="-49"/>
        </w:rPr>
      </w:r>
      <w:r>
        <w:rPr>
          <w:spacing w:val="-1"/>
        </w:rPr>
        <w:t>发生</w:t>
      </w:r>
      <w:r>
        <w:rPr>
          <w:rFonts w:ascii="Times New Roman" w:hAnsi="Times New Roman" w:cs="Times New Roman" w:eastAsia="Times New Roman" w:hint="default"/>
          <w:spacing w:val="-1"/>
        </w:rPr>
        <w:t>15,633.39</w:t>
      </w:r>
      <w:r>
        <w:rPr>
          <w:spacing w:val="-1"/>
        </w:rPr>
        <w:t>万元，较上年同期增加</w:t>
      </w:r>
      <w:r>
        <w:rPr>
          <w:rFonts w:ascii="Times New Roman" w:hAnsi="Times New Roman" w:cs="Times New Roman" w:eastAsia="Times New Roman" w:hint="default"/>
          <w:spacing w:val="-1"/>
        </w:rPr>
        <w:t>13.22%</w:t>
      </w:r>
      <w:r>
        <w:rPr>
          <w:spacing w:val="-1"/>
        </w:rPr>
        <w:t>；研发投入</w:t>
      </w:r>
      <w:r>
        <w:rPr>
          <w:rFonts w:ascii="Times New Roman" w:hAnsi="Times New Roman" w:cs="Times New Roman" w:eastAsia="Times New Roman" w:hint="default"/>
          <w:spacing w:val="-1"/>
        </w:rPr>
        <w:t>12,703.90</w:t>
      </w:r>
      <w:r>
        <w:rPr>
          <w:spacing w:val="-1"/>
        </w:rPr>
        <w:t>万元，较上年同期增长</w:t>
      </w:r>
      <w:r>
        <w:rPr>
          <w:rFonts w:ascii="Times New Roman" w:hAnsi="Times New Roman" w:cs="Times New Roman" w:eastAsia="Times New Roman" w:hint="default"/>
          <w:spacing w:val="-1"/>
        </w:rPr>
        <w:t>4.24%</w:t>
      </w:r>
      <w:r>
        <w:rPr>
          <w:spacing w:val="-1"/>
        </w:rPr>
        <w:t>；经营活动产生的现金流量净</w:t>
      </w:r>
      <w:r>
        <w:rPr>
          <w:spacing w:val="-44"/>
        </w:rPr>
        <w:t> </w:t>
      </w:r>
      <w:r>
        <w:rPr>
          <w:spacing w:val="-44"/>
        </w:rPr>
      </w:r>
      <w:r>
        <w:rPr/>
        <w:t>额</w:t>
      </w:r>
      <w:r>
        <w:rPr>
          <w:rFonts w:ascii="Times New Roman" w:hAnsi="Times New Roman" w:cs="Times New Roman" w:eastAsia="Times New Roman" w:hint="default"/>
        </w:rPr>
        <w:t>-4,445.18</w:t>
      </w:r>
      <w:r>
        <w:rPr/>
        <w:t>万元，较上年同期减少</w:t>
      </w:r>
      <w:r>
        <w:rPr>
          <w:rFonts w:ascii="Times New Roman" w:hAnsi="Times New Roman" w:cs="Times New Roman" w:eastAsia="Times New Roman" w:hint="default"/>
        </w:rPr>
        <w:t>107.56%</w:t>
      </w:r>
      <w:r>
        <w:rPr/>
        <w:t>。</w:t>
      </w:r>
    </w:p>
    <w:p>
      <w:pPr>
        <w:pStyle w:val="BodyText"/>
        <w:spacing w:line="307" w:lineRule="auto" w:before="52"/>
        <w:ind w:right="1126" w:firstLine="360"/>
        <w:jc w:val="both"/>
      </w:pPr>
      <w:r>
        <w:rPr/>
        <w:t>报告期内，面对持续复杂的内外部形势及市场环境，公司始终秉承</w:t>
      </w:r>
      <w:r>
        <w:rPr>
          <w:rFonts w:ascii="Times New Roman" w:hAnsi="Times New Roman" w:cs="Times New Roman" w:eastAsia="Times New Roman" w:hint="default"/>
        </w:rPr>
        <w:t>“</w:t>
      </w:r>
      <w:r>
        <w:rPr/>
        <w:t>开放创新、成就客户、质量为本、持续发展、尊重 员工</w:t>
      </w:r>
      <w:r>
        <w:rPr>
          <w:rFonts w:ascii="Times New Roman" w:hAnsi="Times New Roman" w:cs="Times New Roman" w:eastAsia="Times New Roman" w:hint="default"/>
        </w:rPr>
        <w:t>”</w:t>
      </w:r>
      <w:r>
        <w:rPr>
          <w:rFonts w:ascii="Times New Roman" w:hAnsi="Times New Roman" w:cs="Times New Roman" w:eastAsia="Times New Roman" w:hint="default"/>
          <w:spacing w:val="26"/>
        </w:rPr>
        <w:t> </w:t>
      </w:r>
      <w:r>
        <w:rPr>
          <w:spacing w:val="-2"/>
        </w:rPr>
        <w:t>的核心价值观，通过持续提升供应链与管理协同效益、优化产品销售结构，维持公司智能卡产品的利润水平；加强产</w:t>
      </w:r>
      <w:r>
        <w:rPr>
          <w:spacing w:val="-87"/>
        </w:rPr>
        <w:t> </w:t>
      </w:r>
      <w:r>
        <w:rPr>
          <w:spacing w:val="-87"/>
        </w:rPr>
      </w:r>
      <w:r>
        <w:rPr/>
        <w:t>品质量</w:t>
      </w:r>
      <w:r>
        <w:rPr>
          <w:spacing w:val="3"/>
        </w:rPr>
        <w:t> </w:t>
      </w:r>
      <w:r>
        <w:rPr/>
        <w:t>控制，优化产品性能，提升服务质量，进一步提高客户满意度；不断调整市场策略，拓展新业务，优化产品结构积</w:t>
      </w:r>
      <w:r>
        <w:rPr/>
        <w:t> 极应当对国内智能卡行业景气度下降的不利局面，保证公司健康稳定发展。</w:t>
      </w:r>
    </w:p>
    <w:p>
      <w:pPr>
        <w:pStyle w:val="BodyText"/>
        <w:spacing w:line="360" w:lineRule="auto" w:before="66"/>
        <w:ind w:left="473" w:right="0"/>
        <w:jc w:val="left"/>
      </w:pPr>
      <w:r>
        <w:rPr/>
        <w:t>一、报告期内公司主要业务发展情况如下： </w:t>
      </w:r>
      <w:r>
        <w:rPr>
          <w:spacing w:val="-4"/>
        </w:rPr>
        <w:t>报告期内，公司继续深化特种通信物联网业务布局，不断开拓市场，加强技术创新，并结合公司在金融支付，移动通信、</w:t>
      </w:r>
    </w:p>
    <w:p>
      <w:pPr>
        <w:pStyle w:val="BodyText"/>
        <w:spacing w:line="222" w:lineRule="exact"/>
        <w:ind w:right="0"/>
        <w:jc w:val="both"/>
      </w:pPr>
      <w:r>
        <w:rPr/>
        <w:t>信息安全等领域的技术优势，积极培育物联网成为公司中长期新的业绩增长点。2019年，该业务实现营收39,939.50万元，</w:t>
      </w:r>
    </w:p>
    <w:p>
      <w:pPr>
        <w:pStyle w:val="BodyText"/>
        <w:spacing w:line="319" w:lineRule="auto" w:before="76"/>
        <w:ind w:right="1050"/>
        <w:jc w:val="both"/>
      </w:pPr>
      <w:r>
        <w:rPr/>
        <w:t>公司将继续通过技术的不断突破创新，结合区块链等信息安全技术，不断提高该项业务产品市场竞争力，增加产品附加值， 提高产品毛利率。</w:t>
      </w:r>
    </w:p>
    <w:p>
      <w:pPr>
        <w:pStyle w:val="BodyText"/>
        <w:spacing w:line="316" w:lineRule="auto" w:before="56"/>
        <w:ind w:right="1129" w:firstLine="360"/>
        <w:jc w:val="both"/>
      </w:pPr>
      <w:r>
        <w:rPr/>
        <w:t>报告期内，公司取得GSMA</w:t>
      </w:r>
      <w:r>
        <w:rPr>
          <w:spacing w:val="-15"/>
        </w:rPr>
        <w:t> </w:t>
      </w:r>
      <w:r>
        <w:rPr/>
        <w:t>SAS</w:t>
      </w:r>
      <w:r>
        <w:rPr>
          <w:spacing w:val="-15"/>
        </w:rPr>
        <w:t> </w:t>
      </w:r>
      <w:r>
        <w:rPr/>
        <w:t>UP</w:t>
      </w:r>
      <w:r>
        <w:rPr>
          <w:spacing w:val="-15"/>
        </w:rPr>
        <w:t> </w:t>
      </w:r>
      <w:r>
        <w:rPr/>
        <w:t>eSIM安全产品认证和GSMA</w:t>
      </w:r>
      <w:r>
        <w:rPr>
          <w:spacing w:val="-15"/>
        </w:rPr>
        <w:t> </w:t>
      </w:r>
      <w:r>
        <w:rPr/>
        <w:t>SAS</w:t>
      </w:r>
      <w:r>
        <w:rPr>
          <w:spacing w:val="-15"/>
        </w:rPr>
        <w:t> </w:t>
      </w:r>
      <w:r>
        <w:rPr/>
        <w:t>SM</w:t>
      </w:r>
      <w:r>
        <w:rPr>
          <w:spacing w:val="-15"/>
        </w:rPr>
        <w:t> </w:t>
      </w:r>
      <w:r>
        <w:rPr/>
        <w:t>eSIM安全管理平台认证，成为全球为数不多同时获</w:t>
      </w:r>
      <w:r>
        <w:rPr/>
        <w:t> 得国际权威组织GSMA（全球移动通信系统协会）对</w:t>
      </w:r>
      <w:r>
        <w:rPr>
          <w:spacing w:val="4"/>
        </w:rPr>
        <w:t> </w:t>
      </w:r>
      <w:r>
        <w:rPr/>
        <w:t>eSIM产品和eSIM管理平台认证的厂商，使得公司产品进一步向产业链下</w:t>
      </w:r>
      <w:r>
        <w:rPr/>
        <w:t> 游延伸，丰富产品和服务，同时将助力公司为全球用户提供更加安全可靠的端到端eSIM解决方案和连接服务。</w:t>
      </w:r>
    </w:p>
    <w:p>
      <w:pPr>
        <w:pStyle w:val="BodyText"/>
        <w:spacing w:line="357" w:lineRule="auto" w:before="59"/>
        <w:ind w:left="473" w:right="1032"/>
        <w:jc w:val="left"/>
      </w:pPr>
      <w:r>
        <w:rPr/>
        <w:t>报告期内公司继续大力开拓海外市场，紧跟银联步伐，持续推进，大力营销，公司海外业务较去年同期增加103%。 二、公司知识产权建设及荣誉 报告期内，公司在不断提高侵权风险防范和应对能力的道路上继续前进，新增发明专利申请91件，实用新型专利11件，</w:t>
      </w:r>
    </w:p>
    <w:p>
      <w:pPr>
        <w:pStyle w:val="BodyText"/>
        <w:spacing w:line="224" w:lineRule="exact"/>
        <w:ind w:right="0"/>
        <w:jc w:val="both"/>
      </w:pPr>
      <w:r>
        <w:rPr/>
        <w:t>新增专利授权74件，计算机软件著作权17件，新增注册商标9件。</w:t>
      </w:r>
    </w:p>
    <w:p>
      <w:pPr>
        <w:pStyle w:val="BodyText"/>
        <w:spacing w:line="300" w:lineRule="auto" w:before="116"/>
        <w:ind w:right="1131" w:firstLine="360"/>
        <w:jc w:val="both"/>
      </w:pPr>
      <w:r>
        <w:rPr>
          <w:spacing w:val="-2"/>
        </w:rPr>
        <w:t>报告期内，公司参加了由国家金卡工程协调领导小组办公室主办的</w:t>
      </w:r>
      <w:r>
        <w:rPr>
          <w:rFonts w:ascii="Times New Roman" w:hAnsi="Times New Roman" w:cs="Times New Roman" w:eastAsia="Times New Roman" w:hint="default"/>
          <w:spacing w:val="-2"/>
        </w:rPr>
        <w:t>“</w:t>
      </w:r>
      <w:r>
        <w:rPr>
          <w:spacing w:val="-2"/>
        </w:rPr>
        <w:t>国家金卡工程二十五年成果报告会</w:t>
      </w:r>
      <w:r>
        <w:rPr>
          <w:rFonts w:ascii="Times New Roman" w:hAnsi="Times New Roman" w:cs="Times New Roman" w:eastAsia="Times New Roman" w:hint="default"/>
          <w:spacing w:val="-2"/>
        </w:rPr>
        <w:t>”</w:t>
      </w:r>
      <w:r>
        <w:rPr>
          <w:spacing w:val="-2"/>
        </w:rPr>
        <w:t>，会议现场颁发</w:t>
      </w:r>
      <w:r>
        <w:rPr/>
        <w:t> 了2018年度金蚂蚁奖项，公司蓝牙指纹卡荣获</w:t>
      </w:r>
      <w:r>
        <w:rPr>
          <w:rFonts w:ascii="Times New Roman" w:hAnsi="Times New Roman" w:cs="Times New Roman" w:eastAsia="Times New Roman" w:hint="default"/>
        </w:rPr>
        <w:t>“</w:t>
      </w:r>
      <w:r>
        <w:rPr/>
        <w:t>创新产品奖</w:t>
      </w:r>
      <w:r>
        <w:rPr>
          <w:rFonts w:ascii="Times New Roman" w:hAnsi="Times New Roman" w:cs="Times New Roman" w:eastAsia="Times New Roman" w:hint="default"/>
        </w:rPr>
        <w:t>”</w:t>
      </w:r>
      <w:r>
        <w:rPr/>
        <w:t>。</w:t>
      </w:r>
    </w:p>
    <w:p>
      <w:pPr>
        <w:pStyle w:val="BodyText"/>
        <w:spacing w:line="240" w:lineRule="auto" w:before="53"/>
        <w:ind w:left="473" w:right="0"/>
        <w:jc w:val="left"/>
      </w:pPr>
      <w:r>
        <w:rPr/>
        <w:t>报告期内，公司的</w:t>
      </w:r>
      <w:r>
        <w:rPr>
          <w:rFonts w:ascii="Times New Roman" w:hAnsi="Times New Roman" w:cs="Times New Roman" w:eastAsia="Times New Roman" w:hint="default"/>
        </w:rPr>
        <w:t>“</w:t>
      </w:r>
      <w:r>
        <w:rPr/>
        <w:t>物联网eSIM安全方案</w:t>
      </w:r>
      <w:r>
        <w:rPr>
          <w:rFonts w:ascii="Times New Roman" w:hAnsi="Times New Roman" w:cs="Times New Roman" w:eastAsia="Times New Roman" w:hint="default"/>
        </w:rPr>
        <w:t>”</w:t>
      </w:r>
      <w:r>
        <w:rPr/>
        <w:t>成功入选了由工业和信息化部办公厅、国家国防科技工业局综合司联合印发的</w:t>
      </w:r>
    </w:p>
    <w:p>
      <w:pPr>
        <w:pStyle w:val="BodyText"/>
        <w:spacing w:line="312" w:lineRule="auto" w:before="63"/>
        <w:ind w:right="1125"/>
        <w:jc w:val="both"/>
      </w:pPr>
      <w:r>
        <w:rPr>
          <w:spacing w:val="-2"/>
          <w:w w:val="100"/>
        </w:rPr>
        <w:t>《民参军技术与产品推荐目录（2018年度）》文件。公司</w:t>
      </w:r>
      <w:r>
        <w:rPr>
          <w:rFonts w:ascii="Times New Roman" w:hAnsi="Times New Roman" w:cs="Times New Roman" w:eastAsia="Times New Roman" w:hint="default"/>
          <w:spacing w:val="-2"/>
          <w:w w:val="100"/>
        </w:rPr>
        <w:t>“</w:t>
      </w:r>
      <w:r>
        <w:rPr>
          <w:spacing w:val="-2"/>
          <w:w w:val="100"/>
        </w:rPr>
        <w:t>物联网eSIM安全方案</w:t>
      </w:r>
      <w:r>
        <w:rPr>
          <w:rFonts w:ascii="Times New Roman" w:hAnsi="Times New Roman" w:cs="Times New Roman" w:eastAsia="Times New Roman" w:hint="default"/>
          <w:spacing w:val="-2"/>
          <w:w w:val="100"/>
        </w:rPr>
        <w:t>”</w:t>
      </w:r>
      <w:r>
        <w:rPr>
          <w:spacing w:val="-2"/>
          <w:w w:val="100"/>
        </w:rPr>
        <w:t>技术同时支持通信网络切换、设备安全认证</w:t>
      </w:r>
      <w:r>
        <w:rPr>
          <w:spacing w:val="-44"/>
          <w:w w:val="100"/>
        </w:rPr>
        <w:t> </w:t>
      </w:r>
      <w:r>
        <w:rPr>
          <w:spacing w:val="-44"/>
          <w:w w:val="100"/>
        </w:rPr>
      </w:r>
      <w:r>
        <w:rPr>
          <w:spacing w:val="-2"/>
        </w:rPr>
        <w:t>及数据信息安全；支持地面移动平台在不同的无线通信网络之间进行切换；支持地面移动平台的设备接入后台以及相关数据</w:t>
      </w:r>
      <w:r>
        <w:rPr>
          <w:spacing w:val="-64"/>
        </w:rPr>
        <w:t> </w:t>
      </w:r>
      <w:r>
        <w:rPr>
          <w:spacing w:val="-64"/>
        </w:rPr>
      </w:r>
      <w:r>
        <w:rPr>
          <w:spacing w:val="-2"/>
        </w:rPr>
        <w:t>信息的保护；支持远程的安全配置管理，用户数据的灵活备份及远程删除形成了更好的数据防护等，此次入选，对恒宝股份</w:t>
      </w:r>
      <w:r>
        <w:rPr>
          <w:spacing w:val="-67"/>
        </w:rPr>
        <w:t> </w:t>
      </w:r>
      <w:r>
        <w:rPr>
          <w:spacing w:val="-67"/>
        </w:rPr>
      </w:r>
      <w:r>
        <w:rPr/>
        <w:t>在物联网安全方案技术攀升具有积极的推动意义。</w:t>
      </w:r>
    </w:p>
    <w:p>
      <w:pPr>
        <w:pStyle w:val="BodyText"/>
        <w:spacing w:line="360" w:lineRule="auto" w:before="62"/>
        <w:ind w:left="473" w:right="1122"/>
        <w:jc w:val="left"/>
      </w:pPr>
      <w:r>
        <w:rPr/>
        <w:t>三、其他重大事件 1、为切实维护广大股东利益，稳定投资者的投资预期，增强投资者对公司的投资信心，同时基于对公司发展前景的信</w:t>
      </w:r>
    </w:p>
    <w:p>
      <w:pPr>
        <w:pStyle w:val="BodyText"/>
        <w:spacing w:line="222" w:lineRule="exact"/>
        <w:ind w:right="0"/>
        <w:jc w:val="both"/>
      </w:pPr>
      <w:r>
        <w:rPr/>
        <w:t>心及对公司价值的高度认可，体现公司对长期内在价值的坚定信心，2018年7月6日公司召开2018年第一次临时股东大会审议</w:t>
      </w:r>
    </w:p>
    <w:p>
      <w:pPr>
        <w:pStyle w:val="BodyText"/>
        <w:spacing w:line="316" w:lineRule="auto" w:before="76"/>
        <w:ind w:right="1129"/>
        <w:jc w:val="both"/>
      </w:pPr>
      <w:r>
        <w:rPr/>
        <w:t>通过了股份回购方案</w:t>
      </w:r>
      <w:r>
        <w:rPr>
          <w:spacing w:val="-22"/>
        </w:rPr>
        <w:t>，</w:t>
      </w:r>
      <w:r>
        <w:rPr/>
        <w:t>公司拟以不超</w:t>
      </w:r>
      <w:r>
        <w:rPr>
          <w:spacing w:val="1"/>
        </w:rPr>
        <w:t>过</w:t>
      </w:r>
      <w:r>
        <w:rPr/>
        <w:t>7.2元/股的价格进行股份</w:t>
      </w:r>
      <w:r>
        <w:rPr>
          <w:spacing w:val="1"/>
        </w:rPr>
        <w:t>回</w:t>
      </w:r>
      <w:r>
        <w:rPr>
          <w:spacing w:val="-2"/>
        </w:rPr>
        <w:t>购</w:t>
      </w:r>
      <w:r>
        <w:rPr>
          <w:spacing w:val="-20"/>
        </w:rPr>
        <w:t>，</w:t>
      </w:r>
      <w:r>
        <w:rPr/>
        <w:t>回购总金额不超过人民</w:t>
      </w:r>
      <w:r>
        <w:rPr>
          <w:spacing w:val="-1"/>
        </w:rPr>
        <w:t>币</w:t>
      </w:r>
      <w:r>
        <w:rPr/>
        <w:t>2亿</w:t>
      </w:r>
      <w:r>
        <w:rPr>
          <w:spacing w:val="-21"/>
        </w:rPr>
        <w:t>元</w:t>
      </w:r>
      <w:r>
        <w:rPr/>
        <w:t>（含</w:t>
      </w:r>
      <w:r>
        <w:rPr>
          <w:spacing w:val="-90"/>
        </w:rPr>
        <w:t>）</w:t>
      </w:r>
      <w:r>
        <w:rPr>
          <w:spacing w:val="-21"/>
        </w:rPr>
        <w:t>，</w:t>
      </w:r>
      <w:r>
        <w:rPr/>
        <w:t>不低于人民币</w:t>
      </w:r>
      <w:r>
        <w:rPr/>
        <w:t> 1亿</w:t>
      </w:r>
      <w:r>
        <w:rPr>
          <w:spacing w:val="-13"/>
        </w:rPr>
        <w:t>元</w:t>
      </w:r>
      <w:r>
        <w:rPr>
          <w:spacing w:val="-2"/>
        </w:rPr>
        <w:t>（</w:t>
      </w:r>
      <w:r>
        <w:rPr/>
        <w:t>含</w:t>
      </w:r>
      <w:r>
        <w:rPr>
          <w:spacing w:val="-90"/>
        </w:rPr>
        <w:t>）</w:t>
      </w:r>
      <w:r>
        <w:rPr>
          <w:spacing w:val="-14"/>
        </w:rPr>
        <w:t>。</w:t>
      </w:r>
      <w:r>
        <w:rPr/>
        <w:t>截至2019年7月5日</w:t>
      </w:r>
      <w:r>
        <w:rPr>
          <w:spacing w:val="-14"/>
        </w:rPr>
        <w:t>，</w:t>
      </w:r>
      <w:r>
        <w:rPr/>
        <w:t>公司累计回购股</w:t>
      </w:r>
      <w:r>
        <w:rPr>
          <w:spacing w:val="1"/>
        </w:rPr>
        <w:t>份</w:t>
      </w:r>
      <w:r>
        <w:rPr/>
        <w:t>近1,511万股</w:t>
      </w:r>
      <w:r>
        <w:rPr>
          <w:spacing w:val="-15"/>
        </w:rPr>
        <w:t>，</w:t>
      </w:r>
      <w:r>
        <w:rPr/>
        <w:t>占公司总股本的2.12%</w:t>
      </w:r>
      <w:r>
        <w:rPr>
          <w:spacing w:val="-13"/>
        </w:rPr>
        <w:t>，</w:t>
      </w:r>
      <w:r>
        <w:rPr/>
        <w:t>支付的总金额约计9900万</w:t>
      </w:r>
      <w:r>
        <w:rPr>
          <w:spacing w:val="-14"/>
        </w:rPr>
        <w:t>元</w:t>
      </w:r>
      <w:r>
        <w:rPr/>
        <w:t>（含</w:t>
      </w:r>
      <w:r>
        <w:rPr/>
        <w:t> 交易费用</w:t>
      </w:r>
      <w:r>
        <w:rPr>
          <w:spacing w:val="-90"/>
        </w:rPr>
        <w:t>）</w:t>
      </w:r>
      <w:r>
        <w:rPr/>
        <w:t>。公司已于2019年7月26日在中国证券登记结算有限责任公司深圳分公司办理完毕上述回购股份的注销手</w:t>
      </w:r>
      <w:r>
        <w:rPr>
          <w:spacing w:val="-1"/>
        </w:rPr>
        <w:t>续</w:t>
      </w:r>
      <w:r>
        <w:rPr/>
        <w:t>。</w:t>
      </w:r>
    </w:p>
    <w:p>
      <w:pPr>
        <w:pStyle w:val="BodyText"/>
        <w:spacing w:line="316" w:lineRule="auto" w:before="59"/>
        <w:ind w:right="1131" w:firstLine="360"/>
        <w:jc w:val="both"/>
      </w:pPr>
      <w:r>
        <w:rPr>
          <w:spacing w:val="-2"/>
        </w:rPr>
        <w:t>2、2019年6月，公司全资子公司江苏恒宝智能系统技术有限公司正式落户南京，恒宝智能是公司承载产业物联网、数字</w:t>
      </w:r>
      <w:r>
        <w:rPr/>
        <w:t> </w:t>
      </w:r>
      <w:r>
        <w:rPr>
          <w:spacing w:val="-2"/>
        </w:rPr>
        <w:t>化服务、数据科技、区块链、智能硬件、智能制造的重要载体。恒宝智能的业务除了现有特种通信物联网设备的研发、生产</w:t>
      </w:r>
      <w:r>
        <w:rPr>
          <w:spacing w:val="-67"/>
        </w:rPr>
        <w:t> </w:t>
      </w:r>
      <w:r>
        <w:rPr>
          <w:spacing w:val="-67"/>
        </w:rPr>
      </w:r>
      <w:r>
        <w:rPr>
          <w:spacing w:val="-2"/>
        </w:rPr>
        <w:t>和销售外，未来规划包括几方面：一是底层技术研发，包括在数字安全（涵盖金融和通讯等领域）、身份认证、系统平台、</w:t>
      </w:r>
    </w:p>
    <w:p>
      <w:pPr>
        <w:spacing w:after="0" w:line="316" w:lineRule="auto"/>
        <w:jc w:val="both"/>
        <w:sectPr>
          <w:pgSz w:w="11910" w:h="16840"/>
          <w:pgMar w:header="906" w:footer="1018" w:top="1100" w:bottom="1200" w:left="1020" w:right="0"/>
        </w:sectPr>
      </w:pPr>
    </w:p>
    <w:p>
      <w:pPr>
        <w:spacing w:line="240" w:lineRule="auto" w:before="11"/>
        <w:rPr>
          <w:rFonts w:ascii="宋体" w:hAnsi="宋体" w:cs="宋体" w:eastAsia="宋体" w:hint="default"/>
          <w:sz w:val="22"/>
          <w:szCs w:val="22"/>
        </w:rPr>
      </w:pPr>
    </w:p>
    <w:p>
      <w:pPr>
        <w:pStyle w:val="BodyText"/>
        <w:spacing w:line="316" w:lineRule="auto" w:before="44"/>
        <w:ind w:right="1032"/>
        <w:jc w:val="left"/>
      </w:pPr>
      <w:r>
        <w:rPr>
          <w:spacing w:val="-2"/>
        </w:rPr>
        <w:t>区块链技术等方面；二是结合恒宝的传统制造优势，在5G连接、智能传感器、可穿戴设备等智能设备领域加大技术研发；三</w:t>
      </w:r>
      <w:r>
        <w:rPr>
          <w:spacing w:val="-65"/>
        </w:rPr>
        <w:t> </w:t>
      </w:r>
      <w:r>
        <w:rPr>
          <w:spacing w:val="-65"/>
        </w:rPr>
      </w:r>
      <w:r>
        <w:rPr/>
        <w:t>是通过技术和产品资源整合，为金融和通信行业提供更具竞争力和更完整的产品和解决方案服务，并拓展更多的行业应用。</w:t>
      </w:r>
      <w:r>
        <w:rPr/>
        <w:t> </w:t>
      </w:r>
      <w:r>
        <w:rPr>
          <w:spacing w:val="-2"/>
        </w:rPr>
        <w:t>公司将充分利用江苏省及省会南京的优势资源，引进和保留更多的优秀人才，优化资源配置与整合，加快科技成果转化，进</w:t>
      </w:r>
      <w:r>
        <w:rPr>
          <w:spacing w:val="-66"/>
        </w:rPr>
        <w:t> </w:t>
      </w:r>
      <w:r>
        <w:rPr>
          <w:spacing w:val="-66"/>
        </w:rPr>
      </w:r>
      <w:r>
        <w:rPr/>
        <w:t>一步提高公司综合竞争力。</w:t>
      </w:r>
    </w:p>
    <w:p>
      <w:pPr>
        <w:spacing w:line="240" w:lineRule="auto" w:before="9"/>
        <w:rPr>
          <w:rFonts w:ascii="宋体" w:hAnsi="宋体" w:cs="宋体" w:eastAsia="宋体" w:hint="default"/>
          <w:sz w:val="20"/>
          <w:szCs w:val="20"/>
        </w:rPr>
      </w:pPr>
    </w:p>
    <w:p>
      <w:pPr>
        <w:pStyle w:val="Heading2"/>
        <w:spacing w:line="240" w:lineRule="auto"/>
        <w:ind w:right="0"/>
        <w:jc w:val="left"/>
        <w:rPr>
          <w:b w:val="0"/>
          <w:bCs w:val="0"/>
        </w:rPr>
      </w:pPr>
      <w:r>
        <w:rPr/>
        <w:t>二、主营业务分析</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r>
        <w:rPr>
          <w:rFonts w:ascii="Times New Roman" w:hAnsi="Times New Roman" w:cs="Times New Roman" w:eastAsia="Times New Roman" w:hint="default"/>
        </w:rPr>
        <w:t>1</w:t>
      </w:r>
      <w:r>
        <w:rPr/>
        <w:t>、概述</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参见“经营情况讨论与分析”中的“一、概述”相关内容。</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2</w:t>
      </w:r>
      <w:r>
        <w:rPr/>
        <w:t>、收入与成本</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t>（</w:t>
      </w:r>
      <w:r>
        <w:rPr>
          <w:rFonts w:ascii="Times New Roman" w:hAnsi="Times New Roman" w:cs="Times New Roman" w:eastAsia="Times New Roman" w:hint="default"/>
        </w:rPr>
        <w:t>1</w:t>
      </w:r>
      <w:r>
        <w:rPr/>
        <w:t>）营业收入构成</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0" w:right="1132"/>
        <w:jc w:val="right"/>
      </w:pPr>
      <w:r>
        <w:rPr>
          <w:spacing w:val="-1"/>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596"/>
        <w:gridCol w:w="1594"/>
        <w:gridCol w:w="1594"/>
        <w:gridCol w:w="1594"/>
        <w:gridCol w:w="1594"/>
        <w:gridCol w:w="1594"/>
      </w:tblGrid>
      <w:tr>
        <w:trPr>
          <w:trHeight w:val="402" w:hRule="exact"/>
        </w:trPr>
        <w:tc>
          <w:tcPr>
            <w:tcW w:w="1596" w:type="dxa"/>
            <w:vMerge w:val="restart"/>
            <w:tcBorders>
              <w:top w:val="single" w:sz="4" w:space="0" w:color="000000"/>
              <w:left w:val="single" w:sz="4" w:space="0" w:color="000000"/>
              <w:right w:val="single" w:sz="4" w:space="0" w:color="000000"/>
            </w:tcBorders>
            <w:shd w:val="clear" w:color="auto" w:fill="D3D3D3"/>
          </w:tcPr>
          <w:p>
            <w:pPr/>
          </w:p>
        </w:tc>
        <w:tc>
          <w:tcPr>
            <w:tcW w:w="3188"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p>
        </w:tc>
        <w:tc>
          <w:tcPr>
            <w:tcW w:w="3188"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p>
        </w:tc>
        <w:tc>
          <w:tcPr>
            <w:tcW w:w="1594"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2" w:hRule="exact"/>
        </w:trPr>
        <w:tc>
          <w:tcPr>
            <w:tcW w:w="1596" w:type="dxa"/>
            <w:vMerge/>
            <w:tcBorders>
              <w:left w:val="single" w:sz="4" w:space="0" w:color="000000"/>
              <w:bottom w:val="single" w:sz="4" w:space="0" w:color="000000"/>
              <w:right w:val="single" w:sz="4" w:space="0" w:color="000000"/>
            </w:tcBorders>
            <w:shd w:val="clear" w:color="auto" w:fill="D3D3D3"/>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62"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61"/>
              <w:jc w:val="right"/>
              <w:rPr>
                <w:rFonts w:ascii="宋体" w:hAnsi="宋体" w:cs="宋体" w:eastAsia="宋体" w:hint="default"/>
                <w:sz w:val="18"/>
                <w:szCs w:val="18"/>
              </w:rPr>
            </w:pPr>
            <w:r>
              <w:rPr>
                <w:rFonts w:ascii="宋体" w:hAnsi="宋体" w:cs="宋体" w:eastAsia="宋体" w:hint="default"/>
                <w:sz w:val="18"/>
                <w:szCs w:val="18"/>
              </w:rPr>
              <w:t>占营业收入比重</w:t>
            </w:r>
          </w:p>
        </w:tc>
        <w:tc>
          <w:tcPr>
            <w:tcW w:w="1594" w:type="dxa"/>
            <w:vMerge/>
            <w:tcBorders>
              <w:left w:val="single" w:sz="4" w:space="0" w:color="000000"/>
              <w:bottom w:val="single" w:sz="4" w:space="0" w:color="000000"/>
              <w:right w:val="single" w:sz="4" w:space="0" w:color="000000"/>
            </w:tcBorders>
            <w:shd w:val="clear" w:color="auto" w:fill="D3D3D3"/>
          </w:tcPr>
          <w:p>
            <w:pP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营业收入合计</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1,535,467,255.35</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1,690,305,333.68</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w w:val="95"/>
                <w:sz w:val="18"/>
              </w:rPr>
              <w:t>-9.16%</w:t>
            </w:r>
            <w:r>
              <w:rPr>
                <w:rFonts w:ascii="Times New Roman"/>
                <w:sz w:val="18"/>
              </w:rPr>
            </w:r>
          </w:p>
        </w:tc>
      </w:tr>
      <w:tr>
        <w:trPr>
          <w:trHeight w:val="402" w:hRule="exact"/>
        </w:trPr>
        <w:tc>
          <w:tcPr>
            <w:tcW w:w="9566" w:type="dxa"/>
            <w:gridSpan w:val="6"/>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工业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1,456,277,421.72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94.84%</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1,633,157,753.44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96.62%</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w w:val="95"/>
                <w:sz w:val="18"/>
              </w:rPr>
              <w:t>-10.83%</w:t>
            </w:r>
            <w:r>
              <w:rPr>
                <w:rFonts w:ascii="Times New Roman"/>
                <w:sz w:val="18"/>
              </w:rPr>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信息软件</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75,525,990.57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4.92%</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46,246,960.62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2.74%</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63.31%</w:t>
            </w:r>
            <w:r>
              <w:rPr>
                <w:rFonts w:ascii="Times New Roman"/>
                <w:sz w:val="18"/>
              </w:rPr>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其他业务收入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3,663,843.06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0.24%</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10,900,619.62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0.64%</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w w:val="95"/>
                <w:sz w:val="18"/>
              </w:rPr>
              <w:t>-66.39%</w:t>
            </w:r>
            <w:r>
              <w:rPr>
                <w:rFonts w:ascii="Times New Roman"/>
                <w:sz w:val="18"/>
              </w:rPr>
            </w:r>
          </w:p>
        </w:tc>
      </w:tr>
      <w:tr>
        <w:trPr>
          <w:trHeight w:val="402" w:hRule="exact"/>
        </w:trPr>
        <w:tc>
          <w:tcPr>
            <w:tcW w:w="9566" w:type="dxa"/>
            <w:gridSpan w:val="6"/>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票证类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5,799,914.52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0.38%</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5,465,679.36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0.32%</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6.12%</w:t>
            </w:r>
            <w:r>
              <w:rPr>
                <w:rFonts w:ascii="Times New Roman"/>
                <w:sz w:val="18"/>
              </w:rPr>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制卡类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904,981,567.64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58.94%</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766,358,165.22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45.34%</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18.09%</w:t>
            </w:r>
            <w:r>
              <w:rPr>
                <w:rFonts w:ascii="Times New Roman"/>
                <w:sz w:val="18"/>
              </w:rPr>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模块类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146,100,983.75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9.51%</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118,516,593.95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7.01%</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23.27%</w:t>
            </w:r>
            <w:r>
              <w:rPr>
                <w:rFonts w:ascii="Times New Roman"/>
                <w:sz w:val="18"/>
              </w:rPr>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网络版会员软件</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47,100,301.76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3.07%</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43,254,689.57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2.56%</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8.89%</w:t>
            </w:r>
            <w:r>
              <w:rPr>
                <w:rFonts w:ascii="Times New Roman"/>
                <w:sz w:val="18"/>
              </w:rPr>
            </w:r>
          </w:p>
        </w:tc>
      </w:tr>
      <w:tr>
        <w:trPr>
          <w:trHeight w:val="714"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2" w:right="221"/>
              <w:jc w:val="left"/>
              <w:rPr>
                <w:rFonts w:ascii="宋体" w:hAnsi="宋体" w:cs="宋体" w:eastAsia="宋体" w:hint="default"/>
                <w:sz w:val="18"/>
                <w:szCs w:val="18"/>
              </w:rPr>
            </w:pPr>
            <w:r>
              <w:rPr>
                <w:rFonts w:ascii="宋体" w:hAnsi="宋体" w:cs="宋体" w:eastAsia="宋体" w:hint="default"/>
                <w:sz w:val="18"/>
                <w:szCs w:val="18"/>
              </w:rPr>
              <w:t>电子智能支付设 备</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28,425,688.81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1.85%</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2,992,271.05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0.18%</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849.97%</w:t>
            </w:r>
            <w:r>
              <w:rPr>
                <w:rFonts w:ascii="Times New Roman"/>
                <w:sz w:val="18"/>
              </w:rPr>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特种物联网业务</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399,394,955.81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26.01%</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742,817,314.91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43.95%</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w w:val="95"/>
                <w:sz w:val="18"/>
              </w:rPr>
              <w:t>-46.23%</w:t>
            </w:r>
            <w:r>
              <w:rPr>
                <w:rFonts w:ascii="Times New Roman"/>
                <w:sz w:val="18"/>
              </w:rPr>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其他业务收入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3,663,843.06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0.24%</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10,900,619.62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0.64%</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w w:val="95"/>
                <w:sz w:val="18"/>
              </w:rPr>
              <w:t>-66.39%</w:t>
            </w:r>
            <w:r>
              <w:rPr>
                <w:rFonts w:ascii="Times New Roman"/>
                <w:sz w:val="18"/>
              </w:rPr>
            </w:r>
          </w:p>
        </w:tc>
      </w:tr>
      <w:tr>
        <w:trPr>
          <w:trHeight w:val="402" w:hRule="exact"/>
        </w:trPr>
        <w:tc>
          <w:tcPr>
            <w:tcW w:w="9566" w:type="dxa"/>
            <w:gridSpan w:val="6"/>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华北地区</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436,958,475.25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28.46%</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345,269,458.62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20.43%</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26.56%</w:t>
            </w:r>
            <w:r>
              <w:rPr>
                <w:rFonts w:ascii="Times New Roman"/>
                <w:sz w:val="18"/>
              </w:rPr>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华东地区</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596,141,899.54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38.82%</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936,564,258.64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55.41%</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w w:val="95"/>
                <w:sz w:val="18"/>
              </w:rPr>
              <w:t>-36.35%</w:t>
            </w:r>
            <w:r>
              <w:rPr>
                <w:rFonts w:ascii="Times New Roman"/>
                <w:sz w:val="18"/>
              </w:rPr>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西南地区</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169,796,852.31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2"/>
                <w:sz w:val="18"/>
              </w:rPr>
              <w:t>11.06%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156,234,589.44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9.24%</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8.68%</w:t>
            </w:r>
            <w:r>
              <w:rPr>
                <w:rFonts w:ascii="Times New Roman"/>
                <w:sz w:val="18"/>
              </w:rPr>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西北地区</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89,569,512.76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5.83%</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69,251,363.36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4.10%</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29.34%</w:t>
            </w:r>
            <w:r>
              <w:rPr>
                <w:rFonts w:ascii="Times New Roman"/>
                <w:sz w:val="18"/>
              </w:rPr>
            </w:r>
          </w:p>
        </w:tc>
      </w:tr>
      <w:tr>
        <w:trPr>
          <w:trHeight w:val="401"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东北地区</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97,581,254.48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6.36%</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96,254,874.59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5.69%</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1.38%</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906" w:footer="1018" w:top="1100" w:bottom="1200" w:left="1020" w:right="0"/>
        </w:sectPr>
      </w:pPr>
    </w:p>
    <w:p>
      <w:pPr>
        <w:spacing w:line="240" w:lineRule="auto" w:before="7"/>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596"/>
        <w:gridCol w:w="1594"/>
        <w:gridCol w:w="1594"/>
        <w:gridCol w:w="1594"/>
        <w:gridCol w:w="1594"/>
        <w:gridCol w:w="1594"/>
      </w:tblGrid>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境外地区</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65,156,207.13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4.24%</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32,056,024.60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1.90%</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103.26%</w:t>
            </w:r>
            <w:r>
              <w:rPr>
                <w:rFonts w:ascii="Times New Roman"/>
                <w:sz w:val="18"/>
              </w:rPr>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其他地区</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80,263,053.88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5.23%</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54,674,764.43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3.23%</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46.80%</w:t>
            </w:r>
            <w:r>
              <w:rPr>
                <w:rFonts w:ascii="Times New Roman"/>
                <w:sz w:val="18"/>
              </w:rPr>
            </w:r>
          </w:p>
        </w:tc>
      </w:tr>
    </w:tbl>
    <w:p>
      <w:pPr>
        <w:spacing w:line="240" w:lineRule="auto" w:before="3"/>
        <w:rPr>
          <w:rFonts w:ascii="宋体" w:hAnsi="宋体" w:cs="宋体" w:eastAsia="宋体" w:hint="default"/>
          <w:sz w:val="19"/>
          <w:szCs w:val="19"/>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2</w:t>
      </w:r>
      <w:r>
        <w:rPr/>
        <w:t>）占公司营业收入或营业利润</w:t>
      </w:r>
      <w:r>
        <w:rPr>
          <w:spacing w:val="-62"/>
        </w:rPr>
        <w:t> </w:t>
      </w:r>
      <w:r>
        <w:rPr>
          <w:rFonts w:ascii="Times New Roman" w:hAnsi="Times New Roman" w:cs="Times New Roman" w:eastAsia="Times New Roman" w:hint="default"/>
        </w:rPr>
        <w:t>10%</w:t>
      </w:r>
      <w:r>
        <w:rPr/>
        <w:t>以上的行业、产品或地区情况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0"/>
        <w:jc w:val="left"/>
      </w:pPr>
      <w:r>
        <w:rPr/>
        <w:t>√ 适用 □ 不适用</w:t>
      </w:r>
    </w:p>
    <w:p>
      <w:pPr>
        <w:pStyle w:val="BodyText"/>
        <w:spacing w:line="240" w:lineRule="auto" w:before="116"/>
        <w:ind w:left="0" w:right="1132"/>
        <w:jc w:val="right"/>
      </w:pPr>
      <w:r>
        <w:rPr>
          <w:spacing w:val="-1"/>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7"/>
        <w:gridCol w:w="1366"/>
        <w:gridCol w:w="1366"/>
        <w:gridCol w:w="1367"/>
        <w:gridCol w:w="1367"/>
        <w:gridCol w:w="1367"/>
        <w:gridCol w:w="1371"/>
      </w:tblGrid>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3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318"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3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318"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407" w:right="0"/>
              <w:jc w:val="left"/>
              <w:rPr>
                <w:rFonts w:ascii="宋体" w:hAnsi="宋体" w:cs="宋体" w:eastAsia="宋体" w:hint="default"/>
                <w:sz w:val="18"/>
                <w:szCs w:val="18"/>
              </w:rPr>
            </w:pPr>
            <w:r>
              <w:rPr>
                <w:rFonts w:ascii="宋体" w:hAnsi="宋体" w:cs="宋体" w:eastAsia="宋体" w:hint="default"/>
                <w:sz w:val="18"/>
                <w:szCs w:val="18"/>
              </w:rPr>
              <w:t>毛利率</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0"/>
              <w:ind w:left="228" w:right="137" w:hanging="90"/>
              <w:jc w:val="left"/>
              <w:rPr>
                <w:rFonts w:ascii="宋体" w:hAnsi="宋体" w:cs="宋体" w:eastAsia="宋体" w:hint="default"/>
                <w:sz w:val="18"/>
                <w:szCs w:val="18"/>
              </w:rPr>
            </w:pPr>
            <w:r>
              <w:rPr>
                <w:rFonts w:ascii="宋体" w:hAnsi="宋体" w:cs="宋体" w:eastAsia="宋体" w:hint="default"/>
                <w:sz w:val="18"/>
                <w:szCs w:val="18"/>
              </w:rPr>
              <w:t>营业收入比上 年同期增减</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0"/>
              <w:ind w:left="227" w:right="137" w:hanging="90"/>
              <w:jc w:val="left"/>
              <w:rPr>
                <w:rFonts w:ascii="宋体" w:hAnsi="宋体" w:cs="宋体" w:eastAsia="宋体" w:hint="default"/>
                <w:sz w:val="18"/>
                <w:szCs w:val="18"/>
              </w:rPr>
            </w:pPr>
            <w:r>
              <w:rPr>
                <w:rFonts w:ascii="宋体" w:hAnsi="宋体" w:cs="宋体" w:eastAsia="宋体" w:hint="default"/>
                <w:sz w:val="18"/>
                <w:szCs w:val="18"/>
              </w:rPr>
              <w:t>营业成本比上 年同期增减</w:t>
            </w:r>
          </w:p>
        </w:tc>
        <w:tc>
          <w:tcPr>
            <w:tcW w:w="137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0"/>
              <w:ind w:left="320" w:right="140" w:hanging="180"/>
              <w:jc w:val="left"/>
              <w:rPr>
                <w:rFonts w:ascii="宋体" w:hAnsi="宋体" w:cs="宋体" w:eastAsia="宋体" w:hint="default"/>
                <w:sz w:val="18"/>
                <w:szCs w:val="18"/>
              </w:rPr>
            </w:pPr>
            <w:r>
              <w:rPr>
                <w:rFonts w:ascii="宋体" w:hAnsi="宋体" w:cs="宋体" w:eastAsia="宋体" w:hint="default"/>
                <w:sz w:val="18"/>
                <w:szCs w:val="18"/>
              </w:rPr>
              <w:t>毛利率比上年 同期增减</w:t>
            </w:r>
          </w:p>
        </w:tc>
      </w:tr>
      <w:tr>
        <w:trPr>
          <w:trHeight w:val="402" w:hRule="exact"/>
        </w:trPr>
        <w:tc>
          <w:tcPr>
            <w:tcW w:w="9571" w:type="dxa"/>
            <w:gridSpan w:val="7"/>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工业</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1,456,277,421.</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72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1,133,374,237.</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36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22.17%</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95"/>
                <w:sz w:val="18"/>
              </w:rPr>
              <w:t>-10.83%</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95"/>
                <w:sz w:val="18"/>
              </w:rPr>
              <w:t>-14.71%</w:t>
            </w:r>
            <w:r>
              <w:rPr>
                <w:rFonts w:ascii="Times New Roman"/>
                <w:sz w:val="18"/>
              </w:rPr>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3.54%</w:t>
            </w:r>
            <w:r>
              <w:rPr>
                <w:rFonts w:ascii="Times New Roman"/>
                <w:sz w:val="18"/>
              </w:rPr>
            </w:r>
          </w:p>
        </w:tc>
      </w:tr>
      <w:tr>
        <w:trPr>
          <w:trHeight w:val="402" w:hRule="exact"/>
        </w:trPr>
        <w:tc>
          <w:tcPr>
            <w:tcW w:w="9571" w:type="dxa"/>
            <w:gridSpan w:val="7"/>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票证类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5,799,914.52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3,942,277.50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32.03%</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6.12%</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5"/>
                <w:sz w:val="18"/>
              </w:rPr>
              <w:t>1.69%</w:t>
            </w:r>
            <w:r>
              <w:rPr>
                <w:rFonts w:ascii="Times New Roman"/>
                <w:sz w:val="18"/>
              </w:rPr>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2.96%</w:t>
            </w:r>
            <w:r>
              <w:rPr>
                <w:rFonts w:ascii="Times New Roman"/>
                <w:sz w:val="18"/>
              </w:rPr>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制卡类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904,981,567.64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648,936,065.39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28.29%</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18.09%</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5"/>
                <w:sz w:val="18"/>
              </w:rPr>
              <w:t>14.43%</w:t>
            </w:r>
            <w:r>
              <w:rPr>
                <w:rFonts w:ascii="Times New Roman"/>
                <w:sz w:val="18"/>
              </w:rPr>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2.29%</w:t>
            </w:r>
            <w:r>
              <w:rPr>
                <w:rFonts w:ascii="Times New Roman"/>
                <w:sz w:val="18"/>
              </w:rPr>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模块类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146,100,983.75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129,066,071.39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2"/>
                <w:sz w:val="18"/>
              </w:rPr>
              <w:t>11.66%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23.27%</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5"/>
                <w:sz w:val="18"/>
              </w:rPr>
              <w:t>24.10%</w:t>
            </w:r>
            <w:r>
              <w:rPr>
                <w:rFonts w:ascii="Times New Roman"/>
                <w:sz w:val="18"/>
              </w:rPr>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w w:val="95"/>
                <w:sz w:val="18"/>
              </w:rPr>
              <w:t>-0.59%</w:t>
            </w:r>
            <w:r>
              <w:rPr>
                <w:rFonts w:ascii="Times New Roman"/>
                <w:sz w:val="18"/>
              </w:rPr>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0"/>
              <w:ind w:left="102" w:right="172"/>
              <w:jc w:val="left"/>
              <w:rPr>
                <w:rFonts w:ascii="宋体" w:hAnsi="宋体" w:cs="宋体" w:eastAsia="宋体" w:hint="default"/>
                <w:sz w:val="18"/>
                <w:szCs w:val="18"/>
              </w:rPr>
            </w:pPr>
            <w:r>
              <w:rPr>
                <w:rFonts w:ascii="宋体" w:hAnsi="宋体" w:cs="宋体" w:eastAsia="宋体" w:hint="default"/>
                <w:sz w:val="18"/>
                <w:szCs w:val="18"/>
              </w:rPr>
              <w:t>特种物联网业 务</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399,394,955.81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351,429,823.08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12.01%</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95"/>
                <w:sz w:val="18"/>
              </w:rPr>
              <w:t>-46.23%</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95"/>
                <w:sz w:val="18"/>
              </w:rPr>
              <w:t>-46.26%</w:t>
            </w:r>
            <w:r>
              <w:rPr>
                <w:rFonts w:ascii="Times New Roman"/>
                <w:sz w:val="18"/>
              </w:rPr>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0.04%</w:t>
            </w:r>
            <w:r>
              <w:rPr>
                <w:rFonts w:ascii="Times New Roman"/>
                <w:sz w:val="18"/>
              </w:rPr>
            </w:r>
          </w:p>
        </w:tc>
      </w:tr>
      <w:tr>
        <w:trPr>
          <w:trHeight w:val="402" w:hRule="exact"/>
        </w:trPr>
        <w:tc>
          <w:tcPr>
            <w:tcW w:w="9571" w:type="dxa"/>
            <w:gridSpan w:val="7"/>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华北地区</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398,718,745.52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293,420,477.77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26.41%</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22.09%</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5"/>
                <w:sz w:val="18"/>
              </w:rPr>
              <w:t>22.31%</w:t>
            </w:r>
            <w:r>
              <w:rPr>
                <w:rFonts w:ascii="Times New Roman"/>
                <w:sz w:val="18"/>
              </w:rPr>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w w:val="95"/>
                <w:sz w:val="18"/>
              </w:rPr>
              <w:t>-0.14%</w:t>
            </w:r>
            <w:r>
              <w:rPr>
                <w:rFonts w:ascii="Times New Roman"/>
                <w:sz w:val="18"/>
              </w:rPr>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华东地区</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581,139,795.46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476,185,948.40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18.06%</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w w:val="95"/>
                <w:sz w:val="18"/>
              </w:rPr>
              <w:t>-36.46%</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w w:val="95"/>
                <w:sz w:val="18"/>
              </w:rPr>
              <w:t>-39.46%</w:t>
            </w:r>
            <w:r>
              <w:rPr>
                <w:rFonts w:ascii="Times New Roman"/>
                <w:sz w:val="18"/>
              </w:rPr>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4.07%</w:t>
            </w:r>
            <w:r>
              <w:rPr>
                <w:rFonts w:ascii="Times New Roman"/>
                <w:sz w:val="18"/>
              </w:rPr>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西南地区</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168,954,158.63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126,479,083.15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25.14%</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10.61%</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5"/>
                <w:sz w:val="18"/>
              </w:rPr>
              <w:t>8.69%</w:t>
            </w:r>
            <w:r>
              <w:rPr>
                <w:rFonts w:ascii="Times New Roman"/>
                <w:sz w:val="18"/>
              </w:rPr>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1.32%</w:t>
            </w:r>
            <w:r>
              <w:rPr>
                <w:rFonts w:ascii="Times New Roman"/>
                <w:sz w:val="18"/>
              </w:rPr>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西北地区</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75,358,659.12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57,656,910.09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23.49%</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9.26%</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5"/>
                <w:sz w:val="18"/>
              </w:rPr>
              <w:t>9.31%</w:t>
            </w:r>
            <w:r>
              <w:rPr>
                <w:rFonts w:ascii="Times New Roman"/>
                <w:sz w:val="18"/>
              </w:rPr>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w w:val="95"/>
                <w:sz w:val="18"/>
              </w:rPr>
              <w:t>-0.04%</w:t>
            </w:r>
            <w:r>
              <w:rPr>
                <w:rFonts w:ascii="Times New Roman"/>
                <w:sz w:val="18"/>
              </w:rPr>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东北地区</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92,246,734.56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70,245,888.37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23.85%</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0.68%</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w w:val="95"/>
                <w:sz w:val="18"/>
              </w:rPr>
              <w:t>-0.80%</w:t>
            </w:r>
            <w:r>
              <w:rPr>
                <w:rFonts w:ascii="Times New Roman"/>
                <w:sz w:val="18"/>
              </w:rPr>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1.14%</w:t>
            </w:r>
            <w:r>
              <w:rPr>
                <w:rFonts w:ascii="Times New Roman"/>
                <w:sz w:val="18"/>
              </w:rPr>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境外地区</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65,156,207.13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49,342,795.66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24.27%</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103.26%</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5"/>
                <w:sz w:val="18"/>
              </w:rPr>
              <w:t>100.09%</w:t>
            </w:r>
            <w:r>
              <w:rPr>
                <w:rFonts w:ascii="Times New Roman"/>
                <w:sz w:val="18"/>
              </w:rPr>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1.20%</w:t>
            </w:r>
            <w:r>
              <w:rPr>
                <w:rFonts w:ascii="Times New Roman"/>
                <w:sz w:val="18"/>
              </w:rPr>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其他地区</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74,703,121.30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60,043,133.92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19.62%</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60.29%</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5"/>
                <w:sz w:val="18"/>
              </w:rPr>
              <w:t>58.88%</w:t>
            </w:r>
            <w:r>
              <w:rPr>
                <w:rFonts w:ascii="Times New Roman"/>
                <w:sz w:val="18"/>
              </w:rPr>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0.71%</w:t>
            </w:r>
            <w:r>
              <w:rPr>
                <w:rFonts w:ascii="Times New Roman"/>
                <w:sz w:val="18"/>
              </w:rPr>
            </w:r>
          </w:p>
        </w:tc>
      </w:tr>
    </w:tbl>
    <w:p>
      <w:pPr>
        <w:pStyle w:val="BodyText"/>
        <w:spacing w:line="240" w:lineRule="auto" w:before="50"/>
        <w:ind w:right="0"/>
        <w:jc w:val="left"/>
      </w:pPr>
      <w:r>
        <w:rPr/>
        <w:t>公司主营业务数据统计口径在报告期发生调整的情况下，公司最近</w:t>
      </w:r>
      <w:r>
        <w:rPr>
          <w:spacing w:val="-46"/>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年按报告期末口径调整后的主营业务数据</w:t>
      </w:r>
    </w:p>
    <w:p>
      <w:pPr>
        <w:pStyle w:val="BodyText"/>
        <w:spacing w:line="240" w:lineRule="auto" w:before="102"/>
        <w:ind w:right="0"/>
        <w:jc w:val="left"/>
      </w:pPr>
      <w:r>
        <w:rPr/>
        <w:t>□ 适用 √ 不适用</w:t>
      </w:r>
    </w:p>
    <w:p>
      <w:pPr>
        <w:spacing w:line="240" w:lineRule="auto" w:before="13"/>
        <w:rPr>
          <w:rFonts w:ascii="宋体" w:hAnsi="宋体" w:cs="宋体" w:eastAsia="宋体" w:hint="default"/>
          <w:sz w:val="26"/>
          <w:szCs w:val="26"/>
        </w:rPr>
      </w:pPr>
    </w:p>
    <w:p>
      <w:pPr>
        <w:pStyle w:val="Heading3"/>
        <w:spacing w:line="240" w:lineRule="auto"/>
        <w:ind w:right="0"/>
        <w:jc w:val="left"/>
        <w:rPr>
          <w:b w:val="0"/>
          <w:bCs w:val="0"/>
        </w:rPr>
      </w:pPr>
      <w:r>
        <w:rPr/>
        <w:t>（</w:t>
      </w:r>
      <w:r>
        <w:rPr>
          <w:rFonts w:ascii="Times New Roman" w:hAnsi="Times New Roman" w:cs="Times New Roman" w:eastAsia="Times New Roman" w:hint="default"/>
        </w:rPr>
        <w:t>3</w:t>
      </w:r>
      <w:r>
        <w:rPr/>
        <w:t>）公司实物销售收入是否大于劳务收入</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 是 □ 否</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596"/>
        <w:gridCol w:w="1594"/>
        <w:gridCol w:w="1594"/>
        <w:gridCol w:w="1594"/>
        <w:gridCol w:w="1594"/>
        <w:gridCol w:w="1594"/>
      </w:tblGrid>
      <w:tr>
        <w:trPr>
          <w:trHeight w:val="401" w:hRule="exact"/>
        </w:trPr>
        <w:tc>
          <w:tcPr>
            <w:tcW w:w="15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32" w:right="0"/>
              <w:jc w:val="left"/>
              <w:rPr>
                <w:rFonts w:ascii="宋体" w:hAnsi="宋体" w:cs="宋体" w:eastAsia="宋体" w:hint="default"/>
                <w:sz w:val="18"/>
                <w:szCs w:val="18"/>
              </w:rPr>
            </w:pPr>
            <w:r>
              <w:rPr>
                <w:rFonts w:ascii="宋体" w:hAnsi="宋体" w:cs="宋体" w:eastAsia="宋体" w:hint="default"/>
                <w:sz w:val="18"/>
                <w:szCs w:val="18"/>
              </w:rPr>
              <w:t>行业分类</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单位</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9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31"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3" w:hRule="exact"/>
        </w:trPr>
        <w:tc>
          <w:tcPr>
            <w:tcW w:w="159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制卡类</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销售量</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万张</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66,218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55,938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w w:val="95"/>
                <w:sz w:val="18"/>
              </w:rPr>
              <w:t>18.38%</w:t>
            </w:r>
            <w:r>
              <w:rPr>
                <w:rFonts w:ascii="Times New Roman"/>
                <w:sz w:val="18"/>
              </w:rPr>
            </w:r>
          </w:p>
        </w:tc>
      </w:tr>
      <w:tr>
        <w:trPr>
          <w:trHeight w:val="402" w:hRule="exact"/>
        </w:trPr>
        <w:tc>
          <w:tcPr>
            <w:tcW w:w="1596" w:type="dxa"/>
            <w:vMerge/>
            <w:tcBorders>
              <w:left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生产量</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万张</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67,406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56,456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w w:val="95"/>
                <w:sz w:val="18"/>
              </w:rPr>
              <w:t>19.40%</w:t>
            </w:r>
            <w:r>
              <w:rPr>
                <w:rFonts w:ascii="Times New Roman"/>
                <w:sz w:val="18"/>
              </w:rPr>
            </w:r>
          </w:p>
        </w:tc>
      </w:tr>
      <w:tr>
        <w:trPr>
          <w:trHeight w:val="402" w:hRule="exact"/>
        </w:trPr>
        <w:tc>
          <w:tcPr>
            <w:tcW w:w="1596" w:type="dxa"/>
            <w:vMerge/>
            <w:tcBorders>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库存量</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万张</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5,266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4,078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w w:val="95"/>
                <w:sz w:val="18"/>
              </w:rPr>
              <w:t>29.13%</w:t>
            </w:r>
            <w:r>
              <w:rPr>
                <w:rFonts w:ascii="Times New Roman"/>
                <w:sz w:val="18"/>
              </w:rPr>
            </w:r>
          </w:p>
        </w:tc>
      </w:tr>
      <w:tr>
        <w:trPr>
          <w:trHeight w:val="401"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模块类</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销售量</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万只</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30,839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24,516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w w:val="95"/>
                <w:sz w:val="18"/>
              </w:rPr>
              <w:t>25.79%</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906" w:footer="1018" w:top="1100" w:bottom="1200" w:left="1020" w:right="0"/>
        </w:sectPr>
      </w:pPr>
    </w:p>
    <w:p>
      <w:pPr>
        <w:spacing w:line="240" w:lineRule="auto" w:before="7"/>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596"/>
        <w:gridCol w:w="1594"/>
        <w:gridCol w:w="1594"/>
        <w:gridCol w:w="1594"/>
        <w:gridCol w:w="1594"/>
        <w:gridCol w:w="1594"/>
      </w:tblGrid>
      <w:tr>
        <w:trPr>
          <w:trHeight w:val="402" w:hRule="exact"/>
        </w:trPr>
        <w:tc>
          <w:tcPr>
            <w:tcW w:w="1596" w:type="dxa"/>
            <w:vMerge w:val="restart"/>
            <w:tcBorders>
              <w:top w:val="single" w:sz="4" w:space="0" w:color="000000"/>
              <w:left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生产量</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万只</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31,014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24,489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26.64%</w:t>
            </w:r>
            <w:r>
              <w:rPr>
                <w:rFonts w:ascii="Times New Roman"/>
                <w:sz w:val="18"/>
              </w:rPr>
            </w:r>
          </w:p>
        </w:tc>
      </w:tr>
      <w:tr>
        <w:trPr>
          <w:trHeight w:val="402" w:hRule="exact"/>
        </w:trPr>
        <w:tc>
          <w:tcPr>
            <w:tcW w:w="1596" w:type="dxa"/>
            <w:vMerge/>
            <w:tcBorders>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库存量</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万只</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781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606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28.88%</w:t>
            </w:r>
            <w:r>
              <w:rPr>
                <w:rFonts w:ascii="Times New Roman"/>
                <w:sz w:val="18"/>
              </w:rPr>
            </w:r>
          </w:p>
        </w:tc>
      </w:tr>
      <w:tr>
        <w:trPr>
          <w:trHeight w:val="402" w:hRule="exact"/>
        </w:trPr>
        <w:tc>
          <w:tcPr>
            <w:tcW w:w="159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票证类</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销售量</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万张</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6,874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6,754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1.78%</w:t>
            </w:r>
            <w:r>
              <w:rPr>
                <w:rFonts w:ascii="Times New Roman"/>
                <w:sz w:val="18"/>
              </w:rPr>
            </w:r>
          </w:p>
        </w:tc>
      </w:tr>
      <w:tr>
        <w:trPr>
          <w:trHeight w:val="402" w:hRule="exact"/>
        </w:trPr>
        <w:tc>
          <w:tcPr>
            <w:tcW w:w="1596" w:type="dxa"/>
            <w:vMerge/>
            <w:tcBorders>
              <w:left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生产量</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万张</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6,896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6,735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2.39%</w:t>
            </w:r>
            <w:r>
              <w:rPr>
                <w:rFonts w:ascii="Times New Roman"/>
                <w:sz w:val="18"/>
              </w:rPr>
            </w:r>
          </w:p>
        </w:tc>
      </w:tr>
      <w:tr>
        <w:trPr>
          <w:trHeight w:val="402" w:hRule="exact"/>
        </w:trPr>
        <w:tc>
          <w:tcPr>
            <w:tcW w:w="1596" w:type="dxa"/>
            <w:vMerge/>
            <w:tcBorders>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库存量</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万张</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138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3"/>
                <w:sz w:val="18"/>
              </w:rPr>
              <w:t>116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18.97%</w:t>
            </w:r>
            <w:r>
              <w:rPr>
                <w:rFonts w:ascii="Times New Roman"/>
                <w:sz w:val="18"/>
              </w:rPr>
            </w:r>
          </w:p>
        </w:tc>
      </w:tr>
      <w:tr>
        <w:trPr>
          <w:trHeight w:val="402" w:hRule="exact"/>
        </w:trPr>
        <w:tc>
          <w:tcPr>
            <w:tcW w:w="159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特种物联网业务</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销售量</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万套</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0.87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1.07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w w:val="95"/>
                <w:sz w:val="18"/>
              </w:rPr>
              <w:t>-18.69%</w:t>
            </w:r>
            <w:r>
              <w:rPr>
                <w:rFonts w:ascii="Times New Roman"/>
                <w:sz w:val="18"/>
              </w:rPr>
            </w:r>
          </w:p>
        </w:tc>
      </w:tr>
      <w:tr>
        <w:trPr>
          <w:trHeight w:val="402" w:hRule="exact"/>
        </w:trPr>
        <w:tc>
          <w:tcPr>
            <w:tcW w:w="1596" w:type="dxa"/>
            <w:vMerge/>
            <w:tcBorders>
              <w:left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生产量</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万套</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0.87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1.07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w w:val="95"/>
                <w:sz w:val="18"/>
              </w:rPr>
              <w:t>-18.69%</w:t>
            </w:r>
            <w:r>
              <w:rPr>
                <w:rFonts w:ascii="Times New Roman"/>
                <w:sz w:val="18"/>
              </w:rPr>
            </w:r>
          </w:p>
        </w:tc>
      </w:tr>
      <w:tr>
        <w:trPr>
          <w:trHeight w:val="402" w:hRule="exact"/>
        </w:trPr>
        <w:tc>
          <w:tcPr>
            <w:tcW w:w="1596" w:type="dxa"/>
            <w:vMerge/>
            <w:tcBorders>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库存量</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万套</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1594"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0"/>
        <w:ind w:right="0"/>
        <w:jc w:val="left"/>
      </w:pPr>
      <w:r>
        <w:rPr/>
        <w:t>相关数据同比发生变动</w:t>
      </w:r>
      <w:r>
        <w:rPr>
          <w:spacing w:val="-46"/>
        </w:rPr>
        <w:t> </w:t>
      </w:r>
      <w:r>
        <w:rPr>
          <w:rFonts w:ascii="Times New Roman" w:hAnsi="Times New Roman" w:cs="Times New Roman" w:eastAsia="Times New Roman" w:hint="default"/>
        </w:rPr>
        <w:t>30%</w:t>
      </w:r>
      <w:r>
        <w:rPr/>
        <w:t>以上的原因说明</w:t>
      </w:r>
    </w:p>
    <w:p>
      <w:pPr>
        <w:pStyle w:val="BodyText"/>
        <w:spacing w:line="240" w:lineRule="auto" w:before="103"/>
        <w:ind w:right="0"/>
        <w:jc w:val="left"/>
      </w:pPr>
      <w:r>
        <w:rPr/>
        <w:t>□ 适用 √ 不适用</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t>（</w:t>
      </w:r>
      <w:r>
        <w:rPr>
          <w:rFonts w:ascii="Times New Roman" w:hAnsi="Times New Roman" w:cs="Times New Roman" w:eastAsia="Times New Roman" w:hint="default"/>
        </w:rPr>
        <w:t>4</w:t>
      </w:r>
      <w:r>
        <w:rPr/>
        <w:t>）公司已签订的重大销售合同截至本报告期的履行情况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3"/>
        <w:rPr>
          <w:rFonts w:ascii="宋体" w:hAnsi="宋体" w:cs="宋体" w:eastAsia="宋体" w:hint="default"/>
          <w:sz w:val="26"/>
          <w:szCs w:val="26"/>
        </w:rPr>
      </w:pPr>
    </w:p>
    <w:p>
      <w:pPr>
        <w:pStyle w:val="Heading3"/>
        <w:spacing w:line="240" w:lineRule="auto"/>
        <w:ind w:right="0"/>
        <w:jc w:val="left"/>
        <w:rPr>
          <w:b w:val="0"/>
          <w:bCs w:val="0"/>
        </w:rPr>
      </w:pPr>
      <w:r>
        <w:rPr/>
        <w:t>（</w:t>
      </w:r>
      <w:r>
        <w:rPr>
          <w:rFonts w:ascii="Times New Roman" w:hAnsi="Times New Roman" w:cs="Times New Roman" w:eastAsia="Times New Roman" w:hint="default"/>
        </w:rPr>
        <w:t>5</w:t>
      </w:r>
      <w:r>
        <w:rPr/>
        <w:t>）营业成本构成</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0"/>
        <w:jc w:val="left"/>
      </w:pPr>
      <w:r>
        <w:rPr/>
        <w:t>行业和产品分类</w:t>
      </w:r>
    </w:p>
    <w:p>
      <w:pPr>
        <w:pStyle w:val="BodyText"/>
        <w:spacing w:line="240" w:lineRule="auto" w:before="116"/>
        <w:ind w:left="0" w:right="1132"/>
        <w:jc w:val="right"/>
      </w:pPr>
      <w:r>
        <w:rPr>
          <w:spacing w:val="-1"/>
        </w:rPr>
        <w:t>单位：元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9"/>
        <w:gridCol w:w="1367"/>
        <w:gridCol w:w="1367"/>
        <w:gridCol w:w="1367"/>
        <w:gridCol w:w="1367"/>
        <w:gridCol w:w="1367"/>
        <w:gridCol w:w="1367"/>
      </w:tblGrid>
      <w:tr>
        <w:trPr>
          <w:trHeight w:val="402" w:hRule="exact"/>
        </w:trPr>
        <w:tc>
          <w:tcPr>
            <w:tcW w:w="1369"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left="318" w:right="0"/>
              <w:jc w:val="left"/>
              <w:rPr>
                <w:rFonts w:ascii="宋体" w:hAnsi="宋体" w:cs="宋体" w:eastAsia="宋体" w:hint="default"/>
                <w:sz w:val="18"/>
                <w:szCs w:val="18"/>
              </w:rPr>
            </w:pPr>
            <w:r>
              <w:rPr>
                <w:rFonts w:ascii="宋体" w:hAnsi="宋体" w:cs="宋体" w:eastAsia="宋体" w:hint="default"/>
                <w:sz w:val="18"/>
                <w:szCs w:val="18"/>
              </w:rPr>
              <w:t>行业分类</w:t>
            </w:r>
          </w:p>
        </w:tc>
        <w:tc>
          <w:tcPr>
            <w:tcW w:w="1367"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p>
        </w:tc>
        <w:tc>
          <w:tcPr>
            <w:tcW w:w="1367"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left="318"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713" w:hRule="exact"/>
        </w:trPr>
        <w:tc>
          <w:tcPr>
            <w:tcW w:w="1369" w:type="dxa"/>
            <w:vMerge/>
            <w:tcBorders>
              <w:left w:val="single" w:sz="4" w:space="0" w:color="000000"/>
              <w:bottom w:val="single" w:sz="4" w:space="0" w:color="000000"/>
              <w:right w:val="single" w:sz="4" w:space="0" w:color="000000"/>
            </w:tcBorders>
            <w:shd w:val="clear" w:color="auto" w:fill="D3D3D3"/>
          </w:tcPr>
          <w:p>
            <w:pPr/>
          </w:p>
        </w:tc>
        <w:tc>
          <w:tcPr>
            <w:tcW w:w="1367" w:type="dxa"/>
            <w:vMerge/>
            <w:tcBorders>
              <w:left w:val="single" w:sz="4" w:space="0" w:color="000000"/>
              <w:bottom w:val="single" w:sz="4" w:space="0" w:color="000000"/>
              <w:right w:val="single" w:sz="4" w:space="0" w:color="000000"/>
            </w:tcBorders>
            <w:shd w:val="clear" w:color="auto" w:fill="D3D3D3"/>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49"/>
              <w:ind w:left="588" w:right="137" w:hanging="450"/>
              <w:jc w:val="left"/>
              <w:rPr>
                <w:rFonts w:ascii="宋体" w:hAnsi="宋体" w:cs="宋体" w:eastAsia="宋体" w:hint="default"/>
                <w:sz w:val="18"/>
                <w:szCs w:val="18"/>
              </w:rPr>
            </w:pPr>
            <w:r>
              <w:rPr>
                <w:rFonts w:ascii="宋体" w:hAnsi="宋体" w:cs="宋体" w:eastAsia="宋体" w:hint="default"/>
                <w:sz w:val="18"/>
                <w:szCs w:val="18"/>
              </w:rPr>
              <w:t>占营业成本比 重</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49"/>
              <w:ind w:left="588" w:right="137" w:hanging="450"/>
              <w:jc w:val="left"/>
              <w:rPr>
                <w:rFonts w:ascii="宋体" w:hAnsi="宋体" w:cs="宋体" w:eastAsia="宋体" w:hint="default"/>
                <w:sz w:val="18"/>
                <w:szCs w:val="18"/>
              </w:rPr>
            </w:pPr>
            <w:r>
              <w:rPr>
                <w:rFonts w:ascii="宋体" w:hAnsi="宋体" w:cs="宋体" w:eastAsia="宋体" w:hint="default"/>
                <w:sz w:val="18"/>
                <w:szCs w:val="18"/>
              </w:rPr>
              <w:t>占营业成本比 重</w:t>
            </w:r>
          </w:p>
        </w:tc>
        <w:tc>
          <w:tcPr>
            <w:tcW w:w="1367" w:type="dxa"/>
            <w:vMerge/>
            <w:tcBorders>
              <w:left w:val="single" w:sz="4" w:space="0" w:color="000000"/>
              <w:bottom w:val="single" w:sz="4" w:space="0" w:color="000000"/>
              <w:right w:val="single" w:sz="4" w:space="0" w:color="000000"/>
            </w:tcBorders>
            <w:shd w:val="clear" w:color="auto" w:fill="D3D3D3"/>
          </w:tcPr>
          <w:p>
            <w:pPr/>
          </w:p>
        </w:tc>
      </w:tr>
      <w:tr>
        <w:trPr>
          <w:trHeight w:val="715"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1,006,893,475.</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22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2"/>
                <w:sz w:val="18"/>
              </w:rPr>
              <w:t>86.11%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1,167,136,627.</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57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86.89%</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95"/>
                <w:sz w:val="18"/>
              </w:rPr>
              <w:t>-13.73%</w:t>
            </w:r>
            <w:r>
              <w:rPr>
                <w:rFonts w:ascii="Times New Roman"/>
                <w:sz w:val="18"/>
              </w:rPr>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人工费用</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63,777,370.07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w w:val="95"/>
                <w:sz w:val="18"/>
              </w:rPr>
              <w:t>5.45%</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67,968,540.28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w w:val="95"/>
                <w:sz w:val="18"/>
              </w:rPr>
              <w:t>5.06%</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w w:val="95"/>
                <w:sz w:val="18"/>
              </w:rPr>
              <w:t>-6.17%</w:t>
            </w:r>
            <w:r>
              <w:rPr>
                <w:rFonts w:ascii="Times New Roman"/>
                <w:sz w:val="18"/>
              </w:rPr>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电费</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5,979,128.44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w w:val="95"/>
                <w:sz w:val="18"/>
              </w:rPr>
              <w:t>0.51%</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5,628,161.76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w w:val="95"/>
                <w:sz w:val="18"/>
              </w:rPr>
              <w:t>0.42%</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w w:val="95"/>
                <w:sz w:val="18"/>
              </w:rPr>
              <w:t>6.24%</w:t>
            </w:r>
            <w:r>
              <w:rPr>
                <w:rFonts w:ascii="Times New Roman"/>
                <w:sz w:val="18"/>
              </w:rPr>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制造费用</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88,983,499.79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w w:val="95"/>
                <w:sz w:val="18"/>
              </w:rPr>
              <w:t>7.61%</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98,609,348.41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w w:val="95"/>
                <w:sz w:val="18"/>
              </w:rPr>
              <w:t>7.34%</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w w:val="95"/>
                <w:sz w:val="18"/>
              </w:rPr>
              <w:t>-9.76%</w:t>
            </w:r>
            <w:r>
              <w:rPr>
                <w:rFonts w:ascii="Times New Roman"/>
                <w:sz w:val="18"/>
              </w:rPr>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3,775,934.29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w w:val="95"/>
                <w:sz w:val="18"/>
              </w:rPr>
              <w:t>0.32%</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3,909,140.72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w w:val="95"/>
                <w:sz w:val="18"/>
              </w:rPr>
              <w:t>0.29%</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w w:val="95"/>
                <w:sz w:val="18"/>
              </w:rPr>
              <w:t>-3.41%</w:t>
            </w:r>
            <w:r>
              <w:rPr>
                <w:rFonts w:ascii="Times New Roman"/>
                <w:sz w:val="18"/>
              </w:rPr>
            </w:r>
          </w:p>
        </w:tc>
      </w:tr>
      <w:tr>
        <w:trPr>
          <w:trHeight w:val="714"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1,169,409,407.</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81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1,343,251,818.</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74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95"/>
                <w:sz w:val="18"/>
              </w:rPr>
              <w:t>-12.94%</w:t>
            </w:r>
            <w:r>
              <w:rPr>
                <w:rFonts w:ascii="Times New Roman"/>
                <w:sz w:val="18"/>
              </w:rPr>
            </w:r>
          </w:p>
        </w:tc>
      </w:tr>
    </w:tbl>
    <w:p>
      <w:pPr>
        <w:pStyle w:val="BodyText"/>
        <w:spacing w:line="240" w:lineRule="auto" w:before="49"/>
        <w:ind w:left="0" w:right="1132"/>
        <w:jc w:val="right"/>
      </w:pPr>
      <w:r>
        <w:rPr>
          <w:spacing w:val="-1"/>
        </w:rPr>
        <w:t>单位：元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9"/>
        <w:gridCol w:w="1367"/>
        <w:gridCol w:w="1367"/>
        <w:gridCol w:w="1367"/>
        <w:gridCol w:w="1367"/>
        <w:gridCol w:w="1367"/>
        <w:gridCol w:w="1367"/>
      </w:tblGrid>
      <w:tr>
        <w:trPr>
          <w:trHeight w:val="401" w:hRule="exact"/>
        </w:trPr>
        <w:tc>
          <w:tcPr>
            <w:tcW w:w="1369"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left="318" w:right="0"/>
              <w:jc w:val="left"/>
              <w:rPr>
                <w:rFonts w:ascii="宋体" w:hAnsi="宋体" w:cs="宋体" w:eastAsia="宋体" w:hint="default"/>
                <w:sz w:val="18"/>
                <w:szCs w:val="18"/>
              </w:rPr>
            </w:pPr>
            <w:r>
              <w:rPr>
                <w:rFonts w:ascii="宋体" w:hAnsi="宋体" w:cs="宋体" w:eastAsia="宋体" w:hint="default"/>
                <w:sz w:val="18"/>
                <w:szCs w:val="18"/>
              </w:rPr>
              <w:t>产品分类</w:t>
            </w:r>
          </w:p>
        </w:tc>
        <w:tc>
          <w:tcPr>
            <w:tcW w:w="1367"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p>
        </w:tc>
        <w:tc>
          <w:tcPr>
            <w:tcW w:w="1367"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left="318"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714" w:hRule="exact"/>
        </w:trPr>
        <w:tc>
          <w:tcPr>
            <w:tcW w:w="1369" w:type="dxa"/>
            <w:vMerge/>
            <w:tcBorders>
              <w:left w:val="single" w:sz="4" w:space="0" w:color="000000"/>
              <w:bottom w:val="single" w:sz="4" w:space="0" w:color="000000"/>
              <w:right w:val="single" w:sz="4" w:space="0" w:color="000000"/>
            </w:tcBorders>
            <w:shd w:val="clear" w:color="auto" w:fill="D3D3D3"/>
          </w:tcPr>
          <w:p>
            <w:pPr/>
          </w:p>
        </w:tc>
        <w:tc>
          <w:tcPr>
            <w:tcW w:w="1367" w:type="dxa"/>
            <w:vMerge/>
            <w:tcBorders>
              <w:left w:val="single" w:sz="4" w:space="0" w:color="000000"/>
              <w:bottom w:val="single" w:sz="4" w:space="0" w:color="000000"/>
              <w:right w:val="single" w:sz="4" w:space="0" w:color="000000"/>
            </w:tcBorders>
            <w:shd w:val="clear" w:color="auto" w:fill="D3D3D3"/>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49"/>
              <w:ind w:left="588" w:right="137" w:hanging="450"/>
              <w:jc w:val="left"/>
              <w:rPr>
                <w:rFonts w:ascii="宋体" w:hAnsi="宋体" w:cs="宋体" w:eastAsia="宋体" w:hint="default"/>
                <w:sz w:val="18"/>
                <w:szCs w:val="18"/>
              </w:rPr>
            </w:pPr>
            <w:r>
              <w:rPr>
                <w:rFonts w:ascii="宋体" w:hAnsi="宋体" w:cs="宋体" w:eastAsia="宋体" w:hint="default"/>
                <w:sz w:val="18"/>
                <w:szCs w:val="18"/>
              </w:rPr>
              <w:t>占营业成本比 重</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49"/>
              <w:ind w:left="588" w:right="137" w:hanging="450"/>
              <w:jc w:val="left"/>
              <w:rPr>
                <w:rFonts w:ascii="宋体" w:hAnsi="宋体" w:cs="宋体" w:eastAsia="宋体" w:hint="default"/>
                <w:sz w:val="18"/>
                <w:szCs w:val="18"/>
              </w:rPr>
            </w:pPr>
            <w:r>
              <w:rPr>
                <w:rFonts w:ascii="宋体" w:hAnsi="宋体" w:cs="宋体" w:eastAsia="宋体" w:hint="default"/>
                <w:sz w:val="18"/>
                <w:szCs w:val="18"/>
              </w:rPr>
              <w:t>占营业成本比 重</w:t>
            </w:r>
          </w:p>
        </w:tc>
        <w:tc>
          <w:tcPr>
            <w:tcW w:w="1367" w:type="dxa"/>
            <w:vMerge/>
            <w:tcBorders>
              <w:left w:val="single" w:sz="4" w:space="0" w:color="000000"/>
              <w:bottom w:val="single" w:sz="4" w:space="0" w:color="000000"/>
              <w:right w:val="single" w:sz="4" w:space="0" w:color="000000"/>
            </w:tcBorders>
            <w:shd w:val="clear" w:color="auto" w:fill="D3D3D3"/>
          </w:tcPr>
          <w:p>
            <w:pP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票证类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3,942,277.50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w w:val="95"/>
                <w:sz w:val="18"/>
              </w:rPr>
              <w:t>0.34%</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3,876,950.12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w w:val="95"/>
                <w:sz w:val="18"/>
              </w:rPr>
              <w:t>0.29%</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w w:val="95"/>
                <w:sz w:val="18"/>
              </w:rPr>
              <w:t>1.69%</w:t>
            </w:r>
            <w:r>
              <w:rPr>
                <w:rFonts w:ascii="Times New Roman"/>
                <w:sz w:val="18"/>
              </w:rPr>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制卡类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648,936,065.39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w w:val="95"/>
                <w:sz w:val="18"/>
              </w:rPr>
              <w:t>55.49%</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567,089,487.38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w w:val="95"/>
                <w:sz w:val="18"/>
              </w:rPr>
              <w:t>42.22%</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w w:val="95"/>
                <w:sz w:val="18"/>
              </w:rPr>
              <w:t>14.43%</w:t>
            </w:r>
            <w:r>
              <w:rPr>
                <w:rFonts w:ascii="Times New Roman"/>
                <w:sz w:val="18"/>
              </w:rPr>
            </w:r>
          </w:p>
        </w:tc>
      </w:tr>
      <w:tr>
        <w:trPr>
          <w:trHeight w:val="401"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模块类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129,066,071.39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2"/>
                <w:sz w:val="18"/>
              </w:rPr>
              <w:t>11.04%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104,002,616.05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w w:val="95"/>
                <w:sz w:val="18"/>
              </w:rPr>
              <w:t>7.74%</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w w:val="95"/>
                <w:sz w:val="18"/>
              </w:rPr>
              <w:t>24.10%</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906" w:footer="1018" w:top="1100" w:bottom="1200" w:left="1020" w:right="0"/>
        </w:sectPr>
      </w:pPr>
    </w:p>
    <w:p>
      <w:pPr>
        <w:spacing w:line="240" w:lineRule="auto" w:before="7"/>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369"/>
        <w:gridCol w:w="1367"/>
        <w:gridCol w:w="1367"/>
        <w:gridCol w:w="1367"/>
        <w:gridCol w:w="1367"/>
        <w:gridCol w:w="1367"/>
        <w:gridCol w:w="1367"/>
      </w:tblGrid>
      <w:tr>
        <w:trPr>
          <w:trHeight w:val="714"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2" w:right="174"/>
              <w:jc w:val="left"/>
              <w:rPr>
                <w:rFonts w:ascii="宋体" w:hAnsi="宋体" w:cs="宋体" w:eastAsia="宋体" w:hint="default"/>
                <w:sz w:val="18"/>
                <w:szCs w:val="18"/>
              </w:rPr>
            </w:pPr>
            <w:r>
              <w:rPr>
                <w:rFonts w:ascii="宋体" w:hAnsi="宋体" w:cs="宋体" w:eastAsia="宋体" w:hint="default"/>
                <w:sz w:val="18"/>
                <w:szCs w:val="18"/>
              </w:rPr>
              <w:t>网络版会员软 件</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7,361,978.21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0.63%</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6,569,497.54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0.49%</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12.06%</w:t>
            </w:r>
            <w:r>
              <w:rPr>
                <w:rFonts w:ascii="Times New Roman"/>
                <w:sz w:val="18"/>
              </w:rPr>
            </w:r>
          </w:p>
        </w:tc>
      </w:tr>
      <w:tr>
        <w:trPr>
          <w:trHeight w:val="714"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0"/>
              <w:ind w:left="102" w:right="174"/>
              <w:jc w:val="left"/>
              <w:rPr>
                <w:rFonts w:ascii="宋体" w:hAnsi="宋体" w:cs="宋体" w:eastAsia="宋体" w:hint="default"/>
                <w:sz w:val="18"/>
                <w:szCs w:val="18"/>
              </w:rPr>
            </w:pPr>
            <w:r>
              <w:rPr>
                <w:rFonts w:ascii="宋体" w:hAnsi="宋体" w:cs="宋体" w:eastAsia="宋体" w:hint="default"/>
                <w:sz w:val="18"/>
                <w:szCs w:val="18"/>
              </w:rPr>
              <w:t>电子智能支付 设备</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25,612,694.53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2.19%</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1,710,635.99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0.13%</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1,397.26%</w:t>
            </w:r>
          </w:p>
        </w:tc>
      </w:tr>
      <w:tr>
        <w:trPr>
          <w:trHeight w:val="714"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2" w:right="174"/>
              <w:jc w:val="left"/>
              <w:rPr>
                <w:rFonts w:ascii="宋体" w:hAnsi="宋体" w:cs="宋体" w:eastAsia="宋体" w:hint="default"/>
                <w:sz w:val="18"/>
                <w:szCs w:val="18"/>
              </w:rPr>
            </w:pPr>
            <w:r>
              <w:rPr>
                <w:rFonts w:ascii="宋体" w:hAnsi="宋体" w:cs="宋体" w:eastAsia="宋体" w:hint="default"/>
                <w:sz w:val="18"/>
                <w:szCs w:val="18"/>
              </w:rPr>
              <w:t>特种物联网业 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351,429,823.08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30.05%</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653,900,994.17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48.68%</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95"/>
                <w:sz w:val="18"/>
              </w:rPr>
              <w:t>-46.26%</w:t>
            </w:r>
            <w:r>
              <w:rPr>
                <w:rFonts w:ascii="Times New Roman"/>
                <w:sz w:val="18"/>
              </w:rPr>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3,060,497.71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0.26%</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6,101,637.49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0.45%</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w w:val="95"/>
                <w:sz w:val="18"/>
              </w:rPr>
              <w:t>-49.84%</w:t>
            </w:r>
            <w:r>
              <w:rPr>
                <w:rFonts w:ascii="Times New Roman"/>
                <w:sz w:val="18"/>
              </w:rPr>
            </w:r>
          </w:p>
        </w:tc>
      </w:tr>
      <w:tr>
        <w:trPr>
          <w:trHeight w:val="714"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1,169,409,407.</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81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1,343,251,818.</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74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95"/>
                <w:sz w:val="18"/>
              </w:rPr>
              <w:t>-12.94%</w:t>
            </w:r>
            <w:r>
              <w:rPr>
                <w:rFonts w:ascii="Times New Roman"/>
                <w:sz w:val="18"/>
              </w:rPr>
            </w:r>
          </w:p>
        </w:tc>
      </w:tr>
    </w:tbl>
    <w:p>
      <w:pPr>
        <w:pStyle w:val="BodyText"/>
        <w:spacing w:line="240" w:lineRule="auto" w:before="50"/>
        <w:ind w:right="0"/>
        <w:jc w:val="left"/>
      </w:pPr>
      <w:r>
        <w:rPr/>
        <w:t>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t>（</w:t>
      </w:r>
      <w:r>
        <w:rPr>
          <w:rFonts w:ascii="Times New Roman" w:hAnsi="Times New Roman" w:cs="Times New Roman" w:eastAsia="Times New Roman" w:hint="default"/>
        </w:rPr>
        <w:t>6</w:t>
      </w:r>
      <w:r>
        <w:rPr/>
        <w:t>）报告期内合并范围是否发生变动</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 是 □ 否</w:t>
      </w:r>
    </w:p>
    <w:p>
      <w:pPr>
        <w:pStyle w:val="BodyText"/>
        <w:spacing w:line="300" w:lineRule="auto" w:before="116"/>
        <w:ind w:right="1165"/>
        <w:jc w:val="left"/>
      </w:pPr>
      <w:r>
        <w:rPr/>
        <w:t>报告期内，公司在马来西亚投资收购</w:t>
      </w:r>
      <w:r>
        <w:rPr>
          <w:rFonts w:ascii="Times New Roman" w:hAnsi="Times New Roman" w:cs="Times New Roman" w:eastAsia="Times New Roman" w:hint="default"/>
        </w:rPr>
        <w:t>“</w:t>
      </w:r>
      <w:r>
        <w:rPr/>
        <w:t>Modularsoft Sdn. Bhd. </w:t>
      </w:r>
      <w:r>
        <w:rPr>
          <w:rFonts w:ascii="Times New Roman" w:hAnsi="Times New Roman" w:cs="Times New Roman" w:eastAsia="Times New Roman" w:hint="default"/>
        </w:rPr>
        <w:t>”</w:t>
      </w:r>
      <w:r>
        <w:rPr/>
        <w:t>和</w:t>
      </w:r>
      <w:r>
        <w:rPr>
          <w:rFonts w:ascii="Times New Roman" w:hAnsi="Times New Roman" w:cs="Times New Roman" w:eastAsia="Times New Roman" w:hint="default"/>
        </w:rPr>
        <w:t>“</w:t>
      </w:r>
      <w:r>
        <w:rPr/>
        <w:t>AsiaSmart Cards Centre(M) Sdn.Bhd.</w:t>
      </w:r>
      <w:r>
        <w:rPr>
          <w:spacing w:val="-3"/>
        </w:rPr>
        <w:t> </w:t>
      </w:r>
      <w:r>
        <w:rPr>
          <w:rFonts w:ascii="Times New Roman" w:hAnsi="Times New Roman" w:cs="Times New Roman" w:eastAsia="Times New Roman" w:hint="default"/>
        </w:rPr>
        <w:t>”</w:t>
      </w:r>
      <w:r>
        <w:rPr/>
        <w:t>孙公司及在印 度尼西亚投资设立子公司</w:t>
      </w:r>
      <w:r>
        <w:rPr>
          <w:rFonts w:ascii="Times New Roman" w:hAnsi="Times New Roman" w:cs="Times New Roman" w:eastAsia="Times New Roman" w:hint="default"/>
        </w:rPr>
        <w:t>“</w:t>
      </w:r>
      <w:r>
        <w:rPr/>
        <w:t>PT.Chipstone Technologies</w:t>
      </w:r>
      <w:r>
        <w:rPr>
          <w:spacing w:val="-3"/>
        </w:rPr>
        <w:t> </w:t>
      </w:r>
      <w:r>
        <w:rPr/>
        <w:t>Indonesia</w:t>
      </w:r>
      <w:r>
        <w:rPr>
          <w:rFonts w:ascii="Times New Roman" w:hAnsi="Times New Roman" w:cs="Times New Roman" w:eastAsia="Times New Roman" w:hint="default"/>
        </w:rPr>
        <w:t>”</w:t>
      </w:r>
      <w:r>
        <w:rPr/>
        <w:t>，纳入合并范围。</w:t>
      </w:r>
    </w:p>
    <w:p>
      <w:pPr>
        <w:spacing w:line="240" w:lineRule="auto" w:before="1"/>
        <w:rPr>
          <w:rFonts w:ascii="宋体" w:hAnsi="宋体" w:cs="宋体" w:eastAsia="宋体" w:hint="default"/>
          <w:sz w:val="22"/>
          <w:szCs w:val="22"/>
        </w:rPr>
      </w:pPr>
    </w:p>
    <w:p>
      <w:pPr>
        <w:pStyle w:val="Heading3"/>
        <w:spacing w:line="240" w:lineRule="auto"/>
        <w:ind w:right="0"/>
        <w:jc w:val="left"/>
        <w:rPr>
          <w:b w:val="0"/>
          <w:bCs w:val="0"/>
        </w:rPr>
      </w:pPr>
      <w:r>
        <w:rPr/>
        <w:t>（</w:t>
      </w:r>
      <w:r>
        <w:rPr>
          <w:rFonts w:ascii="Times New Roman" w:hAnsi="Times New Roman" w:cs="Times New Roman" w:eastAsia="Times New Roman" w:hint="default"/>
        </w:rPr>
        <w:t>7</w:t>
      </w:r>
      <w:r>
        <w:rPr/>
        <w:t>）公司报告期内业务、产品或服务发生重大变化或调整有关情况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t>（</w:t>
      </w:r>
      <w:r>
        <w:rPr>
          <w:rFonts w:ascii="Times New Roman" w:hAnsi="Times New Roman" w:cs="Times New Roman" w:eastAsia="Times New Roman" w:hint="default"/>
        </w:rPr>
        <w:t>8</w:t>
      </w:r>
      <w:r>
        <w:rPr/>
        <w:t>）主要销售客户和主要供应商情况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公司主要销售客户情况</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4257"/>
        <w:gridCol w:w="5311"/>
      </w:tblGrid>
      <w:tr>
        <w:trPr>
          <w:trHeight w:val="402" w:hRule="exact"/>
        </w:trPr>
        <w:tc>
          <w:tcPr>
            <w:tcW w:w="425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前五名客户合计销售金额（元）</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536,364,975.49</w:t>
            </w:r>
          </w:p>
        </w:tc>
      </w:tr>
      <w:tr>
        <w:trPr>
          <w:trHeight w:val="402" w:hRule="exact"/>
        </w:trPr>
        <w:tc>
          <w:tcPr>
            <w:tcW w:w="425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前五名客户合计销售金额占年度销售总额比例</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w w:val="95"/>
                <w:sz w:val="18"/>
              </w:rPr>
              <w:t>34.93%</w:t>
            </w:r>
            <w:r>
              <w:rPr>
                <w:rFonts w:ascii="Times New Roman"/>
                <w:sz w:val="18"/>
              </w:rPr>
            </w:r>
          </w:p>
        </w:tc>
      </w:tr>
      <w:tr>
        <w:trPr>
          <w:trHeight w:val="714" w:hRule="exact"/>
        </w:trPr>
        <w:tc>
          <w:tcPr>
            <w:tcW w:w="425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49"/>
              <w:ind w:left="102" w:right="182"/>
              <w:jc w:val="left"/>
              <w:rPr>
                <w:rFonts w:ascii="宋体" w:hAnsi="宋体" w:cs="宋体" w:eastAsia="宋体" w:hint="default"/>
                <w:sz w:val="18"/>
                <w:szCs w:val="18"/>
              </w:rPr>
            </w:pPr>
            <w:r>
              <w:rPr>
                <w:rFonts w:ascii="宋体" w:hAnsi="宋体" w:cs="宋体" w:eastAsia="宋体" w:hint="default"/>
                <w:sz w:val="18"/>
                <w:szCs w:val="18"/>
              </w:rPr>
              <w:t>前五名客户销售额中关联方销售额占年度销售总额 比例</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0.00%</w:t>
            </w:r>
          </w:p>
        </w:tc>
      </w:tr>
    </w:tbl>
    <w:p>
      <w:pPr>
        <w:pStyle w:val="BodyText"/>
        <w:spacing w:line="240" w:lineRule="auto" w:before="49"/>
        <w:ind w:right="0"/>
        <w:jc w:val="left"/>
      </w:pPr>
      <w:r>
        <w:rPr/>
        <w:t>公司前</w:t>
      </w:r>
      <w:r>
        <w:rPr>
          <w:spacing w:val="-45"/>
        </w:rPr>
        <w:t> </w:t>
      </w:r>
      <w:r>
        <w:rPr>
          <w:rFonts w:ascii="Times New Roman" w:hAnsi="Times New Roman" w:cs="Times New Roman" w:eastAsia="Times New Roman" w:hint="default"/>
        </w:rPr>
        <w:t>5 </w:t>
      </w:r>
      <w:r>
        <w:rPr/>
        <w:t>大客户资料</w:t>
      </w:r>
    </w:p>
    <w:p>
      <w:pPr>
        <w:spacing w:line="240" w:lineRule="auto" w:before="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802"/>
        <w:gridCol w:w="3301"/>
        <w:gridCol w:w="2322"/>
        <w:gridCol w:w="3143"/>
      </w:tblGrid>
      <w:tr>
        <w:trPr>
          <w:trHeight w:val="401" w:hRule="exact"/>
        </w:trPr>
        <w:tc>
          <w:tcPr>
            <w:tcW w:w="80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216"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330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232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616" w:right="0"/>
              <w:jc w:val="left"/>
              <w:rPr>
                <w:rFonts w:ascii="宋体" w:hAnsi="宋体" w:cs="宋体" w:eastAsia="宋体" w:hint="default"/>
                <w:sz w:val="18"/>
                <w:szCs w:val="18"/>
              </w:rPr>
            </w:pPr>
            <w:r>
              <w:rPr>
                <w:rFonts w:ascii="宋体" w:hAnsi="宋体" w:cs="宋体" w:eastAsia="宋体" w:hint="default"/>
                <w:sz w:val="18"/>
                <w:szCs w:val="18"/>
              </w:rPr>
              <w:t>销售额（元）</w:t>
            </w:r>
          </w:p>
        </w:tc>
        <w:tc>
          <w:tcPr>
            <w:tcW w:w="314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756" w:right="0"/>
              <w:jc w:val="left"/>
              <w:rPr>
                <w:rFonts w:ascii="宋体" w:hAnsi="宋体" w:cs="宋体" w:eastAsia="宋体" w:hint="default"/>
                <w:sz w:val="18"/>
                <w:szCs w:val="18"/>
              </w:rPr>
            </w:pPr>
            <w:r>
              <w:rPr>
                <w:rFonts w:ascii="宋体" w:hAnsi="宋体" w:cs="宋体" w:eastAsia="宋体" w:hint="default"/>
                <w:sz w:val="18"/>
                <w:szCs w:val="18"/>
              </w:rPr>
              <w:t>占年度销售总额比例</w:t>
            </w:r>
          </w:p>
        </w:tc>
      </w:tr>
      <w:tr>
        <w:trPr>
          <w:trHeight w:val="403" w:hRule="exact"/>
        </w:trPr>
        <w:tc>
          <w:tcPr>
            <w:tcW w:w="80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0"/>
              <w:ind w:left="102" w:right="0"/>
              <w:jc w:val="left"/>
              <w:rPr>
                <w:rFonts w:ascii="Times New Roman" w:hAnsi="Times New Roman" w:cs="Times New Roman" w:eastAsia="Times New Roman" w:hint="default"/>
                <w:sz w:val="18"/>
                <w:szCs w:val="18"/>
              </w:rPr>
            </w:pPr>
            <w:r>
              <w:rPr>
                <w:rFonts w:ascii="Times New Roman"/>
                <w:sz w:val="18"/>
              </w:rPr>
              <w:t>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199,301,592.95</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w w:val="95"/>
                <w:sz w:val="18"/>
              </w:rPr>
              <w:t>12.98%</w:t>
            </w:r>
            <w:r>
              <w:rPr>
                <w:rFonts w:ascii="Times New Roman"/>
                <w:sz w:val="18"/>
              </w:rPr>
            </w:r>
          </w:p>
        </w:tc>
      </w:tr>
      <w:tr>
        <w:trPr>
          <w:trHeight w:val="402" w:hRule="exact"/>
        </w:trPr>
        <w:tc>
          <w:tcPr>
            <w:tcW w:w="80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0"/>
              <w:ind w:left="102" w:right="0"/>
              <w:jc w:val="left"/>
              <w:rPr>
                <w:rFonts w:ascii="Times New Roman" w:hAnsi="Times New Roman" w:cs="Times New Roman" w:eastAsia="Times New Roman" w:hint="default"/>
                <w:sz w:val="18"/>
                <w:szCs w:val="18"/>
              </w:rPr>
            </w:pPr>
            <w:r>
              <w:rPr>
                <w:rFonts w:ascii="Times New Roman"/>
                <w:sz w:val="18"/>
              </w:rPr>
              <w:t>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107,699,978.53</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7.01%</w:t>
            </w:r>
          </w:p>
        </w:tc>
      </w:tr>
      <w:tr>
        <w:trPr>
          <w:trHeight w:val="402" w:hRule="exact"/>
        </w:trPr>
        <w:tc>
          <w:tcPr>
            <w:tcW w:w="80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0"/>
              <w:ind w:left="102" w:right="0"/>
              <w:jc w:val="left"/>
              <w:rPr>
                <w:rFonts w:ascii="Times New Roman" w:hAnsi="Times New Roman" w:cs="Times New Roman" w:eastAsia="Times New Roman" w:hint="default"/>
                <w:sz w:val="18"/>
                <w:szCs w:val="18"/>
              </w:rPr>
            </w:pPr>
            <w:r>
              <w:rPr>
                <w:rFonts w:ascii="Times New Roman"/>
                <w:sz w:val="18"/>
              </w:rPr>
              <w:t>3</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100,148,230.11</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6.52%</w:t>
            </w:r>
          </w:p>
        </w:tc>
      </w:tr>
      <w:tr>
        <w:trPr>
          <w:trHeight w:val="402" w:hRule="exact"/>
        </w:trPr>
        <w:tc>
          <w:tcPr>
            <w:tcW w:w="80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0"/>
              <w:ind w:left="102" w:right="0"/>
              <w:jc w:val="left"/>
              <w:rPr>
                <w:rFonts w:ascii="Times New Roman" w:hAnsi="Times New Roman" w:cs="Times New Roman" w:eastAsia="Times New Roman" w:hint="default"/>
                <w:sz w:val="18"/>
                <w:szCs w:val="18"/>
              </w:rPr>
            </w:pPr>
            <w:r>
              <w:rPr>
                <w:rFonts w:ascii="Times New Roman"/>
                <w:sz w:val="18"/>
              </w:rPr>
              <w:t>4</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99,945,132.75</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6.51%</w:t>
            </w:r>
          </w:p>
        </w:tc>
      </w:tr>
      <w:tr>
        <w:trPr>
          <w:trHeight w:val="402" w:hRule="exact"/>
        </w:trPr>
        <w:tc>
          <w:tcPr>
            <w:tcW w:w="80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0"/>
              <w:ind w:left="102" w:right="0"/>
              <w:jc w:val="left"/>
              <w:rPr>
                <w:rFonts w:ascii="Times New Roman" w:hAnsi="Times New Roman" w:cs="Times New Roman" w:eastAsia="Times New Roman" w:hint="default"/>
                <w:sz w:val="18"/>
                <w:szCs w:val="18"/>
              </w:rPr>
            </w:pPr>
            <w:r>
              <w:rPr>
                <w:rFonts w:ascii="Times New Roman"/>
                <w:sz w:val="18"/>
              </w:rPr>
              <w:t>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29,270,041.15</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1.91%</w:t>
            </w:r>
          </w:p>
        </w:tc>
      </w:tr>
      <w:tr>
        <w:trPr>
          <w:trHeight w:val="402" w:hRule="exact"/>
        </w:trPr>
        <w:tc>
          <w:tcPr>
            <w:tcW w:w="80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30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0"/>
              <w:ind w:right="0"/>
              <w:jc w:val="center"/>
              <w:rPr>
                <w:rFonts w:ascii="Times New Roman" w:hAnsi="Times New Roman" w:cs="Times New Roman" w:eastAsia="Times New Roman" w:hint="default"/>
                <w:sz w:val="18"/>
                <w:szCs w:val="18"/>
              </w:rPr>
            </w:pPr>
            <w:r>
              <w:rPr>
                <w:rFonts w:ascii="Times New Roman"/>
                <w:sz w:val="18"/>
              </w:rPr>
              <w:t>--</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536,364,975.49</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w w:val="95"/>
                <w:sz w:val="18"/>
              </w:rPr>
              <w:t>34.93%</w:t>
            </w:r>
            <w:r>
              <w:rPr>
                <w:rFonts w:ascii="Times New Roman"/>
                <w:sz w:val="18"/>
              </w:rPr>
            </w:r>
          </w:p>
        </w:tc>
      </w:tr>
    </w:tbl>
    <w:p>
      <w:pPr>
        <w:pStyle w:val="BodyText"/>
        <w:spacing w:line="240" w:lineRule="auto" w:before="49"/>
        <w:ind w:right="0"/>
        <w:jc w:val="left"/>
      </w:pPr>
      <w:r>
        <w:rPr/>
        <w:t>主要客户其他情况说明</w:t>
      </w:r>
    </w:p>
    <w:p>
      <w:pPr>
        <w:pStyle w:val="BodyText"/>
        <w:spacing w:line="360" w:lineRule="auto" w:before="116"/>
        <w:ind w:right="9132"/>
        <w:jc w:val="left"/>
      </w:pPr>
      <w:r>
        <w:rPr/>
        <w:t>□ 适用 √ 不适用 公司主要供应商情况</w:t>
      </w:r>
    </w:p>
    <w:p>
      <w:pPr>
        <w:spacing w:after="0" w:line="360" w:lineRule="auto"/>
        <w:jc w:val="left"/>
        <w:sectPr>
          <w:pgSz w:w="11910" w:h="16840"/>
          <w:pgMar w:header="906" w:footer="1018" w:top="1100" w:bottom="1200" w:left="1020" w:right="0"/>
        </w:sectPr>
      </w:pPr>
    </w:p>
    <w:p>
      <w:pPr>
        <w:spacing w:line="240" w:lineRule="auto" w:before="7"/>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4257"/>
        <w:gridCol w:w="5311"/>
      </w:tblGrid>
      <w:tr>
        <w:trPr>
          <w:trHeight w:val="402" w:hRule="exact"/>
        </w:trPr>
        <w:tc>
          <w:tcPr>
            <w:tcW w:w="425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前五名供应商合计采购金额（元）</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695,271,236.55</w:t>
            </w:r>
          </w:p>
        </w:tc>
      </w:tr>
      <w:tr>
        <w:trPr>
          <w:trHeight w:val="402" w:hRule="exact"/>
        </w:trPr>
        <w:tc>
          <w:tcPr>
            <w:tcW w:w="425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前五名供应商合计采购金额占年度采购总额比例</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5"/>
                <w:sz w:val="18"/>
              </w:rPr>
              <w:t>65.97%</w:t>
            </w:r>
            <w:r>
              <w:rPr>
                <w:rFonts w:ascii="Times New Roman"/>
                <w:sz w:val="18"/>
              </w:rPr>
            </w:r>
          </w:p>
        </w:tc>
      </w:tr>
      <w:tr>
        <w:trPr>
          <w:trHeight w:val="714" w:hRule="exact"/>
        </w:trPr>
        <w:tc>
          <w:tcPr>
            <w:tcW w:w="425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0"/>
              <w:ind w:left="102" w:right="182"/>
              <w:jc w:val="left"/>
              <w:rPr>
                <w:rFonts w:ascii="宋体" w:hAnsi="宋体" w:cs="宋体" w:eastAsia="宋体" w:hint="default"/>
                <w:sz w:val="18"/>
                <w:szCs w:val="18"/>
              </w:rPr>
            </w:pPr>
            <w:r>
              <w:rPr>
                <w:rFonts w:ascii="宋体" w:hAnsi="宋体" w:cs="宋体" w:eastAsia="宋体" w:hint="default"/>
                <w:sz w:val="18"/>
                <w:szCs w:val="18"/>
              </w:rPr>
              <w:t>前五名供应商采购额中关联方采购额占年度采购总 额比例</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0.00%</w:t>
            </w:r>
          </w:p>
        </w:tc>
      </w:tr>
    </w:tbl>
    <w:p>
      <w:pPr>
        <w:pStyle w:val="BodyText"/>
        <w:spacing w:line="240" w:lineRule="auto" w:before="50"/>
        <w:ind w:right="0"/>
        <w:jc w:val="left"/>
      </w:pPr>
      <w:r>
        <w:rPr/>
        <w:t>公司前</w:t>
      </w:r>
      <w:r>
        <w:rPr>
          <w:spacing w:val="-45"/>
        </w:rPr>
        <w:t> </w:t>
      </w:r>
      <w:r>
        <w:rPr>
          <w:rFonts w:ascii="Times New Roman" w:hAnsi="Times New Roman" w:cs="Times New Roman" w:eastAsia="Times New Roman" w:hint="default"/>
        </w:rPr>
        <w:t>5 </w:t>
      </w:r>
      <w:r>
        <w:rPr/>
        <w:t>名供应商资料</w:t>
      </w:r>
    </w:p>
    <w:p>
      <w:pPr>
        <w:spacing w:line="240" w:lineRule="auto" w:before="1"/>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935"/>
        <w:gridCol w:w="3168"/>
        <w:gridCol w:w="2322"/>
        <w:gridCol w:w="3143"/>
      </w:tblGrid>
      <w:tr>
        <w:trPr>
          <w:trHeight w:val="402" w:hRule="exact"/>
        </w:trPr>
        <w:tc>
          <w:tcPr>
            <w:tcW w:w="9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281"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31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供应商名称</w:t>
            </w:r>
          </w:p>
        </w:tc>
        <w:tc>
          <w:tcPr>
            <w:tcW w:w="232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616" w:right="0"/>
              <w:jc w:val="left"/>
              <w:rPr>
                <w:rFonts w:ascii="宋体" w:hAnsi="宋体" w:cs="宋体" w:eastAsia="宋体" w:hint="default"/>
                <w:sz w:val="18"/>
                <w:szCs w:val="18"/>
              </w:rPr>
            </w:pPr>
            <w:r>
              <w:rPr>
                <w:rFonts w:ascii="宋体" w:hAnsi="宋体" w:cs="宋体" w:eastAsia="宋体" w:hint="default"/>
                <w:sz w:val="18"/>
                <w:szCs w:val="18"/>
              </w:rPr>
              <w:t>采购额（元）</w:t>
            </w:r>
          </w:p>
        </w:tc>
        <w:tc>
          <w:tcPr>
            <w:tcW w:w="314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756" w:right="0"/>
              <w:jc w:val="left"/>
              <w:rPr>
                <w:rFonts w:ascii="宋体" w:hAnsi="宋体" w:cs="宋体" w:eastAsia="宋体" w:hint="default"/>
                <w:sz w:val="18"/>
                <w:szCs w:val="18"/>
              </w:rPr>
            </w:pPr>
            <w:r>
              <w:rPr>
                <w:rFonts w:ascii="宋体" w:hAnsi="宋体" w:cs="宋体" w:eastAsia="宋体" w:hint="default"/>
                <w:sz w:val="18"/>
                <w:szCs w:val="18"/>
              </w:rPr>
              <w:t>占年度采购总额比例</w:t>
            </w:r>
          </w:p>
        </w:tc>
      </w:tr>
      <w:tr>
        <w:trPr>
          <w:trHeight w:val="402" w:hRule="exact"/>
        </w:trPr>
        <w:tc>
          <w:tcPr>
            <w:tcW w:w="9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left="102" w:right="0"/>
              <w:jc w:val="left"/>
              <w:rPr>
                <w:rFonts w:ascii="Times New Roman" w:hAnsi="Times New Roman" w:cs="Times New Roman" w:eastAsia="Times New Roman" w:hint="default"/>
                <w:sz w:val="18"/>
                <w:szCs w:val="18"/>
              </w:rPr>
            </w:pPr>
            <w:r>
              <w:rPr>
                <w:rFonts w:ascii="Times New Roman"/>
                <w:sz w:val="18"/>
              </w:rPr>
              <w:t>1</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176,298,407.08</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5"/>
                <w:sz w:val="18"/>
              </w:rPr>
              <w:t>16.73%</w:t>
            </w:r>
            <w:r>
              <w:rPr>
                <w:rFonts w:ascii="Times New Roman"/>
                <w:sz w:val="18"/>
              </w:rPr>
            </w:r>
          </w:p>
        </w:tc>
      </w:tr>
      <w:tr>
        <w:trPr>
          <w:trHeight w:val="402" w:hRule="exact"/>
        </w:trPr>
        <w:tc>
          <w:tcPr>
            <w:tcW w:w="9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left="102" w:right="0"/>
              <w:jc w:val="left"/>
              <w:rPr>
                <w:rFonts w:ascii="Times New Roman" w:hAnsi="Times New Roman" w:cs="Times New Roman" w:eastAsia="Times New Roman" w:hint="default"/>
                <w:sz w:val="18"/>
                <w:szCs w:val="18"/>
              </w:rPr>
            </w:pPr>
            <w:r>
              <w:rPr>
                <w:rFonts w:ascii="Times New Roman"/>
                <w:sz w:val="18"/>
              </w:rPr>
              <w:t>2</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175,131,415.93</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5"/>
                <w:sz w:val="18"/>
              </w:rPr>
              <w:t>16.62%</w:t>
            </w:r>
            <w:r>
              <w:rPr>
                <w:rFonts w:ascii="Times New Roman"/>
                <w:sz w:val="18"/>
              </w:rPr>
            </w:r>
          </w:p>
        </w:tc>
      </w:tr>
      <w:tr>
        <w:trPr>
          <w:trHeight w:val="402" w:hRule="exact"/>
        </w:trPr>
        <w:tc>
          <w:tcPr>
            <w:tcW w:w="9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left="102" w:right="0"/>
              <w:jc w:val="left"/>
              <w:rPr>
                <w:rFonts w:ascii="Times New Roman" w:hAnsi="Times New Roman" w:cs="Times New Roman" w:eastAsia="Times New Roman" w:hint="default"/>
                <w:sz w:val="18"/>
                <w:szCs w:val="18"/>
              </w:rPr>
            </w:pPr>
            <w:r>
              <w:rPr>
                <w:rFonts w:ascii="Times New Roman"/>
                <w:sz w:val="18"/>
              </w:rPr>
              <w:t>3</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191,173,515.25</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5"/>
                <w:sz w:val="18"/>
              </w:rPr>
              <w:t>18.14%</w:t>
            </w:r>
            <w:r>
              <w:rPr>
                <w:rFonts w:ascii="Times New Roman"/>
                <w:sz w:val="18"/>
              </w:rPr>
            </w:r>
          </w:p>
        </w:tc>
      </w:tr>
      <w:tr>
        <w:trPr>
          <w:trHeight w:val="402" w:hRule="exact"/>
        </w:trPr>
        <w:tc>
          <w:tcPr>
            <w:tcW w:w="9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left="102" w:right="0"/>
              <w:jc w:val="left"/>
              <w:rPr>
                <w:rFonts w:ascii="Times New Roman" w:hAnsi="Times New Roman" w:cs="Times New Roman" w:eastAsia="Times New Roman" w:hint="default"/>
                <w:sz w:val="18"/>
                <w:szCs w:val="18"/>
              </w:rPr>
            </w:pPr>
            <w:r>
              <w:rPr>
                <w:rFonts w:ascii="Times New Roman"/>
                <w:sz w:val="18"/>
              </w:rPr>
              <w:t>4</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90,988,917.08</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8.63%</w:t>
            </w:r>
          </w:p>
        </w:tc>
      </w:tr>
      <w:tr>
        <w:trPr>
          <w:trHeight w:val="402" w:hRule="exact"/>
        </w:trPr>
        <w:tc>
          <w:tcPr>
            <w:tcW w:w="9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left="102" w:right="0"/>
              <w:jc w:val="left"/>
              <w:rPr>
                <w:rFonts w:ascii="Times New Roman" w:hAnsi="Times New Roman" w:cs="Times New Roman" w:eastAsia="Times New Roman" w:hint="default"/>
                <w:sz w:val="18"/>
                <w:szCs w:val="18"/>
              </w:rPr>
            </w:pPr>
            <w:r>
              <w:rPr>
                <w:rFonts w:ascii="Times New Roman"/>
                <w:sz w:val="18"/>
              </w:rPr>
              <w:t>5</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61,678,981.21</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5.85%</w:t>
            </w:r>
          </w:p>
        </w:tc>
      </w:tr>
      <w:tr>
        <w:trPr>
          <w:trHeight w:val="402" w:hRule="exact"/>
        </w:trPr>
        <w:tc>
          <w:tcPr>
            <w:tcW w:w="9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695,271,236.55</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5"/>
                <w:sz w:val="18"/>
              </w:rPr>
              <w:t>65.97%</w:t>
            </w:r>
            <w:r>
              <w:rPr>
                <w:rFonts w:ascii="Times New Roman"/>
                <w:sz w:val="18"/>
              </w:rPr>
            </w:r>
          </w:p>
        </w:tc>
      </w:tr>
    </w:tbl>
    <w:p>
      <w:pPr>
        <w:pStyle w:val="BodyText"/>
        <w:spacing w:line="240" w:lineRule="auto" w:before="50"/>
        <w:ind w:right="0"/>
        <w:jc w:val="left"/>
      </w:pPr>
      <w:r>
        <w:rPr/>
        <w:t>主要供应商其他情况说明</w:t>
      </w:r>
    </w:p>
    <w:p>
      <w:pPr>
        <w:pStyle w:val="BodyText"/>
        <w:spacing w:line="240" w:lineRule="auto" w:before="116"/>
        <w:ind w:right="0"/>
        <w:jc w:val="left"/>
      </w:pPr>
      <w:r>
        <w:rPr/>
        <w:t>□ 适用 √ 不适用</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3</w:t>
      </w:r>
      <w:r>
        <w:rPr/>
        <w:t>、费用</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spacing w:val="-1"/>
        </w:rPr>
        <w:t>单位：元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5"/>
        <w:gridCol w:w="1637"/>
        <w:gridCol w:w="1637"/>
        <w:gridCol w:w="1461"/>
        <w:gridCol w:w="2918"/>
      </w:tblGrid>
      <w:tr>
        <w:trPr>
          <w:trHeight w:val="402" w:hRule="exact"/>
        </w:trPr>
        <w:tc>
          <w:tcPr>
            <w:tcW w:w="1915"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63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5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p>
        </w:tc>
        <w:tc>
          <w:tcPr>
            <w:tcW w:w="163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5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p>
        </w:tc>
        <w:tc>
          <w:tcPr>
            <w:tcW w:w="146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364" w:right="0"/>
              <w:jc w:val="left"/>
              <w:rPr>
                <w:rFonts w:ascii="宋体" w:hAnsi="宋体" w:cs="宋体" w:eastAsia="宋体" w:hint="default"/>
                <w:sz w:val="18"/>
                <w:szCs w:val="18"/>
              </w:rPr>
            </w:pPr>
            <w:r>
              <w:rPr>
                <w:rFonts w:ascii="宋体" w:hAnsi="宋体" w:cs="宋体" w:eastAsia="宋体" w:hint="default"/>
                <w:sz w:val="18"/>
                <w:szCs w:val="18"/>
              </w:rPr>
              <w:t>同比增减</w:t>
            </w:r>
          </w:p>
        </w:tc>
        <w:tc>
          <w:tcPr>
            <w:tcW w:w="291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913" w:right="0"/>
              <w:jc w:val="left"/>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356" w:hRule="exact"/>
        </w:trPr>
        <w:tc>
          <w:tcPr>
            <w:tcW w:w="1915" w:type="dxa"/>
            <w:tcBorders>
              <w:top w:val="single" w:sz="4" w:space="0" w:color="000000"/>
              <w:left w:val="single" w:sz="4" w:space="0" w:color="000000"/>
              <w:bottom w:val="nil" w:sz="6" w:space="0" w:color="auto"/>
              <w:right w:val="single" w:sz="4" w:space="0" w:color="000000"/>
            </w:tcBorders>
            <w:shd w:val="clear" w:color="auto" w:fill="D3D3D3"/>
          </w:tcPr>
          <w:p>
            <w:pPr/>
          </w:p>
        </w:tc>
        <w:tc>
          <w:tcPr>
            <w:tcW w:w="1637" w:type="dxa"/>
            <w:tcBorders>
              <w:top w:val="single" w:sz="4" w:space="0" w:color="000000"/>
              <w:left w:val="single" w:sz="4" w:space="0" w:color="000000"/>
              <w:bottom w:val="nil" w:sz="6" w:space="0" w:color="auto"/>
              <w:right w:val="single" w:sz="4" w:space="0" w:color="000000"/>
            </w:tcBorders>
          </w:tcPr>
          <w:p>
            <w:pPr/>
          </w:p>
        </w:tc>
        <w:tc>
          <w:tcPr>
            <w:tcW w:w="1637" w:type="dxa"/>
            <w:tcBorders>
              <w:top w:val="single" w:sz="4" w:space="0" w:color="000000"/>
              <w:left w:val="single" w:sz="4" w:space="0" w:color="000000"/>
              <w:bottom w:val="nil" w:sz="6" w:space="0" w:color="auto"/>
              <w:right w:val="single" w:sz="4" w:space="0" w:color="000000"/>
            </w:tcBorders>
          </w:tcPr>
          <w:p>
            <w:pPr/>
          </w:p>
        </w:tc>
        <w:tc>
          <w:tcPr>
            <w:tcW w:w="1461" w:type="dxa"/>
            <w:tcBorders>
              <w:top w:val="single" w:sz="4" w:space="0" w:color="000000"/>
              <w:left w:val="single" w:sz="4" w:space="0" w:color="000000"/>
              <w:bottom w:val="nil" w:sz="6" w:space="0" w:color="auto"/>
              <w:right w:val="single" w:sz="4" w:space="0" w:color="000000"/>
            </w:tcBorders>
          </w:tcPr>
          <w:p>
            <w:pPr/>
          </w:p>
        </w:tc>
        <w:tc>
          <w:tcPr>
            <w:tcW w:w="291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报告期，公司销售费用比去年同期</w:t>
            </w:r>
          </w:p>
        </w:tc>
      </w:tr>
      <w:tr>
        <w:trPr>
          <w:trHeight w:val="624" w:hRule="exact"/>
        </w:trPr>
        <w:tc>
          <w:tcPr>
            <w:tcW w:w="1915"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63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88,136,353.75</w:t>
            </w:r>
          </w:p>
        </w:tc>
        <w:tc>
          <w:tcPr>
            <w:tcW w:w="163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65,644,995.31</w:t>
            </w:r>
          </w:p>
        </w:tc>
        <w:tc>
          <w:tcPr>
            <w:tcW w:w="1461"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34.26%</w:t>
            </w:r>
            <w:r>
              <w:rPr>
                <w:rFonts w:ascii="Times New Roman"/>
                <w:sz w:val="18"/>
              </w:rPr>
            </w:r>
          </w:p>
        </w:tc>
        <w:tc>
          <w:tcPr>
            <w:tcW w:w="2918" w:type="dxa"/>
            <w:tcBorders>
              <w:top w:val="nil" w:sz="6" w:space="0" w:color="auto"/>
              <w:left w:val="single" w:sz="4" w:space="0" w:color="000000"/>
              <w:bottom w:val="nil" w:sz="6" w:space="0" w:color="auto"/>
              <w:right w:val="single" w:sz="4" w:space="0" w:color="000000"/>
            </w:tcBorders>
          </w:tcPr>
          <w:p>
            <w:pPr>
              <w:pStyle w:val="TableParagraph"/>
              <w:spacing w:line="300" w:lineRule="auto" w:before="10"/>
              <w:ind w:left="103" w:right="101"/>
              <w:jc w:val="left"/>
              <w:rPr>
                <w:rFonts w:ascii="宋体" w:hAnsi="宋体" w:cs="宋体" w:eastAsia="宋体" w:hint="default"/>
                <w:sz w:val="18"/>
                <w:szCs w:val="18"/>
              </w:rPr>
            </w:pPr>
            <w:r>
              <w:rPr>
                <w:rFonts w:ascii="宋体" w:hAnsi="宋体" w:cs="宋体" w:eastAsia="宋体" w:hint="default"/>
                <w:sz w:val="18"/>
                <w:szCs w:val="18"/>
              </w:rPr>
              <w:t>增加</w:t>
            </w:r>
            <w:r>
              <w:rPr>
                <w:rFonts w:ascii="宋体" w:hAnsi="宋体" w:cs="宋体" w:eastAsia="宋体" w:hint="default"/>
                <w:spacing w:val="-42"/>
                <w:sz w:val="18"/>
                <w:szCs w:val="18"/>
              </w:rPr>
              <w:t> </w:t>
            </w:r>
            <w:r>
              <w:rPr>
                <w:rFonts w:ascii="Times New Roman" w:hAnsi="Times New Roman" w:cs="Times New Roman" w:eastAsia="Times New Roman" w:hint="default"/>
                <w:spacing w:val="-4"/>
                <w:sz w:val="18"/>
                <w:szCs w:val="18"/>
              </w:rPr>
              <w:t>34.26%</w:t>
            </w:r>
            <w:r>
              <w:rPr>
                <w:rFonts w:ascii="宋体" w:hAnsi="宋体" w:cs="宋体" w:eastAsia="宋体" w:hint="default"/>
                <w:spacing w:val="-4"/>
                <w:sz w:val="18"/>
                <w:szCs w:val="18"/>
              </w:rPr>
              <w:t>，主要是因为公司增加</w:t>
            </w:r>
            <w:r>
              <w:rPr>
                <w:rFonts w:ascii="宋体" w:hAnsi="宋体" w:cs="宋体" w:eastAsia="宋体" w:hint="default"/>
                <w:sz w:val="18"/>
                <w:szCs w:val="18"/>
              </w:rPr>
              <w:t> 了新的销售奖励政策，加大奖励力</w:t>
            </w:r>
          </w:p>
        </w:tc>
      </w:tr>
      <w:tr>
        <w:trPr>
          <w:trHeight w:val="358" w:hRule="exact"/>
        </w:trPr>
        <w:tc>
          <w:tcPr>
            <w:tcW w:w="1915" w:type="dxa"/>
            <w:tcBorders>
              <w:top w:val="nil" w:sz="6" w:space="0" w:color="auto"/>
              <w:left w:val="single" w:sz="4" w:space="0" w:color="000000"/>
              <w:bottom w:val="single" w:sz="4" w:space="0" w:color="000000"/>
              <w:right w:val="single" w:sz="4" w:space="0" w:color="000000"/>
            </w:tcBorders>
            <w:shd w:val="clear" w:color="auto" w:fill="D3D3D3"/>
          </w:tcPr>
          <w:p>
            <w:pPr/>
          </w:p>
        </w:tc>
        <w:tc>
          <w:tcPr>
            <w:tcW w:w="1637" w:type="dxa"/>
            <w:tcBorders>
              <w:top w:val="nil" w:sz="6" w:space="0" w:color="auto"/>
              <w:left w:val="single" w:sz="4" w:space="0" w:color="000000"/>
              <w:bottom w:val="single" w:sz="4" w:space="0" w:color="000000"/>
              <w:right w:val="single" w:sz="4" w:space="0" w:color="000000"/>
            </w:tcBorders>
          </w:tcPr>
          <w:p>
            <w:pPr/>
          </w:p>
        </w:tc>
        <w:tc>
          <w:tcPr>
            <w:tcW w:w="1637" w:type="dxa"/>
            <w:tcBorders>
              <w:top w:val="nil" w:sz="6" w:space="0" w:color="auto"/>
              <w:left w:val="single" w:sz="4" w:space="0" w:color="000000"/>
              <w:bottom w:val="single" w:sz="4" w:space="0" w:color="000000"/>
              <w:right w:val="single" w:sz="4" w:space="0" w:color="000000"/>
            </w:tcBorders>
          </w:tcPr>
          <w:p>
            <w:pPr/>
          </w:p>
        </w:tc>
        <w:tc>
          <w:tcPr>
            <w:tcW w:w="1461" w:type="dxa"/>
            <w:tcBorders>
              <w:top w:val="nil" w:sz="6" w:space="0" w:color="auto"/>
              <w:left w:val="single" w:sz="4" w:space="0" w:color="000000"/>
              <w:bottom w:val="single" w:sz="4" w:space="0" w:color="000000"/>
              <w:right w:val="single" w:sz="4" w:space="0" w:color="000000"/>
            </w:tcBorders>
          </w:tcPr>
          <w:p>
            <w:pPr/>
          </w:p>
        </w:tc>
        <w:tc>
          <w:tcPr>
            <w:tcW w:w="291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度所致。</w:t>
            </w:r>
          </w:p>
        </w:tc>
      </w:tr>
      <w:tr>
        <w:trPr>
          <w:trHeight w:val="402" w:hRule="exact"/>
        </w:trPr>
        <w:tc>
          <w:tcPr>
            <w:tcW w:w="191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72,317,016.29</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72,170,605.53</w:t>
            </w:r>
          </w:p>
        </w:tc>
        <w:tc>
          <w:tcPr>
            <w:tcW w:w="1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0.20%</w:t>
            </w:r>
            <w:r>
              <w:rPr>
                <w:rFonts w:ascii="Times New Roman"/>
                <w:sz w:val="18"/>
              </w:rPr>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无重大变化。</w:t>
            </w:r>
          </w:p>
        </w:tc>
      </w:tr>
      <w:tr>
        <w:trPr>
          <w:trHeight w:val="356" w:hRule="exact"/>
        </w:trPr>
        <w:tc>
          <w:tcPr>
            <w:tcW w:w="1915" w:type="dxa"/>
            <w:tcBorders>
              <w:top w:val="single" w:sz="4" w:space="0" w:color="000000"/>
              <w:left w:val="single" w:sz="4" w:space="0" w:color="000000"/>
              <w:bottom w:val="nil" w:sz="6" w:space="0" w:color="auto"/>
              <w:right w:val="single" w:sz="4" w:space="0" w:color="000000"/>
            </w:tcBorders>
            <w:shd w:val="clear" w:color="auto" w:fill="D3D3D3"/>
          </w:tcPr>
          <w:p>
            <w:pPr/>
          </w:p>
        </w:tc>
        <w:tc>
          <w:tcPr>
            <w:tcW w:w="1637" w:type="dxa"/>
            <w:tcBorders>
              <w:top w:val="single" w:sz="4" w:space="0" w:color="000000"/>
              <w:left w:val="single" w:sz="4" w:space="0" w:color="000000"/>
              <w:bottom w:val="nil" w:sz="6" w:space="0" w:color="auto"/>
              <w:right w:val="single" w:sz="4" w:space="0" w:color="000000"/>
            </w:tcBorders>
          </w:tcPr>
          <w:p>
            <w:pPr/>
          </w:p>
        </w:tc>
        <w:tc>
          <w:tcPr>
            <w:tcW w:w="1637" w:type="dxa"/>
            <w:tcBorders>
              <w:top w:val="single" w:sz="4" w:space="0" w:color="000000"/>
              <w:left w:val="single" w:sz="4" w:space="0" w:color="000000"/>
              <w:bottom w:val="nil" w:sz="6" w:space="0" w:color="auto"/>
              <w:right w:val="single" w:sz="4" w:space="0" w:color="000000"/>
            </w:tcBorders>
          </w:tcPr>
          <w:p>
            <w:pPr/>
          </w:p>
        </w:tc>
        <w:tc>
          <w:tcPr>
            <w:tcW w:w="1461" w:type="dxa"/>
            <w:tcBorders>
              <w:top w:val="single" w:sz="4" w:space="0" w:color="000000"/>
              <w:left w:val="single" w:sz="4" w:space="0" w:color="000000"/>
              <w:bottom w:val="nil" w:sz="6" w:space="0" w:color="auto"/>
              <w:right w:val="single" w:sz="4" w:space="0" w:color="000000"/>
            </w:tcBorders>
          </w:tcPr>
          <w:p>
            <w:pPr/>
          </w:p>
        </w:tc>
        <w:tc>
          <w:tcPr>
            <w:tcW w:w="291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报告期，公司财务费用比去年同期</w:t>
            </w:r>
          </w:p>
        </w:tc>
      </w:tr>
      <w:tr>
        <w:trPr>
          <w:trHeight w:val="317" w:hRule="exact"/>
        </w:trPr>
        <w:tc>
          <w:tcPr>
            <w:tcW w:w="1915" w:type="dxa"/>
            <w:tcBorders>
              <w:top w:val="nil" w:sz="6" w:space="0" w:color="auto"/>
              <w:left w:val="single" w:sz="4" w:space="0" w:color="000000"/>
              <w:bottom w:val="nil" w:sz="6" w:space="0" w:color="auto"/>
              <w:right w:val="single" w:sz="4" w:space="0" w:color="000000"/>
            </w:tcBorders>
            <w:shd w:val="clear" w:color="auto" w:fill="D3D3D3"/>
          </w:tcPr>
          <w:p>
            <w:pPr/>
          </w:p>
        </w:tc>
        <w:tc>
          <w:tcPr>
            <w:tcW w:w="1637" w:type="dxa"/>
            <w:tcBorders>
              <w:top w:val="nil" w:sz="6" w:space="0" w:color="auto"/>
              <w:left w:val="single" w:sz="4" w:space="0" w:color="000000"/>
              <w:bottom w:val="nil" w:sz="6" w:space="0" w:color="auto"/>
              <w:right w:val="single" w:sz="4" w:space="0" w:color="000000"/>
            </w:tcBorders>
          </w:tcPr>
          <w:p>
            <w:pPr/>
          </w:p>
        </w:tc>
        <w:tc>
          <w:tcPr>
            <w:tcW w:w="1637" w:type="dxa"/>
            <w:tcBorders>
              <w:top w:val="nil" w:sz="6" w:space="0" w:color="auto"/>
              <w:left w:val="single" w:sz="4" w:space="0" w:color="000000"/>
              <w:bottom w:val="nil" w:sz="6" w:space="0" w:color="auto"/>
              <w:right w:val="single" w:sz="4" w:space="0" w:color="000000"/>
            </w:tcBorders>
          </w:tcPr>
          <w:p>
            <w:pPr/>
          </w:p>
        </w:tc>
        <w:tc>
          <w:tcPr>
            <w:tcW w:w="1461" w:type="dxa"/>
            <w:tcBorders>
              <w:top w:val="nil" w:sz="6" w:space="0" w:color="auto"/>
              <w:left w:val="single" w:sz="4" w:space="0" w:color="000000"/>
              <w:bottom w:val="nil" w:sz="6" w:space="0" w:color="auto"/>
              <w:right w:val="single" w:sz="4" w:space="0" w:color="000000"/>
            </w:tcBorders>
          </w:tcPr>
          <w:p>
            <w:pPr/>
          </w:p>
        </w:tc>
        <w:tc>
          <w:tcPr>
            <w:tcW w:w="291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减少</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1,651.60%</w:t>
            </w:r>
            <w:r>
              <w:rPr>
                <w:rFonts w:ascii="宋体" w:hAnsi="宋体" w:cs="宋体" w:eastAsia="宋体" w:hint="default"/>
                <w:sz w:val="18"/>
                <w:szCs w:val="18"/>
              </w:rPr>
              <w:t>，主要是因为报告</w:t>
            </w:r>
          </w:p>
        </w:tc>
      </w:tr>
      <w:tr>
        <w:trPr>
          <w:trHeight w:val="312" w:hRule="exact"/>
        </w:trPr>
        <w:tc>
          <w:tcPr>
            <w:tcW w:w="1915"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637"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0"/>
              <w:jc w:val="right"/>
              <w:rPr>
                <w:rFonts w:ascii="Times New Roman" w:hAnsi="Times New Roman" w:cs="Times New Roman" w:eastAsia="Times New Roman" w:hint="default"/>
                <w:sz w:val="18"/>
                <w:szCs w:val="18"/>
              </w:rPr>
            </w:pPr>
            <w:r>
              <w:rPr>
                <w:rFonts w:ascii="Times New Roman"/>
                <w:spacing w:val="-1"/>
                <w:sz w:val="18"/>
              </w:rPr>
              <w:t>-4,119,517.06</w:t>
            </w:r>
          </w:p>
        </w:tc>
        <w:tc>
          <w:tcPr>
            <w:tcW w:w="1637"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z w:val="18"/>
              </w:rPr>
              <w:t>265,500.60</w:t>
            </w:r>
          </w:p>
        </w:tc>
        <w:tc>
          <w:tcPr>
            <w:tcW w:w="1461"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99"/>
              <w:jc w:val="right"/>
              <w:rPr>
                <w:rFonts w:ascii="Times New Roman" w:hAnsi="Times New Roman" w:cs="Times New Roman" w:eastAsia="Times New Roman" w:hint="default"/>
                <w:sz w:val="18"/>
                <w:szCs w:val="18"/>
              </w:rPr>
            </w:pPr>
            <w:r>
              <w:rPr>
                <w:rFonts w:ascii="Times New Roman"/>
                <w:w w:val="95"/>
                <w:sz w:val="18"/>
              </w:rPr>
              <w:t>-1,651.60%</w:t>
            </w:r>
            <w:r>
              <w:rPr>
                <w:rFonts w:ascii="Times New Roman"/>
                <w:sz w:val="18"/>
              </w:rPr>
            </w:r>
          </w:p>
        </w:tc>
        <w:tc>
          <w:tcPr>
            <w:tcW w:w="291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宋体" w:hAnsi="宋体" w:cs="宋体" w:eastAsia="宋体" w:hint="default"/>
                <w:sz w:val="18"/>
                <w:szCs w:val="18"/>
              </w:rPr>
              <w:t>期公司存款利息收入同比增加及贷</w:t>
            </w:r>
          </w:p>
        </w:tc>
      </w:tr>
      <w:tr>
        <w:trPr>
          <w:trHeight w:val="307" w:hRule="exact"/>
        </w:trPr>
        <w:tc>
          <w:tcPr>
            <w:tcW w:w="1915" w:type="dxa"/>
            <w:tcBorders>
              <w:top w:val="nil" w:sz="6" w:space="0" w:color="auto"/>
              <w:left w:val="single" w:sz="4" w:space="0" w:color="000000"/>
              <w:bottom w:val="nil" w:sz="6" w:space="0" w:color="auto"/>
              <w:right w:val="single" w:sz="4" w:space="0" w:color="000000"/>
            </w:tcBorders>
            <w:shd w:val="clear" w:color="auto" w:fill="D3D3D3"/>
          </w:tcPr>
          <w:p>
            <w:pPr/>
          </w:p>
        </w:tc>
        <w:tc>
          <w:tcPr>
            <w:tcW w:w="1637" w:type="dxa"/>
            <w:tcBorders>
              <w:top w:val="nil" w:sz="6" w:space="0" w:color="auto"/>
              <w:left w:val="single" w:sz="4" w:space="0" w:color="000000"/>
              <w:bottom w:val="nil" w:sz="6" w:space="0" w:color="auto"/>
              <w:right w:val="single" w:sz="4" w:space="0" w:color="000000"/>
            </w:tcBorders>
          </w:tcPr>
          <w:p>
            <w:pPr/>
          </w:p>
        </w:tc>
        <w:tc>
          <w:tcPr>
            <w:tcW w:w="1637" w:type="dxa"/>
            <w:tcBorders>
              <w:top w:val="nil" w:sz="6" w:space="0" w:color="auto"/>
              <w:left w:val="single" w:sz="4" w:space="0" w:color="000000"/>
              <w:bottom w:val="nil" w:sz="6" w:space="0" w:color="auto"/>
              <w:right w:val="single" w:sz="4" w:space="0" w:color="000000"/>
            </w:tcBorders>
          </w:tcPr>
          <w:p>
            <w:pPr/>
          </w:p>
        </w:tc>
        <w:tc>
          <w:tcPr>
            <w:tcW w:w="1461" w:type="dxa"/>
            <w:tcBorders>
              <w:top w:val="nil" w:sz="6" w:space="0" w:color="auto"/>
              <w:left w:val="single" w:sz="4" w:space="0" w:color="000000"/>
              <w:bottom w:val="nil" w:sz="6" w:space="0" w:color="auto"/>
              <w:right w:val="single" w:sz="4" w:space="0" w:color="000000"/>
            </w:tcBorders>
          </w:tcPr>
          <w:p>
            <w:pPr/>
          </w:p>
        </w:tc>
        <w:tc>
          <w:tcPr>
            <w:tcW w:w="291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宋体" w:hAnsi="宋体" w:cs="宋体" w:eastAsia="宋体" w:hint="default"/>
                <w:sz w:val="18"/>
                <w:szCs w:val="18"/>
              </w:rPr>
              <w:t>款利息支出同比减少，两者共同影</w:t>
            </w:r>
          </w:p>
        </w:tc>
      </w:tr>
      <w:tr>
        <w:trPr>
          <w:trHeight w:val="358" w:hRule="exact"/>
        </w:trPr>
        <w:tc>
          <w:tcPr>
            <w:tcW w:w="1915" w:type="dxa"/>
            <w:tcBorders>
              <w:top w:val="nil" w:sz="6" w:space="0" w:color="auto"/>
              <w:left w:val="single" w:sz="4" w:space="0" w:color="000000"/>
              <w:bottom w:val="single" w:sz="4" w:space="0" w:color="000000"/>
              <w:right w:val="single" w:sz="4" w:space="0" w:color="000000"/>
            </w:tcBorders>
            <w:shd w:val="clear" w:color="auto" w:fill="D3D3D3"/>
          </w:tcPr>
          <w:p>
            <w:pPr/>
          </w:p>
        </w:tc>
        <w:tc>
          <w:tcPr>
            <w:tcW w:w="1637" w:type="dxa"/>
            <w:tcBorders>
              <w:top w:val="nil" w:sz="6" w:space="0" w:color="auto"/>
              <w:left w:val="single" w:sz="4" w:space="0" w:color="000000"/>
              <w:bottom w:val="single" w:sz="4" w:space="0" w:color="000000"/>
              <w:right w:val="single" w:sz="4" w:space="0" w:color="000000"/>
            </w:tcBorders>
          </w:tcPr>
          <w:p>
            <w:pPr/>
          </w:p>
        </w:tc>
        <w:tc>
          <w:tcPr>
            <w:tcW w:w="1637" w:type="dxa"/>
            <w:tcBorders>
              <w:top w:val="nil" w:sz="6" w:space="0" w:color="auto"/>
              <w:left w:val="single" w:sz="4" w:space="0" w:color="000000"/>
              <w:bottom w:val="single" w:sz="4" w:space="0" w:color="000000"/>
              <w:right w:val="single" w:sz="4" w:space="0" w:color="000000"/>
            </w:tcBorders>
          </w:tcPr>
          <w:p>
            <w:pPr/>
          </w:p>
        </w:tc>
        <w:tc>
          <w:tcPr>
            <w:tcW w:w="1461" w:type="dxa"/>
            <w:tcBorders>
              <w:top w:val="nil" w:sz="6" w:space="0" w:color="auto"/>
              <w:left w:val="single" w:sz="4" w:space="0" w:color="000000"/>
              <w:bottom w:val="single" w:sz="4" w:space="0" w:color="000000"/>
              <w:right w:val="single" w:sz="4" w:space="0" w:color="000000"/>
            </w:tcBorders>
          </w:tcPr>
          <w:p>
            <w:pPr/>
          </w:p>
        </w:tc>
        <w:tc>
          <w:tcPr>
            <w:tcW w:w="291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响所致。</w:t>
            </w:r>
          </w:p>
        </w:tc>
      </w:tr>
      <w:tr>
        <w:trPr>
          <w:trHeight w:val="402" w:hRule="exact"/>
        </w:trPr>
        <w:tc>
          <w:tcPr>
            <w:tcW w:w="191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127,039,035.87</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121,874,377.09</w:t>
            </w:r>
          </w:p>
        </w:tc>
        <w:tc>
          <w:tcPr>
            <w:tcW w:w="1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4.24%</w:t>
            </w:r>
            <w:r>
              <w:rPr>
                <w:rFonts w:ascii="Times New Roman"/>
                <w:sz w:val="18"/>
              </w:rPr>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无重大变化。</w:t>
            </w:r>
          </w:p>
        </w:tc>
      </w:tr>
      <w:tr>
        <w:trPr>
          <w:trHeight w:val="356" w:hRule="exact"/>
        </w:trPr>
        <w:tc>
          <w:tcPr>
            <w:tcW w:w="1915" w:type="dxa"/>
            <w:tcBorders>
              <w:top w:val="single" w:sz="4" w:space="0" w:color="000000"/>
              <w:left w:val="single" w:sz="4" w:space="0" w:color="000000"/>
              <w:bottom w:val="nil" w:sz="6" w:space="0" w:color="auto"/>
              <w:right w:val="single" w:sz="4" w:space="0" w:color="000000"/>
            </w:tcBorders>
          </w:tcPr>
          <w:p>
            <w:pPr/>
          </w:p>
        </w:tc>
        <w:tc>
          <w:tcPr>
            <w:tcW w:w="1637" w:type="dxa"/>
            <w:tcBorders>
              <w:top w:val="single" w:sz="4" w:space="0" w:color="000000"/>
              <w:left w:val="single" w:sz="4" w:space="0" w:color="000000"/>
              <w:bottom w:val="nil" w:sz="6" w:space="0" w:color="auto"/>
              <w:right w:val="single" w:sz="4" w:space="0" w:color="000000"/>
            </w:tcBorders>
          </w:tcPr>
          <w:p>
            <w:pPr/>
          </w:p>
        </w:tc>
        <w:tc>
          <w:tcPr>
            <w:tcW w:w="1637" w:type="dxa"/>
            <w:vMerge w:val="restart"/>
            <w:tcBorders>
              <w:top w:val="single" w:sz="4" w:space="0" w:color="000000"/>
              <w:left w:val="single" w:sz="4" w:space="0" w:color="000000"/>
              <w:right w:val="single" w:sz="4" w:space="0" w:color="000000"/>
            </w:tcBorders>
          </w:tcPr>
          <w:p>
            <w:pPr/>
          </w:p>
        </w:tc>
        <w:tc>
          <w:tcPr>
            <w:tcW w:w="1461" w:type="dxa"/>
            <w:vMerge w:val="restart"/>
            <w:tcBorders>
              <w:top w:val="single" w:sz="4" w:space="0" w:color="000000"/>
              <w:left w:val="single" w:sz="4" w:space="0" w:color="000000"/>
              <w:right w:val="single" w:sz="4" w:space="0" w:color="000000"/>
            </w:tcBorders>
          </w:tcPr>
          <w:p>
            <w:pPr/>
          </w:p>
        </w:tc>
        <w:tc>
          <w:tcPr>
            <w:tcW w:w="291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报告期，公司信用减值损失计提</w:t>
            </w:r>
          </w:p>
        </w:tc>
      </w:tr>
      <w:tr>
        <w:trPr>
          <w:trHeight w:val="624" w:hRule="exact"/>
        </w:trPr>
        <w:tc>
          <w:tcPr>
            <w:tcW w:w="1915"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信用减值损失</w:t>
            </w:r>
          </w:p>
        </w:tc>
        <w:tc>
          <w:tcPr>
            <w:tcW w:w="163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-2,085,162.69</w:t>
            </w:r>
            <w:r>
              <w:rPr>
                <w:rFonts w:ascii="Times New Roman"/>
                <w:sz w:val="18"/>
              </w:rPr>
            </w:r>
          </w:p>
        </w:tc>
        <w:tc>
          <w:tcPr>
            <w:tcW w:w="1637" w:type="dxa"/>
            <w:vMerge/>
            <w:tcBorders>
              <w:left w:val="single" w:sz="4" w:space="0" w:color="000000"/>
              <w:right w:val="single" w:sz="4" w:space="0" w:color="000000"/>
            </w:tcBorders>
          </w:tcPr>
          <w:p>
            <w:pPr/>
          </w:p>
        </w:tc>
        <w:tc>
          <w:tcPr>
            <w:tcW w:w="1461" w:type="dxa"/>
            <w:vMerge/>
            <w:tcBorders>
              <w:left w:val="single" w:sz="4" w:space="0" w:color="000000"/>
              <w:right w:val="single" w:sz="4" w:space="0" w:color="000000"/>
            </w:tcBorders>
          </w:tcPr>
          <w:p>
            <w:pPr/>
          </w:p>
        </w:tc>
        <w:tc>
          <w:tcPr>
            <w:tcW w:w="2918" w:type="dxa"/>
            <w:tcBorders>
              <w:top w:val="nil" w:sz="6" w:space="0" w:color="auto"/>
              <w:left w:val="single" w:sz="4" w:space="0" w:color="000000"/>
              <w:bottom w:val="nil" w:sz="6" w:space="0" w:color="auto"/>
              <w:right w:val="single" w:sz="4" w:space="0" w:color="000000"/>
            </w:tcBorders>
          </w:tcPr>
          <w:p>
            <w:pPr>
              <w:pStyle w:val="TableParagraph"/>
              <w:spacing w:line="300" w:lineRule="auto" w:before="10"/>
              <w:ind w:left="103" w:right="103"/>
              <w:jc w:val="left"/>
              <w:rPr>
                <w:rFonts w:ascii="宋体" w:hAnsi="宋体" w:cs="宋体" w:eastAsia="宋体" w:hint="default"/>
                <w:sz w:val="18"/>
                <w:szCs w:val="18"/>
              </w:rPr>
            </w:pPr>
            <w:r>
              <w:rPr>
                <w:rFonts w:ascii="Times New Roman" w:hAnsi="Times New Roman" w:cs="Times New Roman" w:eastAsia="Times New Roman" w:hint="default"/>
                <w:sz w:val="18"/>
                <w:szCs w:val="18"/>
              </w:rPr>
              <w:t>208.52 </w:t>
            </w:r>
            <w:r>
              <w:rPr>
                <w:rFonts w:ascii="宋体" w:hAnsi="宋体" w:cs="宋体" w:eastAsia="宋体" w:hint="default"/>
                <w:sz w:val="18"/>
                <w:szCs w:val="18"/>
              </w:rPr>
              <w:t>万元，因为报告期公司执行 新金融工具准则，将应收账款和其</w:t>
            </w:r>
          </w:p>
        </w:tc>
      </w:tr>
      <w:tr>
        <w:trPr>
          <w:trHeight w:val="358" w:hRule="exact"/>
        </w:trPr>
        <w:tc>
          <w:tcPr>
            <w:tcW w:w="1915" w:type="dxa"/>
            <w:tcBorders>
              <w:top w:val="nil" w:sz="6" w:space="0" w:color="auto"/>
              <w:left w:val="single" w:sz="4" w:space="0" w:color="000000"/>
              <w:bottom w:val="single" w:sz="4" w:space="0" w:color="000000"/>
              <w:right w:val="single" w:sz="4" w:space="0" w:color="000000"/>
            </w:tcBorders>
          </w:tcPr>
          <w:p>
            <w:pPr/>
          </w:p>
        </w:tc>
        <w:tc>
          <w:tcPr>
            <w:tcW w:w="1637" w:type="dxa"/>
            <w:tcBorders>
              <w:top w:val="nil" w:sz="6" w:space="0" w:color="auto"/>
              <w:left w:val="single" w:sz="4" w:space="0" w:color="000000"/>
              <w:bottom w:val="single" w:sz="4" w:space="0" w:color="000000"/>
              <w:right w:val="single" w:sz="4" w:space="0" w:color="000000"/>
            </w:tcBorders>
          </w:tcPr>
          <w:p>
            <w:pPr/>
          </w:p>
        </w:tc>
        <w:tc>
          <w:tcPr>
            <w:tcW w:w="1637" w:type="dxa"/>
            <w:vMerge/>
            <w:tcBorders>
              <w:left w:val="single" w:sz="4" w:space="0" w:color="000000"/>
              <w:bottom w:val="single" w:sz="4" w:space="0" w:color="000000"/>
              <w:right w:val="single" w:sz="4" w:space="0" w:color="000000"/>
            </w:tcBorders>
          </w:tcPr>
          <w:p>
            <w:pPr/>
          </w:p>
        </w:tc>
        <w:tc>
          <w:tcPr>
            <w:tcW w:w="1461" w:type="dxa"/>
            <w:vMerge/>
            <w:tcBorders>
              <w:left w:val="single" w:sz="4" w:space="0" w:color="000000"/>
              <w:bottom w:val="single" w:sz="4" w:space="0" w:color="000000"/>
              <w:right w:val="single" w:sz="4" w:space="0" w:color="000000"/>
            </w:tcBorders>
          </w:tcPr>
          <w:p>
            <w:pPr/>
          </w:p>
        </w:tc>
        <w:tc>
          <w:tcPr>
            <w:tcW w:w="291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他应收款坏账计提计入此项目。</w:t>
            </w:r>
          </w:p>
        </w:tc>
      </w:tr>
      <w:tr>
        <w:trPr>
          <w:trHeight w:val="356" w:hRule="exact"/>
        </w:trPr>
        <w:tc>
          <w:tcPr>
            <w:tcW w:w="1915" w:type="dxa"/>
            <w:tcBorders>
              <w:top w:val="single" w:sz="4" w:space="0" w:color="000000"/>
              <w:left w:val="single" w:sz="4" w:space="0" w:color="000000"/>
              <w:bottom w:val="nil" w:sz="6" w:space="0" w:color="auto"/>
              <w:right w:val="single" w:sz="4" w:space="0" w:color="000000"/>
            </w:tcBorders>
          </w:tcPr>
          <w:p>
            <w:pPr/>
          </w:p>
        </w:tc>
        <w:tc>
          <w:tcPr>
            <w:tcW w:w="1637" w:type="dxa"/>
            <w:tcBorders>
              <w:top w:val="single" w:sz="4" w:space="0" w:color="000000"/>
              <w:left w:val="single" w:sz="4" w:space="0" w:color="000000"/>
              <w:bottom w:val="nil" w:sz="6" w:space="0" w:color="auto"/>
              <w:right w:val="single" w:sz="4" w:space="0" w:color="000000"/>
            </w:tcBorders>
          </w:tcPr>
          <w:p>
            <w:pPr/>
          </w:p>
        </w:tc>
        <w:tc>
          <w:tcPr>
            <w:tcW w:w="1637" w:type="dxa"/>
            <w:tcBorders>
              <w:top w:val="single" w:sz="4" w:space="0" w:color="000000"/>
              <w:left w:val="single" w:sz="4" w:space="0" w:color="000000"/>
              <w:bottom w:val="nil" w:sz="6" w:space="0" w:color="auto"/>
              <w:right w:val="single" w:sz="4" w:space="0" w:color="000000"/>
            </w:tcBorders>
          </w:tcPr>
          <w:p>
            <w:pPr/>
          </w:p>
        </w:tc>
        <w:tc>
          <w:tcPr>
            <w:tcW w:w="1461" w:type="dxa"/>
            <w:tcBorders>
              <w:top w:val="single" w:sz="4" w:space="0" w:color="000000"/>
              <w:left w:val="single" w:sz="4" w:space="0" w:color="000000"/>
              <w:bottom w:val="nil" w:sz="6" w:space="0" w:color="auto"/>
              <w:right w:val="single" w:sz="4" w:space="0" w:color="000000"/>
            </w:tcBorders>
          </w:tcPr>
          <w:p>
            <w:pPr/>
          </w:p>
        </w:tc>
        <w:tc>
          <w:tcPr>
            <w:tcW w:w="291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报告期，公司资产减值损失比去年</w:t>
            </w:r>
          </w:p>
        </w:tc>
      </w:tr>
      <w:tr>
        <w:trPr>
          <w:trHeight w:val="307" w:hRule="exact"/>
        </w:trPr>
        <w:tc>
          <w:tcPr>
            <w:tcW w:w="1915" w:type="dxa"/>
            <w:tcBorders>
              <w:top w:val="nil" w:sz="6" w:space="0" w:color="auto"/>
              <w:left w:val="single" w:sz="4" w:space="0" w:color="000000"/>
              <w:bottom w:val="nil" w:sz="6" w:space="0" w:color="auto"/>
              <w:right w:val="single" w:sz="4" w:space="0" w:color="000000"/>
            </w:tcBorders>
          </w:tcPr>
          <w:p>
            <w:pPr/>
          </w:p>
        </w:tc>
        <w:tc>
          <w:tcPr>
            <w:tcW w:w="1637" w:type="dxa"/>
            <w:tcBorders>
              <w:top w:val="nil" w:sz="6" w:space="0" w:color="auto"/>
              <w:left w:val="single" w:sz="4" w:space="0" w:color="000000"/>
              <w:bottom w:val="nil" w:sz="6" w:space="0" w:color="auto"/>
              <w:right w:val="single" w:sz="4" w:space="0" w:color="000000"/>
            </w:tcBorders>
          </w:tcPr>
          <w:p>
            <w:pPr/>
          </w:p>
        </w:tc>
        <w:tc>
          <w:tcPr>
            <w:tcW w:w="1637" w:type="dxa"/>
            <w:tcBorders>
              <w:top w:val="nil" w:sz="6" w:space="0" w:color="auto"/>
              <w:left w:val="single" w:sz="4" w:space="0" w:color="000000"/>
              <w:bottom w:val="nil" w:sz="6" w:space="0" w:color="auto"/>
              <w:right w:val="single" w:sz="4" w:space="0" w:color="000000"/>
            </w:tcBorders>
          </w:tcPr>
          <w:p>
            <w:pPr/>
          </w:p>
        </w:tc>
        <w:tc>
          <w:tcPr>
            <w:tcW w:w="1461" w:type="dxa"/>
            <w:tcBorders>
              <w:top w:val="nil" w:sz="6" w:space="0" w:color="auto"/>
              <w:left w:val="single" w:sz="4" w:space="0" w:color="000000"/>
              <w:bottom w:val="nil" w:sz="6" w:space="0" w:color="auto"/>
              <w:right w:val="single" w:sz="4" w:space="0" w:color="000000"/>
            </w:tcBorders>
          </w:tcPr>
          <w:p>
            <w:pPr/>
          </w:p>
        </w:tc>
        <w:tc>
          <w:tcPr>
            <w:tcW w:w="291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同期增加</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158.20%</w:t>
            </w:r>
            <w:r>
              <w:rPr>
                <w:rFonts w:ascii="宋体" w:hAnsi="宋体" w:cs="宋体" w:eastAsia="宋体" w:hint="default"/>
                <w:sz w:val="18"/>
                <w:szCs w:val="18"/>
              </w:rPr>
              <w:t>，主要是因为报</w:t>
            </w:r>
          </w:p>
        </w:tc>
      </w:tr>
      <w:tr>
        <w:trPr>
          <w:trHeight w:val="317" w:hRule="exact"/>
        </w:trPr>
        <w:tc>
          <w:tcPr>
            <w:tcW w:w="1915" w:type="dxa"/>
            <w:tcBorders>
              <w:top w:val="nil" w:sz="6" w:space="0" w:color="auto"/>
              <w:left w:val="single" w:sz="4" w:space="0" w:color="000000"/>
              <w:bottom w:val="nil" w:sz="6" w:space="0" w:color="auto"/>
              <w:right w:val="single" w:sz="4" w:space="0" w:color="000000"/>
            </w:tcBorders>
          </w:tcPr>
          <w:p>
            <w:pPr>
              <w:pStyle w:val="TableParagraph"/>
              <w:spacing w:line="232" w:lineRule="exact"/>
              <w:ind w:left="102"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1637"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100"/>
              <w:jc w:val="right"/>
              <w:rPr>
                <w:rFonts w:ascii="Times New Roman" w:hAnsi="Times New Roman" w:cs="Times New Roman" w:eastAsia="Times New Roman" w:hint="default"/>
                <w:sz w:val="18"/>
                <w:szCs w:val="18"/>
              </w:rPr>
            </w:pPr>
            <w:r>
              <w:rPr>
                <w:rFonts w:ascii="Times New Roman"/>
                <w:w w:val="95"/>
                <w:sz w:val="18"/>
              </w:rPr>
              <w:t>-16,589,413.46</w:t>
            </w:r>
            <w:r>
              <w:rPr>
                <w:rFonts w:ascii="Times New Roman"/>
                <w:sz w:val="18"/>
              </w:rPr>
            </w:r>
          </w:p>
        </w:tc>
        <w:tc>
          <w:tcPr>
            <w:tcW w:w="1637"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100"/>
              <w:jc w:val="right"/>
              <w:rPr>
                <w:rFonts w:ascii="Times New Roman" w:hAnsi="Times New Roman" w:cs="Times New Roman" w:eastAsia="Times New Roman" w:hint="default"/>
                <w:sz w:val="18"/>
                <w:szCs w:val="18"/>
              </w:rPr>
            </w:pPr>
            <w:r>
              <w:rPr>
                <w:rFonts w:ascii="Times New Roman"/>
                <w:w w:val="95"/>
                <w:sz w:val="18"/>
              </w:rPr>
              <w:t>-6,425,026.28</w:t>
            </w:r>
            <w:r>
              <w:rPr>
                <w:rFonts w:ascii="Times New Roman"/>
                <w:sz w:val="18"/>
              </w:rPr>
            </w:r>
          </w:p>
        </w:tc>
        <w:tc>
          <w:tcPr>
            <w:tcW w:w="1461"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100"/>
              <w:jc w:val="right"/>
              <w:rPr>
                <w:rFonts w:ascii="Times New Roman" w:hAnsi="Times New Roman" w:cs="Times New Roman" w:eastAsia="Times New Roman" w:hint="default"/>
                <w:sz w:val="18"/>
                <w:szCs w:val="18"/>
              </w:rPr>
            </w:pPr>
            <w:r>
              <w:rPr>
                <w:rFonts w:ascii="Times New Roman"/>
                <w:w w:val="95"/>
                <w:sz w:val="18"/>
              </w:rPr>
              <w:t>158.20%</w:t>
            </w:r>
            <w:r>
              <w:rPr>
                <w:rFonts w:ascii="Times New Roman"/>
                <w:sz w:val="18"/>
              </w:rPr>
            </w:r>
          </w:p>
        </w:tc>
        <w:tc>
          <w:tcPr>
            <w:tcW w:w="2918"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left="103" w:right="0"/>
              <w:jc w:val="left"/>
              <w:rPr>
                <w:rFonts w:ascii="宋体" w:hAnsi="宋体" w:cs="宋体" w:eastAsia="宋体" w:hint="default"/>
                <w:sz w:val="18"/>
                <w:szCs w:val="18"/>
              </w:rPr>
            </w:pPr>
            <w:r>
              <w:rPr>
                <w:rFonts w:ascii="宋体" w:hAnsi="宋体" w:cs="宋体" w:eastAsia="宋体" w:hint="default"/>
                <w:sz w:val="18"/>
                <w:szCs w:val="18"/>
              </w:rPr>
              <w:t>告期计提商誉减值损失同比增加</w:t>
            </w:r>
          </w:p>
        </w:tc>
      </w:tr>
      <w:tr>
        <w:trPr>
          <w:trHeight w:val="317" w:hRule="exact"/>
        </w:trPr>
        <w:tc>
          <w:tcPr>
            <w:tcW w:w="1915" w:type="dxa"/>
            <w:tcBorders>
              <w:top w:val="nil" w:sz="6" w:space="0" w:color="auto"/>
              <w:left w:val="single" w:sz="4" w:space="0" w:color="000000"/>
              <w:bottom w:val="nil" w:sz="6" w:space="0" w:color="auto"/>
              <w:right w:val="single" w:sz="4" w:space="0" w:color="000000"/>
            </w:tcBorders>
          </w:tcPr>
          <w:p>
            <w:pPr/>
          </w:p>
        </w:tc>
        <w:tc>
          <w:tcPr>
            <w:tcW w:w="1637" w:type="dxa"/>
            <w:tcBorders>
              <w:top w:val="nil" w:sz="6" w:space="0" w:color="auto"/>
              <w:left w:val="single" w:sz="4" w:space="0" w:color="000000"/>
              <w:bottom w:val="nil" w:sz="6" w:space="0" w:color="auto"/>
              <w:right w:val="single" w:sz="4" w:space="0" w:color="000000"/>
            </w:tcBorders>
          </w:tcPr>
          <w:p>
            <w:pPr/>
          </w:p>
        </w:tc>
        <w:tc>
          <w:tcPr>
            <w:tcW w:w="1637" w:type="dxa"/>
            <w:tcBorders>
              <w:top w:val="nil" w:sz="6" w:space="0" w:color="auto"/>
              <w:left w:val="single" w:sz="4" w:space="0" w:color="000000"/>
              <w:bottom w:val="nil" w:sz="6" w:space="0" w:color="auto"/>
              <w:right w:val="single" w:sz="4" w:space="0" w:color="000000"/>
            </w:tcBorders>
          </w:tcPr>
          <w:p>
            <w:pPr/>
          </w:p>
        </w:tc>
        <w:tc>
          <w:tcPr>
            <w:tcW w:w="1461" w:type="dxa"/>
            <w:tcBorders>
              <w:top w:val="nil" w:sz="6" w:space="0" w:color="auto"/>
              <w:left w:val="single" w:sz="4" w:space="0" w:color="000000"/>
              <w:bottom w:val="nil" w:sz="6" w:space="0" w:color="auto"/>
              <w:right w:val="single" w:sz="4" w:space="0" w:color="000000"/>
            </w:tcBorders>
          </w:tcPr>
          <w:p>
            <w:pPr/>
          </w:p>
        </w:tc>
        <w:tc>
          <w:tcPr>
            <w:tcW w:w="291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157.89%</w:t>
            </w:r>
            <w:r>
              <w:rPr>
                <w:rFonts w:ascii="宋体" w:hAnsi="宋体" w:cs="宋体" w:eastAsia="宋体" w:hint="default"/>
                <w:sz w:val="18"/>
                <w:szCs w:val="18"/>
              </w:rPr>
              <w:t>；去年同期公司冲回应收</w:t>
            </w:r>
          </w:p>
        </w:tc>
      </w:tr>
      <w:tr>
        <w:trPr>
          <w:trHeight w:val="312" w:hRule="exact"/>
        </w:trPr>
        <w:tc>
          <w:tcPr>
            <w:tcW w:w="1915" w:type="dxa"/>
            <w:tcBorders>
              <w:top w:val="nil" w:sz="6" w:space="0" w:color="auto"/>
              <w:left w:val="single" w:sz="4" w:space="0" w:color="000000"/>
              <w:bottom w:val="single" w:sz="4" w:space="0" w:color="000000"/>
              <w:right w:val="single" w:sz="4" w:space="0" w:color="000000"/>
            </w:tcBorders>
          </w:tcPr>
          <w:p>
            <w:pPr/>
          </w:p>
        </w:tc>
        <w:tc>
          <w:tcPr>
            <w:tcW w:w="1637" w:type="dxa"/>
            <w:tcBorders>
              <w:top w:val="nil" w:sz="6" w:space="0" w:color="auto"/>
              <w:left w:val="single" w:sz="4" w:space="0" w:color="000000"/>
              <w:bottom w:val="single" w:sz="4" w:space="0" w:color="000000"/>
              <w:right w:val="single" w:sz="4" w:space="0" w:color="000000"/>
            </w:tcBorders>
          </w:tcPr>
          <w:p>
            <w:pPr/>
          </w:p>
        </w:tc>
        <w:tc>
          <w:tcPr>
            <w:tcW w:w="1637" w:type="dxa"/>
            <w:tcBorders>
              <w:top w:val="nil" w:sz="6" w:space="0" w:color="auto"/>
              <w:left w:val="single" w:sz="4" w:space="0" w:color="000000"/>
              <w:bottom w:val="single" w:sz="4" w:space="0" w:color="000000"/>
              <w:right w:val="single" w:sz="4" w:space="0" w:color="000000"/>
            </w:tcBorders>
          </w:tcPr>
          <w:p>
            <w:pPr/>
          </w:p>
        </w:tc>
        <w:tc>
          <w:tcPr>
            <w:tcW w:w="1461" w:type="dxa"/>
            <w:tcBorders>
              <w:top w:val="nil" w:sz="6" w:space="0" w:color="auto"/>
              <w:left w:val="single" w:sz="4" w:space="0" w:color="000000"/>
              <w:bottom w:val="single" w:sz="4" w:space="0" w:color="000000"/>
              <w:right w:val="single" w:sz="4" w:space="0" w:color="000000"/>
            </w:tcBorders>
          </w:tcPr>
          <w:p>
            <w:pPr/>
          </w:p>
        </w:tc>
        <w:tc>
          <w:tcPr>
            <w:tcW w:w="291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宋体" w:hAnsi="宋体" w:cs="宋体" w:eastAsia="宋体" w:hint="default"/>
                <w:sz w:val="18"/>
                <w:szCs w:val="18"/>
              </w:rPr>
              <w:t>类坏账损失</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579.86</w:t>
            </w:r>
            <w:r>
              <w:rPr>
                <w:rFonts w:ascii="Times New Roman" w:hAnsi="Times New Roman" w:cs="Times New Roman" w:eastAsia="Times New Roman" w:hint="default"/>
                <w:spacing w:val="2"/>
                <w:sz w:val="18"/>
                <w:szCs w:val="18"/>
              </w:rPr>
              <w:t> </w:t>
            </w:r>
            <w:r>
              <w:rPr>
                <w:rFonts w:ascii="宋体" w:hAnsi="宋体" w:cs="宋体" w:eastAsia="宋体" w:hint="default"/>
                <w:spacing w:val="-7"/>
                <w:sz w:val="18"/>
                <w:szCs w:val="18"/>
              </w:rPr>
              <w:t>万元，报告期公</w:t>
            </w:r>
          </w:p>
        </w:tc>
      </w:tr>
    </w:tbl>
    <w:p>
      <w:pPr>
        <w:spacing w:after="0" w:line="240" w:lineRule="auto"/>
        <w:jc w:val="left"/>
        <w:rPr>
          <w:rFonts w:ascii="宋体" w:hAnsi="宋体" w:cs="宋体" w:eastAsia="宋体" w:hint="default"/>
          <w:sz w:val="18"/>
          <w:szCs w:val="18"/>
        </w:rPr>
        <w:sectPr>
          <w:pgSz w:w="11910" w:h="16840"/>
          <w:pgMar w:header="906" w:footer="1018" w:top="1100" w:bottom="1200" w:left="1020" w:right="0"/>
        </w:sectPr>
      </w:pPr>
    </w:p>
    <w:p>
      <w:pPr>
        <w:spacing w:line="240" w:lineRule="auto" w:before="7"/>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915"/>
        <w:gridCol w:w="1637"/>
        <w:gridCol w:w="1637"/>
        <w:gridCol w:w="1461"/>
        <w:gridCol w:w="2918"/>
      </w:tblGrid>
      <w:tr>
        <w:trPr>
          <w:trHeight w:val="986" w:hRule="exact"/>
        </w:trPr>
        <w:tc>
          <w:tcPr>
            <w:tcW w:w="1915" w:type="dxa"/>
            <w:tcBorders>
              <w:top w:val="single" w:sz="4" w:space="0" w:color="000000"/>
              <w:left w:val="single" w:sz="4" w:space="0" w:color="000000"/>
              <w:bottom w:val="single" w:sz="4" w:space="0" w:color="000000"/>
              <w:right w:val="single" w:sz="4" w:space="0" w:color="000000"/>
            </w:tcBorders>
          </w:tcPr>
          <w:p>
            <w:pPr/>
          </w:p>
        </w:tc>
        <w:tc>
          <w:tcPr>
            <w:tcW w:w="1637" w:type="dxa"/>
            <w:tcBorders>
              <w:top w:val="single" w:sz="4" w:space="0" w:color="000000"/>
              <w:left w:val="single" w:sz="4" w:space="0" w:color="000000"/>
              <w:bottom w:val="single" w:sz="4" w:space="0" w:color="000000"/>
              <w:right w:val="single" w:sz="4" w:space="0" w:color="000000"/>
            </w:tcBorders>
          </w:tcPr>
          <w:p>
            <w:pPr/>
          </w:p>
        </w:tc>
        <w:tc>
          <w:tcPr>
            <w:tcW w:w="1637" w:type="dxa"/>
            <w:tcBorders>
              <w:top w:val="single" w:sz="4" w:space="0" w:color="000000"/>
              <w:left w:val="single" w:sz="4" w:space="0" w:color="000000"/>
              <w:bottom w:val="single" w:sz="4" w:space="0" w:color="000000"/>
              <w:right w:val="single" w:sz="4" w:space="0" w:color="000000"/>
            </w:tcBorders>
          </w:tcPr>
          <w:p>
            <w:pPr/>
          </w:p>
        </w:tc>
        <w:tc>
          <w:tcPr>
            <w:tcW w:w="1461" w:type="dxa"/>
            <w:tcBorders>
              <w:top w:val="single" w:sz="4" w:space="0" w:color="000000"/>
              <w:left w:val="single" w:sz="4" w:space="0" w:color="000000"/>
              <w:bottom w:val="single" w:sz="4" w:space="0" w:color="000000"/>
              <w:right w:val="single" w:sz="4" w:space="0" w:color="000000"/>
            </w:tcBorders>
          </w:tcPr>
          <w:p>
            <w:pP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3"/>
              <w:jc w:val="both"/>
              <w:rPr>
                <w:rFonts w:ascii="宋体" w:hAnsi="宋体" w:cs="宋体" w:eastAsia="宋体" w:hint="default"/>
                <w:sz w:val="18"/>
                <w:szCs w:val="18"/>
              </w:rPr>
            </w:pPr>
            <w:r>
              <w:rPr>
                <w:rFonts w:ascii="宋体" w:hAnsi="宋体" w:cs="宋体" w:eastAsia="宋体" w:hint="default"/>
                <w:sz w:val="18"/>
                <w:szCs w:val="18"/>
              </w:rPr>
              <w:t>司执行新金融工具准则，将应收类 坏账损失计入“信用减值损失”列 示。</w:t>
            </w:r>
          </w:p>
        </w:tc>
      </w:tr>
      <w:tr>
        <w:trPr>
          <w:trHeight w:val="356" w:hRule="exact"/>
        </w:trPr>
        <w:tc>
          <w:tcPr>
            <w:tcW w:w="1915" w:type="dxa"/>
            <w:tcBorders>
              <w:top w:val="single" w:sz="4" w:space="0" w:color="000000"/>
              <w:left w:val="single" w:sz="4" w:space="0" w:color="000000"/>
              <w:bottom w:val="nil" w:sz="6" w:space="0" w:color="auto"/>
              <w:right w:val="single" w:sz="4" w:space="0" w:color="000000"/>
            </w:tcBorders>
          </w:tcPr>
          <w:p>
            <w:pPr/>
          </w:p>
        </w:tc>
        <w:tc>
          <w:tcPr>
            <w:tcW w:w="1637" w:type="dxa"/>
            <w:tcBorders>
              <w:top w:val="single" w:sz="4" w:space="0" w:color="000000"/>
              <w:left w:val="single" w:sz="4" w:space="0" w:color="000000"/>
              <w:bottom w:val="nil" w:sz="6" w:space="0" w:color="auto"/>
              <w:right w:val="single" w:sz="4" w:space="0" w:color="000000"/>
            </w:tcBorders>
          </w:tcPr>
          <w:p>
            <w:pPr/>
          </w:p>
        </w:tc>
        <w:tc>
          <w:tcPr>
            <w:tcW w:w="1637" w:type="dxa"/>
            <w:tcBorders>
              <w:top w:val="single" w:sz="4" w:space="0" w:color="000000"/>
              <w:left w:val="single" w:sz="4" w:space="0" w:color="000000"/>
              <w:bottom w:val="nil" w:sz="6" w:space="0" w:color="auto"/>
              <w:right w:val="single" w:sz="4" w:space="0" w:color="000000"/>
            </w:tcBorders>
          </w:tcPr>
          <w:p>
            <w:pPr/>
          </w:p>
        </w:tc>
        <w:tc>
          <w:tcPr>
            <w:tcW w:w="1461" w:type="dxa"/>
            <w:tcBorders>
              <w:top w:val="single" w:sz="4" w:space="0" w:color="000000"/>
              <w:left w:val="single" w:sz="4" w:space="0" w:color="000000"/>
              <w:bottom w:val="nil" w:sz="6" w:space="0" w:color="auto"/>
              <w:right w:val="single" w:sz="4" w:space="0" w:color="000000"/>
            </w:tcBorders>
          </w:tcPr>
          <w:p>
            <w:pPr/>
          </w:p>
        </w:tc>
        <w:tc>
          <w:tcPr>
            <w:tcW w:w="291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报告期，公司资产处置收益比去年</w:t>
            </w:r>
          </w:p>
        </w:tc>
      </w:tr>
      <w:tr>
        <w:trPr>
          <w:trHeight w:val="317" w:hRule="exact"/>
        </w:trPr>
        <w:tc>
          <w:tcPr>
            <w:tcW w:w="1915" w:type="dxa"/>
            <w:tcBorders>
              <w:top w:val="nil" w:sz="6" w:space="0" w:color="auto"/>
              <w:left w:val="single" w:sz="4" w:space="0" w:color="000000"/>
              <w:bottom w:val="nil" w:sz="6" w:space="0" w:color="auto"/>
              <w:right w:val="single" w:sz="4" w:space="0" w:color="000000"/>
            </w:tcBorders>
          </w:tcPr>
          <w:p>
            <w:pPr/>
          </w:p>
        </w:tc>
        <w:tc>
          <w:tcPr>
            <w:tcW w:w="1637" w:type="dxa"/>
            <w:tcBorders>
              <w:top w:val="nil" w:sz="6" w:space="0" w:color="auto"/>
              <w:left w:val="single" w:sz="4" w:space="0" w:color="000000"/>
              <w:bottom w:val="nil" w:sz="6" w:space="0" w:color="auto"/>
              <w:right w:val="single" w:sz="4" w:space="0" w:color="000000"/>
            </w:tcBorders>
          </w:tcPr>
          <w:p>
            <w:pPr/>
          </w:p>
        </w:tc>
        <w:tc>
          <w:tcPr>
            <w:tcW w:w="1637" w:type="dxa"/>
            <w:tcBorders>
              <w:top w:val="nil" w:sz="6" w:space="0" w:color="auto"/>
              <w:left w:val="single" w:sz="4" w:space="0" w:color="000000"/>
              <w:bottom w:val="nil" w:sz="6" w:space="0" w:color="auto"/>
              <w:right w:val="single" w:sz="4" w:space="0" w:color="000000"/>
            </w:tcBorders>
          </w:tcPr>
          <w:p>
            <w:pPr/>
          </w:p>
        </w:tc>
        <w:tc>
          <w:tcPr>
            <w:tcW w:w="1461" w:type="dxa"/>
            <w:tcBorders>
              <w:top w:val="nil" w:sz="6" w:space="0" w:color="auto"/>
              <w:left w:val="single" w:sz="4" w:space="0" w:color="000000"/>
              <w:bottom w:val="nil" w:sz="6" w:space="0" w:color="auto"/>
              <w:right w:val="single" w:sz="4" w:space="0" w:color="000000"/>
            </w:tcBorders>
          </w:tcPr>
          <w:p>
            <w:pPr/>
          </w:p>
        </w:tc>
        <w:tc>
          <w:tcPr>
            <w:tcW w:w="291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同期减少</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101.11%</w:t>
            </w:r>
            <w:r>
              <w:rPr>
                <w:rFonts w:ascii="宋体" w:hAnsi="宋体" w:cs="宋体" w:eastAsia="宋体" w:hint="default"/>
                <w:sz w:val="18"/>
                <w:szCs w:val="18"/>
              </w:rPr>
              <w:t>，主要是因为去</w:t>
            </w:r>
          </w:p>
        </w:tc>
      </w:tr>
      <w:tr>
        <w:trPr>
          <w:trHeight w:val="312" w:hRule="exact"/>
        </w:trPr>
        <w:tc>
          <w:tcPr>
            <w:tcW w:w="191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资产处置收益</w:t>
            </w:r>
          </w:p>
        </w:tc>
        <w:tc>
          <w:tcPr>
            <w:tcW w:w="1637"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0"/>
              <w:jc w:val="right"/>
              <w:rPr>
                <w:rFonts w:ascii="Times New Roman" w:hAnsi="Times New Roman" w:cs="Times New Roman" w:eastAsia="Times New Roman" w:hint="default"/>
                <w:sz w:val="18"/>
                <w:szCs w:val="18"/>
              </w:rPr>
            </w:pPr>
            <w:r>
              <w:rPr>
                <w:rFonts w:ascii="Times New Roman"/>
                <w:w w:val="95"/>
                <w:sz w:val="18"/>
              </w:rPr>
              <w:t>-577,486.26</w:t>
            </w:r>
            <w:r>
              <w:rPr>
                <w:rFonts w:ascii="Times New Roman"/>
                <w:sz w:val="18"/>
              </w:rPr>
            </w:r>
          </w:p>
        </w:tc>
        <w:tc>
          <w:tcPr>
            <w:tcW w:w="1637"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z w:val="18"/>
              </w:rPr>
              <w:t>52,214,754.01</w:t>
            </w:r>
          </w:p>
        </w:tc>
        <w:tc>
          <w:tcPr>
            <w:tcW w:w="1461"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99"/>
              <w:jc w:val="right"/>
              <w:rPr>
                <w:rFonts w:ascii="Times New Roman" w:hAnsi="Times New Roman" w:cs="Times New Roman" w:eastAsia="Times New Roman" w:hint="default"/>
                <w:sz w:val="18"/>
                <w:szCs w:val="18"/>
              </w:rPr>
            </w:pPr>
            <w:r>
              <w:rPr>
                <w:rFonts w:ascii="Times New Roman"/>
                <w:spacing w:val="-1"/>
                <w:w w:val="95"/>
                <w:sz w:val="18"/>
              </w:rPr>
              <w:t>-101.11%</w:t>
            </w:r>
            <w:r>
              <w:rPr>
                <w:rFonts w:ascii="Times New Roman"/>
                <w:spacing w:val="-1"/>
                <w:sz w:val="18"/>
              </w:rPr>
            </w:r>
          </w:p>
        </w:tc>
        <w:tc>
          <w:tcPr>
            <w:tcW w:w="291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宋体" w:hAnsi="宋体" w:cs="宋体" w:eastAsia="宋体" w:hint="default"/>
                <w:sz w:val="18"/>
                <w:szCs w:val="18"/>
              </w:rPr>
              <w:t>年同期公司出售了北京市西城区月</w:t>
            </w:r>
          </w:p>
        </w:tc>
      </w:tr>
      <w:tr>
        <w:trPr>
          <w:trHeight w:val="312" w:hRule="exact"/>
        </w:trPr>
        <w:tc>
          <w:tcPr>
            <w:tcW w:w="1915" w:type="dxa"/>
            <w:tcBorders>
              <w:top w:val="nil" w:sz="6" w:space="0" w:color="auto"/>
              <w:left w:val="single" w:sz="4" w:space="0" w:color="000000"/>
              <w:bottom w:val="nil" w:sz="6" w:space="0" w:color="auto"/>
              <w:right w:val="single" w:sz="4" w:space="0" w:color="000000"/>
            </w:tcBorders>
          </w:tcPr>
          <w:p>
            <w:pPr/>
          </w:p>
        </w:tc>
        <w:tc>
          <w:tcPr>
            <w:tcW w:w="1637" w:type="dxa"/>
            <w:tcBorders>
              <w:top w:val="nil" w:sz="6" w:space="0" w:color="auto"/>
              <w:left w:val="single" w:sz="4" w:space="0" w:color="000000"/>
              <w:bottom w:val="nil" w:sz="6" w:space="0" w:color="auto"/>
              <w:right w:val="single" w:sz="4" w:space="0" w:color="000000"/>
            </w:tcBorders>
          </w:tcPr>
          <w:p>
            <w:pPr/>
          </w:p>
        </w:tc>
        <w:tc>
          <w:tcPr>
            <w:tcW w:w="1637" w:type="dxa"/>
            <w:tcBorders>
              <w:top w:val="nil" w:sz="6" w:space="0" w:color="auto"/>
              <w:left w:val="single" w:sz="4" w:space="0" w:color="000000"/>
              <w:bottom w:val="nil" w:sz="6" w:space="0" w:color="auto"/>
              <w:right w:val="single" w:sz="4" w:space="0" w:color="000000"/>
            </w:tcBorders>
          </w:tcPr>
          <w:p>
            <w:pPr/>
          </w:p>
        </w:tc>
        <w:tc>
          <w:tcPr>
            <w:tcW w:w="1461" w:type="dxa"/>
            <w:tcBorders>
              <w:top w:val="nil" w:sz="6" w:space="0" w:color="auto"/>
              <w:left w:val="single" w:sz="4" w:space="0" w:color="000000"/>
              <w:bottom w:val="nil" w:sz="6" w:space="0" w:color="auto"/>
              <w:right w:val="single" w:sz="4" w:space="0" w:color="000000"/>
            </w:tcBorders>
          </w:tcPr>
          <w:p>
            <w:pPr/>
          </w:p>
        </w:tc>
        <w:tc>
          <w:tcPr>
            <w:tcW w:w="291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坛北街 </w:t>
            </w:r>
            <w:r>
              <w:rPr>
                <w:rFonts w:ascii="Times New Roman" w:hAnsi="Times New Roman" w:cs="Times New Roman" w:eastAsia="Times New Roman" w:hint="default"/>
                <w:sz w:val="18"/>
                <w:szCs w:val="18"/>
              </w:rPr>
              <w:t>2  </w:t>
            </w:r>
            <w:r>
              <w:rPr>
                <w:rFonts w:ascii="宋体" w:hAnsi="宋体" w:cs="宋体" w:eastAsia="宋体" w:hint="default"/>
                <w:sz w:val="18"/>
                <w:szCs w:val="18"/>
              </w:rPr>
              <w:t>号 </w:t>
            </w:r>
            <w:r>
              <w:rPr>
                <w:rFonts w:ascii="Times New Roman" w:hAnsi="Times New Roman" w:cs="Times New Roman" w:eastAsia="Times New Roman" w:hint="default"/>
                <w:sz w:val="18"/>
                <w:szCs w:val="18"/>
              </w:rPr>
              <w:t>1  </w:t>
            </w:r>
            <w:r>
              <w:rPr>
                <w:rFonts w:ascii="宋体" w:hAnsi="宋体" w:cs="宋体" w:eastAsia="宋体" w:hint="default"/>
                <w:sz w:val="18"/>
                <w:szCs w:val="18"/>
              </w:rPr>
              <w:t>幢 </w:t>
            </w:r>
            <w:r>
              <w:rPr>
                <w:rFonts w:ascii="Times New Roman" w:hAnsi="Times New Roman" w:cs="Times New Roman" w:eastAsia="Times New Roman" w:hint="default"/>
                <w:sz w:val="18"/>
                <w:szCs w:val="18"/>
              </w:rPr>
              <w:t>3  </w:t>
            </w:r>
            <w:r>
              <w:rPr>
                <w:rFonts w:ascii="宋体" w:hAnsi="宋体" w:cs="宋体" w:eastAsia="宋体" w:hint="default"/>
                <w:sz w:val="18"/>
                <w:szCs w:val="18"/>
              </w:rPr>
              <w:t>层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房产</w:t>
            </w:r>
          </w:p>
        </w:tc>
      </w:tr>
      <w:tr>
        <w:trPr>
          <w:trHeight w:val="353" w:hRule="exact"/>
        </w:trPr>
        <w:tc>
          <w:tcPr>
            <w:tcW w:w="1915" w:type="dxa"/>
            <w:tcBorders>
              <w:top w:val="nil" w:sz="6" w:space="0" w:color="auto"/>
              <w:left w:val="single" w:sz="4" w:space="0" w:color="000000"/>
              <w:bottom w:val="single" w:sz="4" w:space="0" w:color="000000"/>
              <w:right w:val="single" w:sz="4" w:space="0" w:color="000000"/>
            </w:tcBorders>
          </w:tcPr>
          <w:p>
            <w:pPr/>
          </w:p>
        </w:tc>
        <w:tc>
          <w:tcPr>
            <w:tcW w:w="1637" w:type="dxa"/>
            <w:tcBorders>
              <w:top w:val="nil" w:sz="6" w:space="0" w:color="auto"/>
              <w:left w:val="single" w:sz="4" w:space="0" w:color="000000"/>
              <w:bottom w:val="single" w:sz="4" w:space="0" w:color="000000"/>
              <w:right w:val="single" w:sz="4" w:space="0" w:color="000000"/>
            </w:tcBorders>
          </w:tcPr>
          <w:p>
            <w:pPr/>
          </w:p>
        </w:tc>
        <w:tc>
          <w:tcPr>
            <w:tcW w:w="1637" w:type="dxa"/>
            <w:tcBorders>
              <w:top w:val="nil" w:sz="6" w:space="0" w:color="auto"/>
              <w:left w:val="single" w:sz="4" w:space="0" w:color="000000"/>
              <w:bottom w:val="single" w:sz="4" w:space="0" w:color="000000"/>
              <w:right w:val="single" w:sz="4" w:space="0" w:color="000000"/>
            </w:tcBorders>
          </w:tcPr>
          <w:p>
            <w:pPr/>
          </w:p>
        </w:tc>
        <w:tc>
          <w:tcPr>
            <w:tcW w:w="1461" w:type="dxa"/>
            <w:tcBorders>
              <w:top w:val="nil" w:sz="6" w:space="0" w:color="auto"/>
              <w:left w:val="single" w:sz="4" w:space="0" w:color="000000"/>
              <w:bottom w:val="single" w:sz="4" w:space="0" w:color="000000"/>
              <w:right w:val="single" w:sz="4" w:space="0" w:color="000000"/>
            </w:tcBorders>
          </w:tcPr>
          <w:p>
            <w:pPr/>
          </w:p>
        </w:tc>
        <w:tc>
          <w:tcPr>
            <w:tcW w:w="291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宋体" w:hAnsi="宋体" w:cs="宋体" w:eastAsia="宋体" w:hint="default"/>
                <w:sz w:val="18"/>
                <w:szCs w:val="18"/>
              </w:rPr>
              <w:t>产生收益所致。</w:t>
            </w:r>
          </w:p>
        </w:tc>
      </w:tr>
      <w:tr>
        <w:trPr>
          <w:trHeight w:val="356" w:hRule="exact"/>
        </w:trPr>
        <w:tc>
          <w:tcPr>
            <w:tcW w:w="1915" w:type="dxa"/>
            <w:tcBorders>
              <w:top w:val="single" w:sz="4" w:space="0" w:color="000000"/>
              <w:left w:val="single" w:sz="4" w:space="0" w:color="000000"/>
              <w:bottom w:val="nil" w:sz="6" w:space="0" w:color="auto"/>
              <w:right w:val="single" w:sz="4" w:space="0" w:color="000000"/>
            </w:tcBorders>
          </w:tcPr>
          <w:p>
            <w:pPr/>
          </w:p>
        </w:tc>
        <w:tc>
          <w:tcPr>
            <w:tcW w:w="1637" w:type="dxa"/>
            <w:tcBorders>
              <w:top w:val="single" w:sz="4" w:space="0" w:color="000000"/>
              <w:left w:val="single" w:sz="4" w:space="0" w:color="000000"/>
              <w:bottom w:val="nil" w:sz="6" w:space="0" w:color="auto"/>
              <w:right w:val="single" w:sz="4" w:space="0" w:color="000000"/>
            </w:tcBorders>
          </w:tcPr>
          <w:p>
            <w:pPr/>
          </w:p>
        </w:tc>
        <w:tc>
          <w:tcPr>
            <w:tcW w:w="1637" w:type="dxa"/>
            <w:tcBorders>
              <w:top w:val="single" w:sz="4" w:space="0" w:color="000000"/>
              <w:left w:val="single" w:sz="4" w:space="0" w:color="000000"/>
              <w:bottom w:val="nil" w:sz="6" w:space="0" w:color="auto"/>
              <w:right w:val="single" w:sz="4" w:space="0" w:color="000000"/>
            </w:tcBorders>
          </w:tcPr>
          <w:p>
            <w:pPr/>
          </w:p>
        </w:tc>
        <w:tc>
          <w:tcPr>
            <w:tcW w:w="1461" w:type="dxa"/>
            <w:tcBorders>
              <w:top w:val="single" w:sz="4" w:space="0" w:color="000000"/>
              <w:left w:val="single" w:sz="4" w:space="0" w:color="000000"/>
              <w:bottom w:val="nil" w:sz="6" w:space="0" w:color="auto"/>
              <w:right w:val="single" w:sz="4" w:space="0" w:color="000000"/>
            </w:tcBorders>
          </w:tcPr>
          <w:p>
            <w:pPr/>
          </w:p>
        </w:tc>
        <w:tc>
          <w:tcPr>
            <w:tcW w:w="291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报告期，公司营业外支出比去年同</w:t>
            </w:r>
          </w:p>
        </w:tc>
      </w:tr>
      <w:tr>
        <w:trPr>
          <w:trHeight w:val="317" w:hRule="exact"/>
        </w:trPr>
        <w:tc>
          <w:tcPr>
            <w:tcW w:w="191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营业外支出</w:t>
            </w:r>
          </w:p>
        </w:tc>
        <w:tc>
          <w:tcPr>
            <w:tcW w:w="163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z w:val="18"/>
              </w:rPr>
              <w:t>188,950.07</w:t>
            </w:r>
          </w:p>
        </w:tc>
        <w:tc>
          <w:tcPr>
            <w:tcW w:w="163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z w:val="18"/>
              </w:rPr>
              <w:t>856,973.94</w:t>
            </w:r>
          </w:p>
        </w:tc>
        <w:tc>
          <w:tcPr>
            <w:tcW w:w="1461"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w w:val="95"/>
                <w:sz w:val="18"/>
              </w:rPr>
              <w:t>-77.95%</w:t>
            </w:r>
            <w:r>
              <w:rPr>
                <w:rFonts w:ascii="Times New Roman"/>
                <w:sz w:val="18"/>
              </w:rPr>
            </w:r>
          </w:p>
        </w:tc>
        <w:tc>
          <w:tcPr>
            <w:tcW w:w="291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期减少</w:t>
            </w:r>
            <w:r>
              <w:rPr>
                <w:rFonts w:ascii="宋体" w:hAnsi="宋体" w:cs="宋体" w:eastAsia="宋体" w:hint="default"/>
                <w:spacing w:val="-45"/>
                <w:sz w:val="18"/>
                <w:szCs w:val="18"/>
              </w:rPr>
              <w:t> </w:t>
            </w:r>
            <w:r>
              <w:rPr>
                <w:rFonts w:ascii="Times New Roman" w:hAnsi="Times New Roman" w:cs="Times New Roman" w:eastAsia="Times New Roman" w:hint="default"/>
                <w:spacing w:val="-4"/>
                <w:sz w:val="18"/>
                <w:szCs w:val="18"/>
              </w:rPr>
              <w:t>77.95%</w:t>
            </w:r>
            <w:r>
              <w:rPr>
                <w:rFonts w:ascii="宋体" w:hAnsi="宋体" w:cs="宋体" w:eastAsia="宋体" w:hint="default"/>
                <w:spacing w:val="-4"/>
                <w:sz w:val="18"/>
                <w:szCs w:val="18"/>
              </w:rPr>
              <w:t>，主要是因为公司报</w:t>
            </w:r>
          </w:p>
        </w:tc>
      </w:tr>
      <w:tr>
        <w:trPr>
          <w:trHeight w:val="353" w:hRule="exact"/>
        </w:trPr>
        <w:tc>
          <w:tcPr>
            <w:tcW w:w="1915" w:type="dxa"/>
            <w:tcBorders>
              <w:top w:val="nil" w:sz="6" w:space="0" w:color="auto"/>
              <w:left w:val="single" w:sz="4" w:space="0" w:color="000000"/>
              <w:bottom w:val="single" w:sz="4" w:space="0" w:color="000000"/>
              <w:right w:val="single" w:sz="4" w:space="0" w:color="000000"/>
            </w:tcBorders>
          </w:tcPr>
          <w:p>
            <w:pPr/>
          </w:p>
        </w:tc>
        <w:tc>
          <w:tcPr>
            <w:tcW w:w="1637" w:type="dxa"/>
            <w:tcBorders>
              <w:top w:val="nil" w:sz="6" w:space="0" w:color="auto"/>
              <w:left w:val="single" w:sz="4" w:space="0" w:color="000000"/>
              <w:bottom w:val="single" w:sz="4" w:space="0" w:color="000000"/>
              <w:right w:val="single" w:sz="4" w:space="0" w:color="000000"/>
            </w:tcBorders>
          </w:tcPr>
          <w:p>
            <w:pPr/>
          </w:p>
        </w:tc>
        <w:tc>
          <w:tcPr>
            <w:tcW w:w="1637" w:type="dxa"/>
            <w:tcBorders>
              <w:top w:val="nil" w:sz="6" w:space="0" w:color="auto"/>
              <w:left w:val="single" w:sz="4" w:space="0" w:color="000000"/>
              <w:bottom w:val="single" w:sz="4" w:space="0" w:color="000000"/>
              <w:right w:val="single" w:sz="4" w:space="0" w:color="000000"/>
            </w:tcBorders>
          </w:tcPr>
          <w:p>
            <w:pPr/>
          </w:p>
        </w:tc>
        <w:tc>
          <w:tcPr>
            <w:tcW w:w="1461" w:type="dxa"/>
            <w:tcBorders>
              <w:top w:val="nil" w:sz="6" w:space="0" w:color="auto"/>
              <w:left w:val="single" w:sz="4" w:space="0" w:color="000000"/>
              <w:bottom w:val="single" w:sz="4" w:space="0" w:color="000000"/>
              <w:right w:val="single" w:sz="4" w:space="0" w:color="000000"/>
            </w:tcBorders>
          </w:tcPr>
          <w:p>
            <w:pPr/>
          </w:p>
        </w:tc>
        <w:tc>
          <w:tcPr>
            <w:tcW w:w="291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宋体" w:hAnsi="宋体" w:cs="宋体" w:eastAsia="宋体" w:hint="default"/>
                <w:sz w:val="18"/>
                <w:szCs w:val="18"/>
              </w:rPr>
              <w:t>告期对外捐赠同比减少所致。</w:t>
            </w:r>
          </w:p>
        </w:tc>
      </w:tr>
      <w:tr>
        <w:trPr>
          <w:trHeight w:val="356" w:hRule="exact"/>
        </w:trPr>
        <w:tc>
          <w:tcPr>
            <w:tcW w:w="1915" w:type="dxa"/>
            <w:tcBorders>
              <w:top w:val="single" w:sz="4" w:space="0" w:color="000000"/>
              <w:left w:val="single" w:sz="4" w:space="0" w:color="000000"/>
              <w:bottom w:val="nil" w:sz="6" w:space="0" w:color="auto"/>
              <w:right w:val="single" w:sz="4" w:space="0" w:color="000000"/>
            </w:tcBorders>
          </w:tcPr>
          <w:p>
            <w:pPr/>
          </w:p>
        </w:tc>
        <w:tc>
          <w:tcPr>
            <w:tcW w:w="1637" w:type="dxa"/>
            <w:tcBorders>
              <w:top w:val="single" w:sz="4" w:space="0" w:color="000000"/>
              <w:left w:val="single" w:sz="4" w:space="0" w:color="000000"/>
              <w:bottom w:val="nil" w:sz="6" w:space="0" w:color="auto"/>
              <w:right w:val="single" w:sz="4" w:space="0" w:color="000000"/>
            </w:tcBorders>
          </w:tcPr>
          <w:p>
            <w:pPr/>
          </w:p>
        </w:tc>
        <w:tc>
          <w:tcPr>
            <w:tcW w:w="1637" w:type="dxa"/>
            <w:tcBorders>
              <w:top w:val="single" w:sz="4" w:space="0" w:color="000000"/>
              <w:left w:val="single" w:sz="4" w:space="0" w:color="000000"/>
              <w:bottom w:val="nil" w:sz="6" w:space="0" w:color="auto"/>
              <w:right w:val="single" w:sz="4" w:space="0" w:color="000000"/>
            </w:tcBorders>
          </w:tcPr>
          <w:p>
            <w:pPr/>
          </w:p>
        </w:tc>
        <w:tc>
          <w:tcPr>
            <w:tcW w:w="1461" w:type="dxa"/>
            <w:tcBorders>
              <w:top w:val="single" w:sz="4" w:space="0" w:color="000000"/>
              <w:left w:val="single" w:sz="4" w:space="0" w:color="000000"/>
              <w:bottom w:val="nil" w:sz="6" w:space="0" w:color="auto"/>
              <w:right w:val="single" w:sz="4" w:space="0" w:color="000000"/>
            </w:tcBorders>
          </w:tcPr>
          <w:p>
            <w:pPr/>
          </w:p>
        </w:tc>
        <w:tc>
          <w:tcPr>
            <w:tcW w:w="291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报告期，公司所得税费用比去年同</w:t>
            </w:r>
          </w:p>
        </w:tc>
      </w:tr>
      <w:tr>
        <w:trPr>
          <w:trHeight w:val="624" w:hRule="exact"/>
        </w:trPr>
        <w:tc>
          <w:tcPr>
            <w:tcW w:w="1915"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163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4,078,886.76</w:t>
            </w:r>
          </w:p>
        </w:tc>
        <w:tc>
          <w:tcPr>
            <w:tcW w:w="163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10,350,052.95</w:t>
            </w:r>
          </w:p>
        </w:tc>
        <w:tc>
          <w:tcPr>
            <w:tcW w:w="1461"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95"/>
                <w:sz w:val="18"/>
              </w:rPr>
              <w:t>-60.59%</w:t>
            </w:r>
            <w:r>
              <w:rPr>
                <w:rFonts w:ascii="Times New Roman"/>
                <w:sz w:val="18"/>
              </w:rPr>
            </w:r>
          </w:p>
        </w:tc>
        <w:tc>
          <w:tcPr>
            <w:tcW w:w="2918" w:type="dxa"/>
            <w:tcBorders>
              <w:top w:val="nil" w:sz="6" w:space="0" w:color="auto"/>
              <w:left w:val="single" w:sz="4" w:space="0" w:color="000000"/>
              <w:bottom w:val="nil" w:sz="6" w:space="0" w:color="auto"/>
              <w:right w:val="single" w:sz="4" w:space="0" w:color="000000"/>
            </w:tcBorders>
          </w:tcPr>
          <w:p>
            <w:pPr>
              <w:pStyle w:val="TableParagraph"/>
              <w:spacing w:line="300" w:lineRule="auto" w:before="10"/>
              <w:ind w:left="103" w:right="101"/>
              <w:jc w:val="left"/>
              <w:rPr>
                <w:rFonts w:ascii="宋体" w:hAnsi="宋体" w:cs="宋体" w:eastAsia="宋体" w:hint="default"/>
                <w:sz w:val="18"/>
                <w:szCs w:val="18"/>
              </w:rPr>
            </w:pPr>
            <w:r>
              <w:rPr>
                <w:rFonts w:ascii="宋体" w:hAnsi="宋体" w:cs="宋体" w:eastAsia="宋体" w:hint="default"/>
                <w:sz w:val="18"/>
                <w:szCs w:val="18"/>
              </w:rPr>
              <w:t>期减少</w:t>
            </w:r>
            <w:r>
              <w:rPr>
                <w:rFonts w:ascii="宋体" w:hAnsi="宋体" w:cs="宋体" w:eastAsia="宋体" w:hint="default"/>
                <w:spacing w:val="-45"/>
                <w:sz w:val="18"/>
                <w:szCs w:val="18"/>
              </w:rPr>
              <w:t> </w:t>
            </w:r>
            <w:r>
              <w:rPr>
                <w:rFonts w:ascii="Times New Roman" w:hAnsi="Times New Roman" w:cs="Times New Roman" w:eastAsia="Times New Roman" w:hint="default"/>
                <w:spacing w:val="-4"/>
                <w:sz w:val="18"/>
                <w:szCs w:val="18"/>
              </w:rPr>
              <w:t>60.59%</w:t>
            </w:r>
            <w:r>
              <w:rPr>
                <w:rFonts w:ascii="宋体" w:hAnsi="宋体" w:cs="宋体" w:eastAsia="宋体" w:hint="default"/>
                <w:spacing w:val="-4"/>
                <w:sz w:val="18"/>
                <w:szCs w:val="18"/>
              </w:rPr>
              <w:t>，主要是因为报告期</w:t>
            </w:r>
            <w:r>
              <w:rPr>
                <w:rFonts w:ascii="宋体" w:hAnsi="宋体" w:cs="宋体" w:eastAsia="宋体" w:hint="default"/>
                <w:sz w:val="18"/>
                <w:szCs w:val="18"/>
              </w:rPr>
              <w:t> 公司利润总额同比减少，计提所得</w:t>
            </w:r>
          </w:p>
        </w:tc>
      </w:tr>
      <w:tr>
        <w:trPr>
          <w:trHeight w:val="358" w:hRule="exact"/>
        </w:trPr>
        <w:tc>
          <w:tcPr>
            <w:tcW w:w="1915" w:type="dxa"/>
            <w:tcBorders>
              <w:top w:val="nil" w:sz="6" w:space="0" w:color="auto"/>
              <w:left w:val="single" w:sz="4" w:space="0" w:color="000000"/>
              <w:bottom w:val="single" w:sz="4" w:space="0" w:color="000000"/>
              <w:right w:val="single" w:sz="4" w:space="0" w:color="000000"/>
            </w:tcBorders>
          </w:tcPr>
          <w:p>
            <w:pPr/>
          </w:p>
        </w:tc>
        <w:tc>
          <w:tcPr>
            <w:tcW w:w="1637" w:type="dxa"/>
            <w:tcBorders>
              <w:top w:val="nil" w:sz="6" w:space="0" w:color="auto"/>
              <w:left w:val="single" w:sz="4" w:space="0" w:color="000000"/>
              <w:bottom w:val="single" w:sz="4" w:space="0" w:color="000000"/>
              <w:right w:val="single" w:sz="4" w:space="0" w:color="000000"/>
            </w:tcBorders>
          </w:tcPr>
          <w:p>
            <w:pPr/>
          </w:p>
        </w:tc>
        <w:tc>
          <w:tcPr>
            <w:tcW w:w="1637" w:type="dxa"/>
            <w:tcBorders>
              <w:top w:val="nil" w:sz="6" w:space="0" w:color="auto"/>
              <w:left w:val="single" w:sz="4" w:space="0" w:color="000000"/>
              <w:bottom w:val="single" w:sz="4" w:space="0" w:color="000000"/>
              <w:right w:val="single" w:sz="4" w:space="0" w:color="000000"/>
            </w:tcBorders>
          </w:tcPr>
          <w:p>
            <w:pPr/>
          </w:p>
        </w:tc>
        <w:tc>
          <w:tcPr>
            <w:tcW w:w="1461" w:type="dxa"/>
            <w:tcBorders>
              <w:top w:val="nil" w:sz="6" w:space="0" w:color="auto"/>
              <w:left w:val="single" w:sz="4" w:space="0" w:color="000000"/>
              <w:bottom w:val="single" w:sz="4" w:space="0" w:color="000000"/>
              <w:right w:val="single" w:sz="4" w:space="0" w:color="000000"/>
            </w:tcBorders>
          </w:tcPr>
          <w:p>
            <w:pPr/>
          </w:p>
        </w:tc>
        <w:tc>
          <w:tcPr>
            <w:tcW w:w="291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税费用同比减少所致。</w:t>
            </w:r>
          </w:p>
        </w:tc>
      </w:tr>
      <w:tr>
        <w:trPr>
          <w:trHeight w:val="356" w:hRule="exact"/>
        </w:trPr>
        <w:tc>
          <w:tcPr>
            <w:tcW w:w="1915" w:type="dxa"/>
            <w:tcBorders>
              <w:top w:val="single" w:sz="4" w:space="0" w:color="000000"/>
              <w:left w:val="single" w:sz="4" w:space="0" w:color="000000"/>
              <w:bottom w:val="nil" w:sz="6" w:space="0" w:color="auto"/>
              <w:right w:val="single" w:sz="4" w:space="0" w:color="000000"/>
            </w:tcBorders>
          </w:tcPr>
          <w:p>
            <w:pPr/>
          </w:p>
        </w:tc>
        <w:tc>
          <w:tcPr>
            <w:tcW w:w="1637" w:type="dxa"/>
            <w:tcBorders>
              <w:top w:val="single" w:sz="4" w:space="0" w:color="000000"/>
              <w:left w:val="single" w:sz="4" w:space="0" w:color="000000"/>
              <w:bottom w:val="nil" w:sz="6" w:space="0" w:color="auto"/>
              <w:right w:val="single" w:sz="4" w:space="0" w:color="000000"/>
            </w:tcBorders>
          </w:tcPr>
          <w:p>
            <w:pPr/>
          </w:p>
        </w:tc>
        <w:tc>
          <w:tcPr>
            <w:tcW w:w="1637" w:type="dxa"/>
            <w:tcBorders>
              <w:top w:val="single" w:sz="4" w:space="0" w:color="000000"/>
              <w:left w:val="single" w:sz="4" w:space="0" w:color="000000"/>
              <w:bottom w:val="nil" w:sz="6" w:space="0" w:color="auto"/>
              <w:right w:val="single" w:sz="4" w:space="0" w:color="000000"/>
            </w:tcBorders>
          </w:tcPr>
          <w:p>
            <w:pPr/>
          </w:p>
        </w:tc>
        <w:tc>
          <w:tcPr>
            <w:tcW w:w="1461" w:type="dxa"/>
            <w:tcBorders>
              <w:top w:val="single" w:sz="4" w:space="0" w:color="000000"/>
              <w:left w:val="single" w:sz="4" w:space="0" w:color="000000"/>
              <w:bottom w:val="nil" w:sz="6" w:space="0" w:color="auto"/>
              <w:right w:val="single" w:sz="4" w:space="0" w:color="000000"/>
            </w:tcBorders>
          </w:tcPr>
          <w:p>
            <w:pPr/>
          </w:p>
        </w:tc>
        <w:tc>
          <w:tcPr>
            <w:tcW w:w="291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报告期，公司少数股东损益比去年</w:t>
            </w:r>
          </w:p>
        </w:tc>
      </w:tr>
      <w:tr>
        <w:trPr>
          <w:trHeight w:val="624" w:hRule="exact"/>
        </w:trPr>
        <w:tc>
          <w:tcPr>
            <w:tcW w:w="1915"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163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263,923.84</w:t>
            </w:r>
          </w:p>
        </w:tc>
        <w:tc>
          <w:tcPr>
            <w:tcW w:w="163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2,139,247.00</w:t>
            </w:r>
          </w:p>
        </w:tc>
        <w:tc>
          <w:tcPr>
            <w:tcW w:w="1461"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95"/>
                <w:sz w:val="18"/>
              </w:rPr>
              <w:t>-87.66%</w:t>
            </w:r>
            <w:r>
              <w:rPr>
                <w:rFonts w:ascii="Times New Roman"/>
                <w:sz w:val="18"/>
              </w:rPr>
            </w:r>
          </w:p>
        </w:tc>
        <w:tc>
          <w:tcPr>
            <w:tcW w:w="2918" w:type="dxa"/>
            <w:tcBorders>
              <w:top w:val="nil" w:sz="6" w:space="0" w:color="auto"/>
              <w:left w:val="single" w:sz="4" w:space="0" w:color="000000"/>
              <w:bottom w:val="nil" w:sz="6" w:space="0" w:color="auto"/>
              <w:right w:val="single" w:sz="4" w:space="0" w:color="000000"/>
            </w:tcBorders>
          </w:tcPr>
          <w:p>
            <w:pPr>
              <w:pStyle w:val="TableParagraph"/>
              <w:spacing w:line="300" w:lineRule="auto" w:before="10"/>
              <w:ind w:left="103" w:right="101"/>
              <w:jc w:val="left"/>
              <w:rPr>
                <w:rFonts w:ascii="宋体" w:hAnsi="宋体" w:cs="宋体" w:eastAsia="宋体" w:hint="default"/>
                <w:sz w:val="18"/>
                <w:szCs w:val="18"/>
              </w:rPr>
            </w:pPr>
            <w:r>
              <w:rPr>
                <w:rFonts w:ascii="宋体" w:hAnsi="宋体" w:cs="宋体" w:eastAsia="宋体" w:hint="default"/>
                <w:sz w:val="18"/>
                <w:szCs w:val="18"/>
              </w:rPr>
              <w:t>同期减少</w:t>
            </w:r>
            <w:r>
              <w:rPr>
                <w:rFonts w:ascii="宋体" w:hAnsi="宋体" w:cs="宋体" w:eastAsia="宋体" w:hint="default"/>
                <w:spacing w:val="-38"/>
                <w:sz w:val="18"/>
                <w:szCs w:val="18"/>
              </w:rPr>
              <w:t> </w:t>
            </w:r>
            <w:r>
              <w:rPr>
                <w:rFonts w:ascii="Times New Roman" w:hAnsi="Times New Roman" w:cs="Times New Roman" w:eastAsia="Times New Roman" w:hint="default"/>
                <w:spacing w:val="-5"/>
                <w:sz w:val="18"/>
                <w:szCs w:val="18"/>
              </w:rPr>
              <w:t>87.66%</w:t>
            </w:r>
            <w:r>
              <w:rPr>
                <w:rFonts w:ascii="宋体" w:hAnsi="宋体" w:cs="宋体" w:eastAsia="宋体" w:hint="default"/>
                <w:spacing w:val="-5"/>
                <w:sz w:val="18"/>
                <w:szCs w:val="18"/>
              </w:rPr>
              <w:t>，主要是因为控股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子公司深圳一卡易公司净利润减少</w:t>
            </w:r>
          </w:p>
        </w:tc>
      </w:tr>
      <w:tr>
        <w:trPr>
          <w:trHeight w:val="358" w:hRule="exact"/>
        </w:trPr>
        <w:tc>
          <w:tcPr>
            <w:tcW w:w="1915" w:type="dxa"/>
            <w:tcBorders>
              <w:top w:val="nil" w:sz="6" w:space="0" w:color="auto"/>
              <w:left w:val="single" w:sz="4" w:space="0" w:color="000000"/>
              <w:bottom w:val="single" w:sz="4" w:space="0" w:color="000000"/>
              <w:right w:val="single" w:sz="4" w:space="0" w:color="000000"/>
            </w:tcBorders>
          </w:tcPr>
          <w:p>
            <w:pPr/>
          </w:p>
        </w:tc>
        <w:tc>
          <w:tcPr>
            <w:tcW w:w="1637" w:type="dxa"/>
            <w:tcBorders>
              <w:top w:val="nil" w:sz="6" w:space="0" w:color="auto"/>
              <w:left w:val="single" w:sz="4" w:space="0" w:color="000000"/>
              <w:bottom w:val="single" w:sz="4" w:space="0" w:color="000000"/>
              <w:right w:val="single" w:sz="4" w:space="0" w:color="000000"/>
            </w:tcBorders>
          </w:tcPr>
          <w:p>
            <w:pPr/>
          </w:p>
        </w:tc>
        <w:tc>
          <w:tcPr>
            <w:tcW w:w="1637" w:type="dxa"/>
            <w:tcBorders>
              <w:top w:val="nil" w:sz="6" w:space="0" w:color="auto"/>
              <w:left w:val="single" w:sz="4" w:space="0" w:color="000000"/>
              <w:bottom w:val="single" w:sz="4" w:space="0" w:color="000000"/>
              <w:right w:val="single" w:sz="4" w:space="0" w:color="000000"/>
            </w:tcBorders>
          </w:tcPr>
          <w:p>
            <w:pPr/>
          </w:p>
        </w:tc>
        <w:tc>
          <w:tcPr>
            <w:tcW w:w="1461" w:type="dxa"/>
            <w:tcBorders>
              <w:top w:val="nil" w:sz="6" w:space="0" w:color="auto"/>
              <w:left w:val="single" w:sz="4" w:space="0" w:color="000000"/>
              <w:bottom w:val="single" w:sz="4" w:space="0" w:color="000000"/>
              <w:right w:val="single" w:sz="4" w:space="0" w:color="000000"/>
            </w:tcBorders>
          </w:tcPr>
          <w:p>
            <w:pPr/>
          </w:p>
        </w:tc>
        <w:tc>
          <w:tcPr>
            <w:tcW w:w="291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所致。</w:t>
            </w:r>
          </w:p>
        </w:tc>
      </w:tr>
      <w:tr>
        <w:trPr>
          <w:trHeight w:val="1026" w:hRule="exact"/>
        </w:trPr>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19" w:lineRule="auto"/>
              <w:ind w:left="102" w:right="180"/>
              <w:jc w:val="left"/>
              <w:rPr>
                <w:rFonts w:ascii="宋体" w:hAnsi="宋体" w:cs="宋体" w:eastAsia="宋体" w:hint="default"/>
                <w:sz w:val="18"/>
                <w:szCs w:val="18"/>
              </w:rPr>
            </w:pPr>
            <w:r>
              <w:rPr>
                <w:rFonts w:ascii="宋体" w:hAnsi="宋体" w:cs="宋体" w:eastAsia="宋体" w:hint="default"/>
                <w:sz w:val="18"/>
                <w:szCs w:val="18"/>
              </w:rPr>
              <w:t>其他综合收益的税后 净额</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109,733.04</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336,081.56</w:t>
            </w:r>
          </w:p>
        </w:tc>
        <w:tc>
          <w:tcPr>
            <w:tcW w:w="1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95"/>
                <w:sz w:val="18"/>
              </w:rPr>
              <w:t>-67.35%</w:t>
            </w:r>
            <w:r>
              <w:rPr>
                <w:rFonts w:ascii="Times New Roman"/>
                <w:sz w:val="18"/>
              </w:rPr>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103" w:right="101"/>
              <w:jc w:val="both"/>
              <w:rPr>
                <w:rFonts w:ascii="宋体" w:hAnsi="宋体" w:cs="宋体" w:eastAsia="宋体" w:hint="default"/>
                <w:sz w:val="18"/>
                <w:szCs w:val="18"/>
              </w:rPr>
            </w:pPr>
            <w:r>
              <w:rPr>
                <w:rFonts w:ascii="宋体" w:hAnsi="宋体" w:cs="宋体" w:eastAsia="宋体" w:hint="default"/>
                <w:sz w:val="18"/>
                <w:szCs w:val="18"/>
              </w:rPr>
              <w:t>报告期，公司其他综合收益比去年 同期减少</w:t>
            </w:r>
            <w:r>
              <w:rPr>
                <w:rFonts w:ascii="宋体" w:hAnsi="宋体" w:cs="宋体" w:eastAsia="宋体" w:hint="default"/>
                <w:spacing w:val="-38"/>
                <w:sz w:val="18"/>
                <w:szCs w:val="18"/>
              </w:rPr>
              <w:t> </w:t>
            </w:r>
            <w:r>
              <w:rPr>
                <w:rFonts w:ascii="Times New Roman" w:hAnsi="Times New Roman" w:cs="Times New Roman" w:eastAsia="Times New Roman" w:hint="default"/>
                <w:spacing w:val="-5"/>
                <w:sz w:val="18"/>
                <w:szCs w:val="18"/>
              </w:rPr>
              <w:t>67.35%</w:t>
            </w:r>
            <w:r>
              <w:rPr>
                <w:rFonts w:ascii="宋体" w:hAnsi="宋体" w:cs="宋体" w:eastAsia="宋体" w:hint="default"/>
                <w:spacing w:val="-5"/>
                <w:sz w:val="18"/>
                <w:szCs w:val="18"/>
              </w:rPr>
              <w:t>，主要是因为报告</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期汇率变动影响所致。</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r>
        <w:rPr>
          <w:rFonts w:ascii="Times New Roman" w:hAnsi="Times New Roman" w:cs="Times New Roman" w:eastAsia="Times New Roman" w:hint="default"/>
        </w:rPr>
        <w:t>4</w:t>
      </w:r>
      <w:r>
        <w:rPr/>
        <w:t>、研发投入</w:t>
      </w:r>
      <w:r>
        <w:rPr>
          <w:b w:val="0"/>
          <w:bCs w:val="0"/>
        </w:rPr>
      </w:r>
    </w:p>
    <w:p>
      <w:pPr>
        <w:spacing w:line="240" w:lineRule="auto" w:before="6"/>
        <w:rPr>
          <w:rFonts w:ascii="宋体" w:hAnsi="宋体" w:cs="宋体" w:eastAsia="宋体" w:hint="default"/>
          <w:b/>
          <w:bCs/>
          <w:sz w:val="26"/>
          <w:szCs w:val="26"/>
        </w:rPr>
      </w:pPr>
    </w:p>
    <w:p>
      <w:pPr>
        <w:pStyle w:val="BodyText"/>
        <w:spacing w:line="338" w:lineRule="auto"/>
        <w:ind w:right="0"/>
        <w:jc w:val="left"/>
      </w:pPr>
      <w:r>
        <w:rPr/>
        <w:t>√ 适用 □ 不适用 </w:t>
      </w:r>
      <w:r>
        <w:rPr>
          <w:spacing w:val="-2"/>
        </w:rPr>
        <w:t>研发投入是公司在市场中长久生存的保障，是公司提高自主创新能力的途径，是公司提升产品核心竞争力的根本。公司的研</w:t>
      </w:r>
      <w:r>
        <w:rPr>
          <w:spacing w:val="-64"/>
        </w:rPr>
        <w:t> </w:t>
      </w:r>
      <w:r>
        <w:rPr>
          <w:spacing w:val="-64"/>
        </w:rPr>
      </w:r>
      <w:r>
        <w:rPr/>
        <w:t>发目的是既要保证在现有业务中占有一席之地，也要增强在新拓展业务领域的竞争力。</w:t>
      </w:r>
    </w:p>
    <w:p>
      <w:pPr>
        <w:pStyle w:val="BodyText"/>
        <w:spacing w:line="316" w:lineRule="auto" w:before="2"/>
        <w:ind w:right="1041"/>
        <w:jc w:val="both"/>
      </w:pPr>
      <w:r>
        <w:rPr>
          <w:spacing w:val="-4"/>
        </w:rPr>
        <w:t>公司掌握了多项自主研发的核心技术，公司的智能卡技术在移动通信、金融等领域应用先后获得了数百项专利和软件著作权。</w:t>
      </w:r>
      <w:r>
        <w:rPr>
          <w:spacing w:val="-42"/>
        </w:rPr>
        <w:t> </w:t>
      </w:r>
      <w:r>
        <w:rPr>
          <w:spacing w:val="-42"/>
        </w:rPr>
      </w:r>
      <w:r>
        <w:rPr>
          <w:spacing w:val="-2"/>
        </w:rPr>
        <w:t>除了技术专利之外，从实际的生产过程中发现问题，解决问题，积极改进生产效率，获得了诸多生产方面的自主知识</w:t>
      </w:r>
      <w:r>
        <w:rPr>
          <w:spacing w:val="16"/>
        </w:rPr>
        <w:t> </w:t>
      </w:r>
      <w:r>
        <w:rPr/>
        <w:t>产权，</w:t>
      </w:r>
      <w:r>
        <w:rPr/>
        <w:t> 大大提高了生产的效率和质量。</w:t>
      </w:r>
    </w:p>
    <w:p>
      <w:pPr>
        <w:pStyle w:val="BodyText"/>
        <w:spacing w:line="240" w:lineRule="auto" w:before="59"/>
        <w:ind w:right="0"/>
        <w:jc w:val="left"/>
      </w:pPr>
      <w:r>
        <w:rPr/>
        <w:t>公司研发投入情况</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92"/>
        <w:gridCol w:w="2392"/>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变动比例</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研发人员数量（人）</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392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373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5"/>
                <w:sz w:val="18"/>
              </w:rPr>
              <w:t>5.09%</w:t>
            </w:r>
            <w:r>
              <w:rPr>
                <w:rFonts w:ascii="Times New Roman"/>
                <w:sz w:val="18"/>
              </w:rPr>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研发人员数量占比</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28.47%</w:t>
            </w:r>
            <w:r>
              <w:rPr>
                <w:rFonts w:ascii="Times New Roman"/>
                <w:sz w:val="18"/>
              </w:rPr>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29.77%</w:t>
            </w:r>
            <w:r>
              <w:rPr>
                <w:rFonts w:ascii="Times New Roman"/>
                <w:sz w:val="18"/>
              </w:rPr>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w w:val="95"/>
                <w:sz w:val="18"/>
              </w:rPr>
              <w:t>-1.30%</w:t>
            </w:r>
            <w:r>
              <w:rPr>
                <w:rFonts w:ascii="Times New Roman"/>
                <w:sz w:val="18"/>
              </w:rPr>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研发投入金额（元）</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127,039,035.87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121,874,377.09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5"/>
                <w:sz w:val="18"/>
              </w:rPr>
              <w:t>4.24%</w:t>
            </w:r>
            <w:r>
              <w:rPr>
                <w:rFonts w:ascii="Times New Roman"/>
                <w:sz w:val="18"/>
              </w:rPr>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研发投入占营业收入比例</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8.27%</w:t>
            </w:r>
            <w:r>
              <w:rPr>
                <w:rFonts w:ascii="Times New Roman"/>
                <w:sz w:val="18"/>
              </w:rPr>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7.21%</w:t>
            </w:r>
            <w:r>
              <w:rPr>
                <w:rFonts w:ascii="Times New Roman"/>
                <w:sz w:val="18"/>
              </w:rPr>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5"/>
                <w:sz w:val="18"/>
              </w:rPr>
              <w:t>1.06%</w:t>
            </w:r>
            <w:r>
              <w:rPr>
                <w:rFonts w:ascii="Times New Roman"/>
                <w:sz w:val="18"/>
              </w:rPr>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研发投入资本化的金</w:t>
            </w:r>
            <w:r>
              <w:rPr>
                <w:rFonts w:ascii="宋体" w:hAnsi="宋体" w:cs="宋体" w:eastAsia="宋体" w:hint="default"/>
                <w:spacing w:val="-74"/>
                <w:sz w:val="18"/>
                <w:szCs w:val="18"/>
              </w:rPr>
              <w:t>额</w:t>
            </w:r>
            <w:r>
              <w:rPr>
                <w:rFonts w:ascii="宋体" w:hAnsi="宋体" w:cs="宋体" w:eastAsia="宋体" w:hint="default"/>
                <w:sz w:val="18"/>
                <w:szCs w:val="18"/>
              </w:rPr>
              <w:t>（元）</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0.00</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02" w:right="117"/>
              <w:jc w:val="left"/>
              <w:rPr>
                <w:rFonts w:ascii="宋体" w:hAnsi="宋体" w:cs="宋体" w:eastAsia="宋体" w:hint="default"/>
                <w:sz w:val="18"/>
                <w:szCs w:val="18"/>
              </w:rPr>
            </w:pPr>
            <w:r>
              <w:rPr>
                <w:rFonts w:ascii="宋体" w:hAnsi="宋体" w:cs="宋体" w:eastAsia="宋体" w:hint="default"/>
                <w:sz w:val="18"/>
                <w:szCs w:val="18"/>
              </w:rPr>
              <w:t>资本化研发投入占研发投入 的比例</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2392"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6" w:footer="1018" w:top="1100" w:bottom="1200" w:left="1020" w:right="0"/>
        </w:sectPr>
      </w:pPr>
    </w:p>
    <w:p>
      <w:pPr>
        <w:spacing w:line="240" w:lineRule="auto" w:before="11"/>
        <w:rPr>
          <w:rFonts w:ascii="宋体" w:hAnsi="宋体" w:cs="宋体" w:eastAsia="宋体" w:hint="default"/>
          <w:sz w:val="22"/>
          <w:szCs w:val="22"/>
        </w:rPr>
      </w:pPr>
    </w:p>
    <w:p>
      <w:pPr>
        <w:pStyle w:val="BodyText"/>
        <w:spacing w:line="240" w:lineRule="auto" w:before="44"/>
        <w:ind w:right="0"/>
        <w:jc w:val="left"/>
      </w:pPr>
      <w:r>
        <w:rPr/>
        <w:t>研发投入总额占营业收入的比重较上年发生显著变化的原因</w:t>
      </w:r>
    </w:p>
    <w:p>
      <w:pPr>
        <w:pStyle w:val="BodyText"/>
        <w:spacing w:line="360" w:lineRule="auto" w:before="116"/>
        <w:ind w:right="6792"/>
        <w:jc w:val="left"/>
      </w:pPr>
      <w:r>
        <w:rPr/>
        <w:t>□ 适用 √ 不适用 研发投入资本化率大幅变动的原因及其合理性说明</w:t>
      </w:r>
    </w:p>
    <w:p>
      <w:pPr>
        <w:pStyle w:val="BodyText"/>
        <w:spacing w:line="240" w:lineRule="auto" w:before="26"/>
        <w:ind w:right="0"/>
        <w:jc w:val="left"/>
      </w:pPr>
      <w:r>
        <w:rPr/>
        <w:t>□ 适用 √ 不适用</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5</w:t>
      </w:r>
      <w:r>
        <w:rPr/>
        <w:t>、现金流</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spacing w:val="-1"/>
        </w:rPr>
        <w:t>单位：元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92"/>
        <w:gridCol w:w="2392"/>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1,747,422,732.98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2,051,304,274.20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w w:val="95"/>
                <w:sz w:val="18"/>
              </w:rPr>
              <w:t>-14.81%</w:t>
            </w:r>
            <w:r>
              <w:rPr>
                <w:rFonts w:ascii="Times New Roman"/>
                <w:sz w:val="18"/>
              </w:rPr>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1,791,874,556.24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1,463,061,165.35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5"/>
                <w:sz w:val="18"/>
              </w:rPr>
              <w:t>22.47%</w:t>
            </w:r>
            <w:r>
              <w:rPr>
                <w:rFonts w:ascii="Times New Roman"/>
                <w:sz w:val="18"/>
              </w:rPr>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49"/>
              <w:ind w:left="102" w:right="117"/>
              <w:jc w:val="left"/>
              <w:rPr>
                <w:rFonts w:ascii="宋体" w:hAnsi="宋体" w:cs="宋体" w:eastAsia="宋体" w:hint="default"/>
                <w:sz w:val="18"/>
                <w:szCs w:val="18"/>
              </w:rPr>
            </w:pPr>
            <w:r>
              <w:rPr>
                <w:rFonts w:ascii="宋体" w:hAnsi="宋体" w:cs="宋体" w:eastAsia="宋体" w:hint="default"/>
                <w:sz w:val="18"/>
                <w:szCs w:val="18"/>
              </w:rPr>
              <w:t>经营活动产生的现金流量净 额</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-44,451,823.26</w:t>
            </w:r>
            <w:r>
              <w:rPr>
                <w:rFonts w:ascii="Times New Roman"/>
                <w:sz w:val="18"/>
              </w:rPr>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588,243,108.85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95"/>
                <w:sz w:val="18"/>
              </w:rPr>
              <w:t>-107.56%</w:t>
            </w:r>
            <w:r>
              <w:rPr>
                <w:rFonts w:ascii="Times New Roman"/>
                <w:sz w:val="18"/>
              </w:rPr>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682,994,893.84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1,028,616,812.90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w w:val="95"/>
                <w:sz w:val="18"/>
              </w:rPr>
              <w:t>-33.60%</w:t>
            </w:r>
            <w:r>
              <w:rPr>
                <w:rFonts w:ascii="Times New Roman"/>
                <w:sz w:val="18"/>
              </w:rPr>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857,860,161.34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1,064,908,231.22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w w:val="95"/>
                <w:sz w:val="18"/>
              </w:rPr>
              <w:t>-19.44%</w:t>
            </w:r>
            <w:r>
              <w:rPr>
                <w:rFonts w:ascii="Times New Roman"/>
                <w:sz w:val="18"/>
              </w:rPr>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02" w:right="117"/>
              <w:jc w:val="left"/>
              <w:rPr>
                <w:rFonts w:ascii="宋体" w:hAnsi="宋体" w:cs="宋体" w:eastAsia="宋体" w:hint="default"/>
                <w:sz w:val="18"/>
                <w:szCs w:val="18"/>
              </w:rPr>
            </w:pPr>
            <w:r>
              <w:rPr>
                <w:rFonts w:ascii="宋体" w:hAnsi="宋体" w:cs="宋体" w:eastAsia="宋体" w:hint="default"/>
                <w:sz w:val="18"/>
                <w:szCs w:val="18"/>
              </w:rPr>
              <w:t>投资活动产生的现金流量净 额</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-174,865,267.50</w:t>
            </w:r>
            <w:r>
              <w:rPr>
                <w:rFonts w:ascii="Times New Roman"/>
                <w:sz w:val="18"/>
              </w:rPr>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-36,291,418.32</w:t>
            </w:r>
            <w:r>
              <w:rPr>
                <w:rFonts w:ascii="Times New Roman"/>
                <w:sz w:val="18"/>
              </w:rPr>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381.84%</w:t>
            </w:r>
            <w:r>
              <w:rPr>
                <w:rFonts w:ascii="Times New Roman"/>
                <w:sz w:val="18"/>
              </w:rPr>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70,000,000.00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53,009,074.03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203,195,557.48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w w:val="95"/>
                <w:sz w:val="18"/>
              </w:rPr>
              <w:t>-73.91%</w:t>
            </w:r>
            <w:r>
              <w:rPr>
                <w:rFonts w:ascii="Times New Roman"/>
                <w:sz w:val="18"/>
              </w:rPr>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02" w:right="117"/>
              <w:jc w:val="left"/>
              <w:rPr>
                <w:rFonts w:ascii="宋体" w:hAnsi="宋体" w:cs="宋体" w:eastAsia="宋体" w:hint="default"/>
                <w:sz w:val="18"/>
                <w:szCs w:val="18"/>
              </w:rPr>
            </w:pPr>
            <w:r>
              <w:rPr>
                <w:rFonts w:ascii="宋体" w:hAnsi="宋体" w:cs="宋体" w:eastAsia="宋体" w:hint="default"/>
                <w:sz w:val="18"/>
                <w:szCs w:val="18"/>
              </w:rPr>
              <w:t>筹资活动产生的现金流量净 额</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-53,009,074.03</w:t>
            </w:r>
            <w:r>
              <w:rPr>
                <w:rFonts w:ascii="Times New Roman"/>
                <w:sz w:val="18"/>
              </w:rPr>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-133,195,557.48</w:t>
            </w:r>
            <w:r>
              <w:rPr>
                <w:rFonts w:ascii="Times New Roman"/>
                <w:sz w:val="18"/>
              </w:rPr>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95"/>
                <w:sz w:val="18"/>
              </w:rPr>
              <w:t>-60.20%</w:t>
            </w:r>
            <w:r>
              <w:rPr>
                <w:rFonts w:ascii="Times New Roman"/>
                <w:sz w:val="18"/>
              </w:rPr>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-272,191,486.76</w:t>
            </w:r>
            <w:r>
              <w:rPr>
                <w:rFonts w:ascii="Times New Roman"/>
                <w:sz w:val="18"/>
              </w:rPr>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418,896,250.03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w w:val="95"/>
                <w:sz w:val="18"/>
              </w:rPr>
              <w:t>-164.98%</w:t>
            </w:r>
            <w:r>
              <w:rPr>
                <w:rFonts w:ascii="Times New Roman"/>
                <w:sz w:val="18"/>
              </w:rPr>
            </w:r>
          </w:p>
        </w:tc>
      </w:tr>
    </w:tbl>
    <w:p>
      <w:pPr>
        <w:pStyle w:val="BodyText"/>
        <w:spacing w:line="240" w:lineRule="auto" w:before="49"/>
        <w:ind w:right="0"/>
        <w:jc w:val="both"/>
      </w:pPr>
      <w:r>
        <w:rPr/>
        <w:t>相关数据同比发生重大变动的主要影响因素说明</w:t>
      </w:r>
    </w:p>
    <w:p>
      <w:pPr>
        <w:pStyle w:val="BodyText"/>
        <w:spacing w:line="240" w:lineRule="auto" w:before="116"/>
        <w:ind w:right="0"/>
        <w:jc w:val="both"/>
      </w:pPr>
      <w:r>
        <w:rPr/>
        <w:t>√ 适用 □ 不适用</w:t>
      </w:r>
    </w:p>
    <w:p>
      <w:pPr>
        <w:pStyle w:val="BodyText"/>
        <w:spacing w:line="300" w:lineRule="auto" w:before="116"/>
        <w:ind w:right="1215"/>
        <w:jc w:val="both"/>
      </w:pPr>
      <w:r>
        <w:rPr>
          <w:rFonts w:ascii="Times New Roman" w:hAnsi="Times New Roman" w:cs="Times New Roman" w:eastAsia="Times New Roman" w:hint="default"/>
        </w:rPr>
        <w:t>1</w:t>
      </w:r>
      <w:r>
        <w:rPr/>
        <w:t>、经营活动产生的现金流量净额：报告期，公司经营活动产生的现金流量净额比去年同期减少</w:t>
      </w:r>
      <w:r>
        <w:rPr>
          <w:rFonts w:ascii="Times New Roman" w:hAnsi="Times New Roman" w:cs="Times New Roman" w:eastAsia="Times New Roman" w:hint="default"/>
        </w:rPr>
        <w:t>107.56%</w:t>
      </w:r>
      <w:r>
        <w:rPr/>
        <w:t>，主要是因为报告 期公司收回特种通信物联网业务货款同比下降约</w:t>
      </w:r>
      <w:r>
        <w:rPr>
          <w:rFonts w:ascii="Times New Roman" w:hAnsi="Times New Roman" w:cs="Times New Roman" w:eastAsia="Times New Roman" w:hint="default"/>
        </w:rPr>
        <w:t>3.86</w:t>
      </w:r>
      <w:r>
        <w:rPr/>
        <w:t>亿元；公司预付大额特种通信物联网业务配套采购硬件款同比增长约 </w:t>
      </w:r>
      <w:r>
        <w:rPr>
          <w:rFonts w:ascii="Times New Roman" w:hAnsi="Times New Roman" w:cs="Times New Roman" w:eastAsia="Times New Roman" w:hint="default"/>
        </w:rPr>
        <w:t>1.29</w:t>
      </w:r>
      <w:r>
        <w:rPr/>
        <w:t>亿元，两者共同影响所致。</w:t>
      </w:r>
    </w:p>
    <w:p>
      <w:pPr>
        <w:pStyle w:val="BodyText"/>
        <w:spacing w:line="300" w:lineRule="auto" w:before="52"/>
        <w:ind w:right="1131"/>
        <w:jc w:val="both"/>
      </w:pPr>
      <w:r>
        <w:rPr>
          <w:rFonts w:ascii="Times New Roman" w:hAnsi="Times New Roman" w:cs="Times New Roman" w:eastAsia="Times New Roman" w:hint="default"/>
          <w:spacing w:val="-1"/>
        </w:rPr>
        <w:t>2</w:t>
      </w:r>
      <w:r>
        <w:rPr>
          <w:spacing w:val="-1"/>
        </w:rPr>
        <w:t>、投资活动现金流入小计：报告期，公司投资活动现金流入小计比去年同期减少</w:t>
      </w:r>
      <w:r>
        <w:rPr>
          <w:rFonts w:ascii="Times New Roman" w:hAnsi="Times New Roman" w:cs="Times New Roman" w:eastAsia="Times New Roman" w:hint="default"/>
          <w:spacing w:val="-1"/>
        </w:rPr>
        <w:t>33.60%</w:t>
      </w:r>
      <w:r>
        <w:rPr>
          <w:spacing w:val="-1"/>
        </w:rPr>
        <w:t>，主要是因为报告期公司收回投资</w:t>
      </w:r>
      <w:r>
        <w:rPr>
          <w:spacing w:val="-41"/>
        </w:rPr>
        <w:t> </w:t>
      </w:r>
      <w:r>
        <w:rPr>
          <w:spacing w:val="-41"/>
        </w:rPr>
      </w:r>
      <w:r>
        <w:rPr/>
        <w:t>收到的现金同比减少</w:t>
      </w:r>
      <w:r>
        <w:rPr>
          <w:rFonts w:ascii="Times New Roman" w:hAnsi="Times New Roman" w:cs="Times New Roman" w:eastAsia="Times New Roman" w:hint="default"/>
        </w:rPr>
        <w:t>2.13</w:t>
      </w:r>
      <w:r>
        <w:rPr/>
        <w:t>亿元，及处置固定资产、无形资产和其他长期资产收回的现金净额同比减少</w:t>
      </w:r>
      <w:r>
        <w:rPr>
          <w:rFonts w:ascii="Times New Roman" w:hAnsi="Times New Roman" w:cs="Times New Roman" w:eastAsia="Times New Roman" w:hint="default"/>
        </w:rPr>
        <w:t>1.42</w:t>
      </w:r>
      <w:r>
        <w:rPr/>
        <w:t>亿元，两者共同影 响所致。</w:t>
      </w:r>
    </w:p>
    <w:p>
      <w:pPr>
        <w:pStyle w:val="BodyText"/>
        <w:spacing w:line="319" w:lineRule="auto" w:before="71"/>
        <w:ind w:right="1167"/>
        <w:jc w:val="left"/>
      </w:pPr>
      <w:r>
        <w:rPr>
          <w:rFonts w:ascii="Times New Roman" w:hAnsi="Times New Roman" w:cs="Times New Roman" w:eastAsia="Times New Roman" w:hint="default"/>
        </w:rPr>
        <w:t>3</w:t>
      </w:r>
      <w:r>
        <w:rPr/>
        <w:t>、投资活动产生的现金流量净额：报告期，公司投资活动产生的现金流量净额比去年同期减少</w:t>
      </w:r>
      <w:r>
        <w:rPr>
          <w:rFonts w:ascii="Times New Roman" w:hAnsi="Times New Roman" w:cs="Times New Roman" w:eastAsia="Times New Roman" w:hint="default"/>
        </w:rPr>
        <w:t>1.39</w:t>
      </w:r>
      <w:r>
        <w:rPr/>
        <w:t>亿元，主要是因为报告 期公司处置固定资产、无形资产和其他长期资产收回的现金净额同比减少</w:t>
      </w:r>
      <w:r>
        <w:rPr>
          <w:rFonts w:ascii="Times New Roman" w:hAnsi="Times New Roman" w:cs="Times New Roman" w:eastAsia="Times New Roman" w:hint="default"/>
        </w:rPr>
        <w:t>1.42</w:t>
      </w:r>
      <w:r>
        <w:rPr/>
        <w:t>亿元影响所致。 </w:t>
      </w:r>
      <w:r>
        <w:rPr>
          <w:rFonts w:ascii="Times New Roman" w:hAnsi="Times New Roman" w:cs="Times New Roman" w:eastAsia="Times New Roman" w:hint="default"/>
        </w:rPr>
        <w:t>4</w:t>
      </w:r>
      <w:r>
        <w:rPr/>
        <w:t>、筹资活动现金流入小计：报告期，筹资活动现金流入小计比去年同期减少</w:t>
      </w:r>
      <w:r>
        <w:rPr>
          <w:rFonts w:ascii="Times New Roman" w:hAnsi="Times New Roman" w:cs="Times New Roman" w:eastAsia="Times New Roman" w:hint="default"/>
        </w:rPr>
        <w:t>0.70</w:t>
      </w:r>
      <w:r>
        <w:rPr/>
        <w:t>亿元，主要是因为报告期公司取得借款收</w:t>
      </w:r>
    </w:p>
    <w:p>
      <w:pPr>
        <w:pStyle w:val="BodyText"/>
        <w:spacing w:line="319" w:lineRule="auto"/>
        <w:ind w:right="0"/>
        <w:jc w:val="left"/>
      </w:pPr>
      <w:r>
        <w:rPr/>
        <w:t>到的现金同比减少</w:t>
      </w:r>
      <w:r>
        <w:rPr>
          <w:rFonts w:ascii="Times New Roman" w:hAnsi="Times New Roman" w:cs="Times New Roman" w:eastAsia="Times New Roman" w:hint="default"/>
        </w:rPr>
        <w:t>0.70</w:t>
      </w:r>
      <w:r>
        <w:rPr/>
        <w:t>亿元影响所致。 </w:t>
      </w:r>
      <w:r>
        <w:rPr>
          <w:rFonts w:ascii="Times New Roman" w:hAnsi="Times New Roman" w:cs="Times New Roman" w:eastAsia="Times New Roman" w:hint="default"/>
          <w:spacing w:val="-1"/>
        </w:rPr>
        <w:t>5</w:t>
      </w:r>
      <w:r>
        <w:rPr>
          <w:spacing w:val="-1"/>
        </w:rPr>
        <w:t>、筹资活动现金流出小计：报告期，筹资活动现金流出小计比去年同期减少</w:t>
      </w:r>
      <w:r>
        <w:rPr>
          <w:rFonts w:ascii="Times New Roman" w:hAnsi="Times New Roman" w:cs="Times New Roman" w:eastAsia="Times New Roman" w:hint="default"/>
          <w:spacing w:val="-1"/>
        </w:rPr>
        <w:t>73.91%</w:t>
      </w:r>
      <w:r>
        <w:rPr>
          <w:spacing w:val="-1"/>
        </w:rPr>
        <w:t>，主要是因为报告期公司股票回购支付</w:t>
      </w:r>
      <w:r>
        <w:rPr>
          <w:spacing w:val="-41"/>
        </w:rPr>
        <w:t> </w:t>
      </w:r>
      <w:r>
        <w:rPr>
          <w:spacing w:val="-41"/>
        </w:rPr>
      </w:r>
      <w:r>
        <w:rPr/>
        <w:t>的现金同比增加</w:t>
      </w:r>
      <w:r>
        <w:rPr>
          <w:rFonts w:ascii="Times New Roman" w:hAnsi="Times New Roman" w:cs="Times New Roman" w:eastAsia="Times New Roman" w:hint="default"/>
        </w:rPr>
        <w:t>0.07</w:t>
      </w:r>
      <w:r>
        <w:rPr/>
        <w:t>亿元；偿还银行贷款及利息支付的现金同比减少</w:t>
      </w:r>
      <w:r>
        <w:rPr>
          <w:rFonts w:ascii="Times New Roman" w:hAnsi="Times New Roman" w:cs="Times New Roman" w:eastAsia="Times New Roman" w:hint="default"/>
        </w:rPr>
        <w:t>1.57</w:t>
      </w:r>
      <w:r>
        <w:rPr/>
        <w:t>亿元，两者共同影响所致。</w:t>
      </w:r>
    </w:p>
    <w:p>
      <w:pPr>
        <w:pStyle w:val="BodyText"/>
        <w:spacing w:line="300" w:lineRule="auto" w:before="37"/>
        <w:ind w:right="1131"/>
        <w:jc w:val="both"/>
      </w:pPr>
      <w:r>
        <w:rPr>
          <w:rFonts w:ascii="Times New Roman" w:hAnsi="Times New Roman" w:cs="Times New Roman" w:eastAsia="Times New Roman" w:hint="default"/>
        </w:rPr>
        <w:t>6</w:t>
      </w:r>
      <w:r>
        <w:rPr/>
        <w:t>、筹资活动产生的现金流量净额：报告期，筹资活动产生的现金流量净额比去年同期增加</w:t>
      </w:r>
      <w:r>
        <w:rPr>
          <w:rFonts w:ascii="Times New Roman" w:hAnsi="Times New Roman" w:cs="Times New Roman" w:eastAsia="Times New Roman" w:hint="default"/>
        </w:rPr>
        <w:t>0.80</w:t>
      </w:r>
      <w:r>
        <w:rPr/>
        <w:t>亿元，主要是因为报告期公 </w:t>
      </w:r>
      <w:r>
        <w:rPr>
          <w:spacing w:val="-1"/>
        </w:rPr>
        <w:t>司偿还银行贷款及利息支付的现金减少额超过公司取得借款收到的现金减少额</w:t>
      </w:r>
      <w:r>
        <w:rPr>
          <w:rFonts w:ascii="Times New Roman" w:hAnsi="Times New Roman" w:cs="Times New Roman" w:eastAsia="Times New Roman" w:hint="default"/>
          <w:spacing w:val="-1"/>
        </w:rPr>
        <w:t>0.87</w:t>
      </w:r>
      <w:r>
        <w:rPr>
          <w:spacing w:val="-1"/>
        </w:rPr>
        <w:t>亿元，与公司股票回购支付的现金同比增</w:t>
      </w:r>
      <w:r>
        <w:rPr>
          <w:spacing w:val="-71"/>
        </w:rPr>
        <w:t> </w:t>
      </w:r>
      <w:r>
        <w:rPr>
          <w:spacing w:val="-71"/>
        </w:rPr>
      </w:r>
      <w:r>
        <w:rPr/>
        <w:t>加</w:t>
      </w:r>
      <w:r>
        <w:rPr>
          <w:rFonts w:ascii="Times New Roman" w:hAnsi="Times New Roman" w:cs="Times New Roman" w:eastAsia="Times New Roman" w:hint="default"/>
        </w:rPr>
        <w:t>0.07</w:t>
      </w:r>
      <w:r>
        <w:rPr/>
        <w:t>亿元，共同影响所致。</w:t>
      </w:r>
    </w:p>
    <w:p>
      <w:pPr>
        <w:pStyle w:val="BodyText"/>
        <w:spacing w:line="240" w:lineRule="auto" w:before="53"/>
        <w:ind w:right="0"/>
        <w:jc w:val="both"/>
      </w:pPr>
      <w:r>
        <w:rPr>
          <w:rFonts w:ascii="Times New Roman" w:hAnsi="Times New Roman" w:cs="Times New Roman" w:eastAsia="Times New Roman" w:hint="default"/>
        </w:rPr>
        <w:t>7</w:t>
      </w:r>
      <w:r>
        <w:rPr/>
        <w:t>、现金及现金等价物净增加额：报告期，公司现金及现金等价物净增加额比去年同期减少</w:t>
      </w:r>
      <w:r>
        <w:rPr>
          <w:rFonts w:ascii="Times New Roman" w:hAnsi="Times New Roman" w:cs="Times New Roman" w:eastAsia="Times New Roman" w:hint="default"/>
        </w:rPr>
        <w:t>164.98%</w:t>
      </w:r>
      <w:r>
        <w:rPr/>
        <w:t>，主要是因为报告期公</w:t>
      </w:r>
    </w:p>
    <w:p>
      <w:pPr>
        <w:spacing w:after="0" w:line="240" w:lineRule="auto"/>
        <w:jc w:val="both"/>
        <w:sectPr>
          <w:pgSz w:w="11910" w:h="16840"/>
          <w:pgMar w:header="906" w:footer="1018" w:top="1100" w:bottom="1200" w:left="1020" w:right="0"/>
        </w:sectPr>
      </w:pPr>
    </w:p>
    <w:p>
      <w:pPr>
        <w:spacing w:line="240" w:lineRule="auto" w:before="11"/>
        <w:rPr>
          <w:rFonts w:ascii="宋体" w:hAnsi="宋体" w:cs="宋体" w:eastAsia="宋体" w:hint="default"/>
          <w:sz w:val="22"/>
          <w:szCs w:val="22"/>
        </w:rPr>
      </w:pPr>
    </w:p>
    <w:p>
      <w:pPr>
        <w:pStyle w:val="BodyText"/>
        <w:spacing w:line="357" w:lineRule="auto" w:before="44"/>
        <w:ind w:right="3732"/>
        <w:jc w:val="left"/>
      </w:pPr>
      <w:r>
        <w:rPr/>
        <w:t>司上述经营、投资、筹资活动产生的现金流量与去年同期相比发生变化，共同影响所致。 报告期内公司经营活动产生的现金净流量与本年度净利润存在重大差异的原因说明</w:t>
      </w:r>
    </w:p>
    <w:p>
      <w:pPr>
        <w:pStyle w:val="BodyText"/>
        <w:spacing w:line="240" w:lineRule="auto" w:before="28"/>
        <w:ind w:right="0"/>
        <w:jc w:val="left"/>
      </w:pPr>
      <w:r>
        <w:rPr/>
        <w:t>√ 适用 □ 不适用</w:t>
      </w:r>
    </w:p>
    <w:p>
      <w:pPr>
        <w:pStyle w:val="BodyText"/>
        <w:spacing w:line="240" w:lineRule="auto" w:before="116"/>
        <w:ind w:right="0"/>
        <w:jc w:val="left"/>
      </w:pPr>
      <w:r>
        <w:rPr/>
        <w:t>报告期公司经营活动产生的现金净流量</w:t>
      </w:r>
      <w:r>
        <w:rPr>
          <w:rFonts w:ascii="Times New Roman" w:hAnsi="Times New Roman" w:cs="Times New Roman" w:eastAsia="Times New Roman" w:hint="default"/>
        </w:rPr>
        <w:t>-4,445.18</w:t>
      </w:r>
      <w:r>
        <w:rPr/>
        <w:t>万元，本年度归属于母公司所有者的净利润</w:t>
      </w:r>
      <w:r>
        <w:rPr>
          <w:rFonts w:ascii="Times New Roman" w:hAnsi="Times New Roman" w:cs="Times New Roman" w:eastAsia="Times New Roman" w:hint="default"/>
        </w:rPr>
        <w:t>8,676.92</w:t>
      </w:r>
      <w:r>
        <w:rPr/>
        <w:t>万元，两者的差异为</w:t>
      </w:r>
    </w:p>
    <w:p>
      <w:pPr>
        <w:pStyle w:val="BodyText"/>
        <w:spacing w:line="240" w:lineRule="auto" w:before="62"/>
        <w:ind w:right="0"/>
        <w:jc w:val="left"/>
      </w:pPr>
      <w:r>
        <w:rPr>
          <w:rFonts w:ascii="Times New Roman" w:hAnsi="Times New Roman" w:cs="Times New Roman" w:eastAsia="Times New Roman" w:hint="default"/>
        </w:rPr>
        <w:t>13,122.10</w:t>
      </w:r>
      <w:r>
        <w:rPr/>
        <w:t>万元。主要是公司预付大额特种通信物联网业务配套采购硬件款同比增长所致。</w:t>
      </w:r>
    </w:p>
    <w:p>
      <w:pPr>
        <w:spacing w:line="240" w:lineRule="auto" w:before="0"/>
        <w:rPr>
          <w:rFonts w:ascii="宋体" w:hAnsi="宋体" w:cs="宋体" w:eastAsia="宋体" w:hint="default"/>
          <w:sz w:val="24"/>
          <w:szCs w:val="24"/>
        </w:rPr>
      </w:pPr>
    </w:p>
    <w:p>
      <w:pPr>
        <w:pStyle w:val="Heading2"/>
        <w:spacing w:line="240" w:lineRule="auto"/>
        <w:ind w:right="0"/>
        <w:jc w:val="left"/>
        <w:rPr>
          <w:b w:val="0"/>
          <w:bCs w:val="0"/>
        </w:rPr>
      </w:pPr>
      <w:r>
        <w:rPr/>
        <w:t>三、非主营业务分析</w:t>
      </w:r>
      <w:r>
        <w:rPr>
          <w:b w:val="0"/>
          <w:bCs w:val="0"/>
        </w:rPr>
      </w:r>
    </w:p>
    <w:p>
      <w:pPr>
        <w:spacing w:line="240" w:lineRule="auto" w:before="2"/>
        <w:rPr>
          <w:rFonts w:ascii="宋体" w:hAnsi="宋体" w:cs="宋体" w:eastAsia="宋体" w:hint="default"/>
          <w:b/>
          <w:bCs/>
          <w:sz w:val="23"/>
          <w:szCs w:val="23"/>
        </w:rPr>
      </w:pPr>
    </w:p>
    <w:p>
      <w:pPr>
        <w:pStyle w:val="BodyText"/>
        <w:spacing w:line="240" w:lineRule="auto" w:before="44"/>
        <w:ind w:right="0"/>
        <w:jc w:val="left"/>
      </w:pPr>
      <w:r>
        <w:rPr/>
        <w:t>√ 适用 □ 不适用</w:t>
      </w:r>
    </w:p>
    <w:p>
      <w:pPr>
        <w:pStyle w:val="BodyText"/>
        <w:spacing w:line="240" w:lineRule="auto" w:before="116"/>
        <w:ind w:left="0" w:right="1132"/>
        <w:jc w:val="right"/>
      </w:pPr>
      <w:r>
        <w:rPr>
          <w:spacing w:val="-1"/>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523"/>
        <w:gridCol w:w="1916"/>
        <w:gridCol w:w="1623"/>
        <w:gridCol w:w="2253"/>
        <w:gridCol w:w="2254"/>
      </w:tblGrid>
      <w:tr>
        <w:trPr>
          <w:trHeight w:val="402" w:hRule="exact"/>
        </w:trPr>
        <w:tc>
          <w:tcPr>
            <w:tcW w:w="1523"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62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76" w:right="0"/>
              <w:jc w:val="left"/>
              <w:rPr>
                <w:rFonts w:ascii="宋体" w:hAnsi="宋体" w:cs="宋体" w:eastAsia="宋体" w:hint="default"/>
                <w:sz w:val="18"/>
                <w:szCs w:val="18"/>
              </w:rPr>
            </w:pPr>
            <w:r>
              <w:rPr>
                <w:rFonts w:ascii="宋体" w:hAnsi="宋体" w:cs="宋体" w:eastAsia="宋体" w:hint="default"/>
                <w:sz w:val="18"/>
                <w:szCs w:val="18"/>
              </w:rPr>
              <w:t>占利润总额比例</w:t>
            </w:r>
          </w:p>
        </w:tc>
        <w:tc>
          <w:tcPr>
            <w:tcW w:w="2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581" w:right="0"/>
              <w:jc w:val="left"/>
              <w:rPr>
                <w:rFonts w:ascii="宋体" w:hAnsi="宋体" w:cs="宋体" w:eastAsia="宋体" w:hint="default"/>
                <w:sz w:val="18"/>
                <w:szCs w:val="18"/>
              </w:rPr>
            </w:pPr>
            <w:r>
              <w:rPr>
                <w:rFonts w:ascii="宋体" w:hAnsi="宋体" w:cs="宋体" w:eastAsia="宋体" w:hint="default"/>
                <w:sz w:val="18"/>
                <w:szCs w:val="18"/>
              </w:rPr>
              <w:t>形成原因说明</w:t>
            </w:r>
          </w:p>
        </w:tc>
        <w:tc>
          <w:tcPr>
            <w:tcW w:w="225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02" w:right="0"/>
              <w:jc w:val="left"/>
              <w:rPr>
                <w:rFonts w:ascii="宋体" w:hAnsi="宋体" w:cs="宋体" w:eastAsia="宋体" w:hint="default"/>
                <w:sz w:val="18"/>
                <w:szCs w:val="18"/>
              </w:rPr>
            </w:pPr>
            <w:r>
              <w:rPr>
                <w:rFonts w:ascii="宋体" w:hAnsi="宋体" w:cs="宋体" w:eastAsia="宋体" w:hint="default"/>
                <w:sz w:val="18"/>
                <w:szCs w:val="18"/>
              </w:rPr>
              <w:t>是否具有可持续性</w:t>
            </w:r>
          </w:p>
        </w:tc>
      </w:tr>
      <w:tr>
        <w:trPr>
          <w:trHeight w:val="1338" w:hRule="exact"/>
        </w:trPr>
        <w:tc>
          <w:tcPr>
            <w:tcW w:w="152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投资收益</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16,273,521.96</w:t>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17.86%</w:t>
            </w:r>
            <w:r>
              <w:rPr>
                <w:rFonts w:ascii="Times New Roman"/>
                <w:sz w:val="18"/>
              </w:rPr>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3" w:right="158"/>
              <w:jc w:val="both"/>
              <w:rPr>
                <w:rFonts w:ascii="宋体" w:hAnsi="宋体" w:cs="宋体" w:eastAsia="宋体" w:hint="default"/>
                <w:sz w:val="18"/>
                <w:szCs w:val="18"/>
              </w:rPr>
            </w:pPr>
            <w:r>
              <w:rPr>
                <w:rFonts w:ascii="宋体" w:hAnsi="宋体" w:cs="宋体" w:eastAsia="宋体" w:hint="default"/>
                <w:sz w:val="18"/>
                <w:szCs w:val="18"/>
              </w:rPr>
              <w:t>权益法核算的长期股权投 资收益及委托他人投资或 管理资产的投资收益等组 成</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52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02" w:right="148"/>
              <w:jc w:val="left"/>
              <w:rPr>
                <w:rFonts w:ascii="宋体" w:hAnsi="宋体" w:cs="宋体" w:eastAsia="宋体" w:hint="default"/>
                <w:sz w:val="18"/>
                <w:szCs w:val="18"/>
              </w:rPr>
            </w:pPr>
            <w:r>
              <w:rPr>
                <w:rFonts w:ascii="宋体" w:hAnsi="宋体" w:cs="宋体" w:eastAsia="宋体" w:hint="default"/>
                <w:sz w:val="18"/>
                <w:szCs w:val="18"/>
              </w:rPr>
              <w:t>公允价值变动损 益</w:t>
            </w:r>
          </w:p>
        </w:tc>
        <w:tc>
          <w:tcPr>
            <w:tcW w:w="1916" w:type="dxa"/>
            <w:tcBorders>
              <w:top w:val="single" w:sz="4" w:space="0" w:color="000000"/>
              <w:left w:val="single" w:sz="4" w:space="0" w:color="000000"/>
              <w:bottom w:val="single" w:sz="4" w:space="0" w:color="000000"/>
              <w:right w:val="single" w:sz="4" w:space="0" w:color="000000"/>
            </w:tcBorders>
          </w:tcPr>
          <w:p>
            <w:pP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2253" w:type="dxa"/>
            <w:tcBorders>
              <w:top w:val="single" w:sz="4" w:space="0" w:color="000000"/>
              <w:left w:val="single" w:sz="4" w:space="0" w:color="000000"/>
              <w:bottom w:val="single" w:sz="4" w:space="0" w:color="000000"/>
              <w:right w:val="single" w:sz="4" w:space="0" w:color="000000"/>
            </w:tcBorders>
          </w:tcPr>
          <w:p>
            <w:pPr/>
          </w:p>
        </w:tc>
        <w:tc>
          <w:tcPr>
            <w:tcW w:w="225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2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资产减值</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-16,589,413.46</w:t>
            </w:r>
            <w:r>
              <w:rPr>
                <w:rFonts w:ascii="Times New Roman"/>
                <w:sz w:val="18"/>
              </w:rPr>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95"/>
                <w:sz w:val="18"/>
              </w:rPr>
              <w:t>-18.21%</w:t>
            </w:r>
            <w:r>
              <w:rPr>
                <w:rFonts w:ascii="Times New Roman"/>
                <w:sz w:val="18"/>
              </w:rPr>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3" w:right="159"/>
              <w:jc w:val="left"/>
              <w:rPr>
                <w:rFonts w:ascii="宋体" w:hAnsi="宋体" w:cs="宋体" w:eastAsia="宋体" w:hint="default"/>
                <w:sz w:val="18"/>
                <w:szCs w:val="18"/>
              </w:rPr>
            </w:pPr>
            <w:r>
              <w:rPr>
                <w:rFonts w:ascii="宋体" w:hAnsi="宋体" w:cs="宋体" w:eastAsia="宋体" w:hint="default"/>
                <w:sz w:val="18"/>
                <w:szCs w:val="18"/>
              </w:rPr>
              <w:t>计提存货跌价准备、计提 商誉减值准备共同形成</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52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330,139.66</w:t>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0.36%</w:t>
            </w:r>
            <w:r>
              <w:rPr>
                <w:rFonts w:ascii="Times New Roman"/>
                <w:sz w:val="18"/>
              </w:rPr>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政府奖励款等形成</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52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营业外支出</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188,950.07</w:t>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0.21%</w:t>
            </w:r>
            <w:r>
              <w:rPr>
                <w:rFonts w:ascii="Times New Roman"/>
                <w:sz w:val="18"/>
              </w:rPr>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捐款捐赠等形成</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5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信用减值</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-2,085,162.69</w:t>
            </w:r>
            <w:r>
              <w:rPr>
                <w:rFonts w:ascii="Times New Roman"/>
                <w:sz w:val="18"/>
              </w:rPr>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95"/>
                <w:sz w:val="18"/>
              </w:rPr>
              <w:t>-2.29%</w:t>
            </w:r>
            <w:r>
              <w:rPr>
                <w:rFonts w:ascii="Times New Roman"/>
                <w:sz w:val="18"/>
              </w:rPr>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3" w:right="158"/>
              <w:jc w:val="left"/>
              <w:rPr>
                <w:rFonts w:ascii="宋体" w:hAnsi="宋体" w:cs="宋体" w:eastAsia="宋体" w:hint="default"/>
                <w:sz w:val="18"/>
                <w:szCs w:val="18"/>
              </w:rPr>
            </w:pPr>
            <w:r>
              <w:rPr>
                <w:rFonts w:ascii="宋体" w:hAnsi="宋体" w:cs="宋体" w:eastAsia="宋体" w:hint="default"/>
                <w:sz w:val="18"/>
                <w:szCs w:val="18"/>
              </w:rPr>
              <w:t>计提应收款项坏账准备形 成</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026" w:hRule="exact"/>
        </w:trPr>
        <w:tc>
          <w:tcPr>
            <w:tcW w:w="15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102"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19,888,949.79</w:t>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21.83%</w:t>
            </w:r>
            <w:r>
              <w:rPr>
                <w:rFonts w:ascii="Times New Roman"/>
                <w:sz w:val="18"/>
              </w:rPr>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319" w:lineRule="auto"/>
              <w:ind w:left="103" w:right="158"/>
              <w:jc w:val="left"/>
              <w:rPr>
                <w:rFonts w:ascii="宋体" w:hAnsi="宋体" w:cs="宋体" w:eastAsia="宋体" w:hint="default"/>
                <w:sz w:val="18"/>
                <w:szCs w:val="18"/>
              </w:rPr>
            </w:pPr>
            <w:r>
              <w:rPr>
                <w:rFonts w:ascii="宋体" w:hAnsi="宋体" w:cs="宋体" w:eastAsia="宋体" w:hint="default"/>
                <w:sz w:val="18"/>
                <w:szCs w:val="18"/>
              </w:rPr>
              <w:t>软件产品退税及科研项目 政府补助款等形成</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3" w:right="159"/>
              <w:jc w:val="both"/>
              <w:rPr>
                <w:rFonts w:ascii="宋体" w:hAnsi="宋体" w:cs="宋体" w:eastAsia="宋体" w:hint="default"/>
                <w:sz w:val="18"/>
                <w:szCs w:val="18"/>
              </w:rPr>
            </w:pPr>
            <w:r>
              <w:rPr>
                <w:rFonts w:ascii="宋体" w:hAnsi="宋体" w:cs="宋体" w:eastAsia="宋体" w:hint="default"/>
                <w:sz w:val="18"/>
                <w:szCs w:val="18"/>
              </w:rPr>
              <w:t>软件产品退税具有可持续 性；科研项目政府补助款 不具有可持续性</w:t>
            </w:r>
          </w:p>
        </w:tc>
      </w:tr>
      <w:tr>
        <w:trPr>
          <w:trHeight w:val="402" w:hRule="exact"/>
        </w:trPr>
        <w:tc>
          <w:tcPr>
            <w:tcW w:w="15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资产处置收益</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5"/>
                <w:sz w:val="18"/>
              </w:rPr>
              <w:t>-577,486.26</w:t>
            </w:r>
            <w:r>
              <w:rPr>
                <w:rFonts w:ascii="Times New Roman"/>
                <w:sz w:val="18"/>
              </w:rPr>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w w:val="95"/>
                <w:sz w:val="18"/>
              </w:rPr>
              <w:t>-0.63%</w:t>
            </w:r>
            <w:r>
              <w:rPr>
                <w:rFonts w:ascii="Times New Roman"/>
                <w:sz w:val="18"/>
              </w:rPr>
            </w:r>
          </w:p>
        </w:tc>
        <w:tc>
          <w:tcPr>
            <w:tcW w:w="2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处置非流动资产形成</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line="240" w:lineRule="auto" w:before="1"/>
        <w:rPr>
          <w:rFonts w:ascii="宋体" w:hAnsi="宋体" w:cs="宋体" w:eastAsia="宋体" w:hint="default"/>
          <w:sz w:val="18"/>
          <w:szCs w:val="18"/>
        </w:rPr>
      </w:pPr>
    </w:p>
    <w:p>
      <w:pPr>
        <w:pStyle w:val="Heading2"/>
        <w:spacing w:line="240" w:lineRule="auto" w:before="26"/>
        <w:ind w:right="0"/>
        <w:jc w:val="left"/>
        <w:rPr>
          <w:b w:val="0"/>
          <w:bCs w:val="0"/>
        </w:rPr>
      </w:pPr>
      <w:r>
        <w:rPr/>
        <w:t>四、资产及负债状况分析</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r>
        <w:rPr>
          <w:rFonts w:ascii="Times New Roman" w:hAnsi="Times New Roman" w:cs="Times New Roman" w:eastAsia="Times New Roman" w:hint="default"/>
        </w:rPr>
        <w:t>1</w:t>
      </w:r>
      <w:r>
        <w:rPr/>
        <w:t>、资产构成重大变动情况</w:t>
      </w:r>
      <w:r>
        <w:rPr>
          <w:b w:val="0"/>
          <w:bCs w:val="0"/>
        </w:rPr>
      </w:r>
    </w:p>
    <w:p>
      <w:pPr>
        <w:spacing w:line="240" w:lineRule="auto" w:before="1"/>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906" w:footer="1018" w:top="1100" w:bottom="1200" w:left="1020" w:right="0"/>
        </w:sectPr>
      </w:pPr>
    </w:p>
    <w:p>
      <w:pPr>
        <w:pStyle w:val="BodyText"/>
        <w:spacing w:line="240" w:lineRule="auto" w:before="44"/>
        <w:ind w:right="-20"/>
        <w:jc w:val="left"/>
      </w:pPr>
      <w:r>
        <w:rPr/>
        <w:t>公司</w:t>
      </w:r>
      <w:r>
        <w:rPr>
          <w:spacing w:val="-45"/>
        </w:rPr>
        <w:t> </w:t>
      </w:r>
      <w:r>
        <w:rPr>
          <w:rFonts w:ascii="Times New Roman" w:hAnsi="Times New Roman" w:cs="Times New Roman" w:eastAsia="Times New Roman" w:hint="default"/>
        </w:rPr>
        <w:t>2019 </w:t>
      </w:r>
      <w:r>
        <w:rPr/>
        <w:t>年起首次执行新金融工具准则、新收入准则或新租赁准则且调整执行当年年初财务报表相关项目</w:t>
      </w:r>
    </w:p>
    <w:p>
      <w:pPr>
        <w:pStyle w:val="BodyText"/>
        <w:spacing w:line="240" w:lineRule="auto" w:before="102"/>
        <w:ind w:right="-20"/>
        <w:jc w:val="left"/>
      </w:pPr>
      <w:r>
        <w:rPr/>
        <w:t>√ 适用 □ 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pStyle w:val="BodyText"/>
        <w:spacing w:line="240" w:lineRule="auto"/>
        <w:ind w:right="0"/>
        <w:jc w:val="left"/>
      </w:pPr>
      <w:r>
        <w:rPr/>
        <w:t>单位：元</w:t>
      </w:r>
    </w:p>
    <w:p>
      <w:pPr>
        <w:spacing w:after="0" w:line="240" w:lineRule="auto"/>
        <w:jc w:val="left"/>
        <w:sectPr>
          <w:type w:val="continuous"/>
          <w:pgSz w:w="11910" w:h="16840"/>
          <w:pgMar w:top="1100" w:bottom="1200" w:left="1020" w:right="0"/>
          <w:cols w:num="2" w:equalWidth="0">
            <w:col w:w="8484" w:space="434"/>
            <w:col w:w="1972"/>
          </w:cols>
        </w:sectPr>
      </w:pP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8"/>
        <w:gridCol w:w="1164"/>
        <w:gridCol w:w="1063"/>
        <w:gridCol w:w="1195"/>
        <w:gridCol w:w="1063"/>
        <w:gridCol w:w="798"/>
        <w:gridCol w:w="2918"/>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3D3D3"/>
          </w:tcPr>
          <w:p>
            <w:pPr/>
          </w:p>
        </w:tc>
        <w:tc>
          <w:tcPr>
            <w:tcW w:w="2227"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7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年末</w:t>
            </w:r>
          </w:p>
        </w:tc>
        <w:tc>
          <w:tcPr>
            <w:tcW w:w="2258"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74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年初</w:t>
            </w:r>
          </w:p>
        </w:tc>
        <w:tc>
          <w:tcPr>
            <w:tcW w:w="798"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1"/>
              <w:ind w:right="0"/>
              <w:jc w:val="left"/>
              <w:rPr>
                <w:rFonts w:ascii="宋体" w:hAnsi="宋体" w:cs="宋体" w:eastAsia="宋体" w:hint="default"/>
                <w:sz w:val="19"/>
                <w:szCs w:val="19"/>
              </w:rPr>
            </w:pPr>
          </w:p>
          <w:p>
            <w:pPr>
              <w:pStyle w:val="TableParagraph"/>
              <w:spacing w:line="316" w:lineRule="auto"/>
              <w:ind w:left="303" w:right="122" w:hanging="180"/>
              <w:jc w:val="left"/>
              <w:rPr>
                <w:rFonts w:ascii="宋体" w:hAnsi="宋体" w:cs="宋体" w:eastAsia="宋体" w:hint="default"/>
                <w:sz w:val="18"/>
                <w:szCs w:val="18"/>
              </w:rPr>
            </w:pPr>
            <w:r>
              <w:rPr>
                <w:rFonts w:ascii="宋体" w:hAnsi="宋体" w:cs="宋体" w:eastAsia="宋体" w:hint="default"/>
                <w:sz w:val="18"/>
                <w:szCs w:val="18"/>
              </w:rPr>
              <w:t>比重增 减</w:t>
            </w:r>
          </w:p>
        </w:tc>
        <w:tc>
          <w:tcPr>
            <w:tcW w:w="2918"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left="913" w:right="0"/>
              <w:jc w:val="left"/>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713" w:hRule="exact"/>
        </w:trPr>
        <w:tc>
          <w:tcPr>
            <w:tcW w:w="1368" w:type="dxa"/>
            <w:vMerge/>
            <w:tcBorders>
              <w:left w:val="single" w:sz="4" w:space="0" w:color="000000"/>
              <w:bottom w:val="single" w:sz="4" w:space="0" w:color="000000"/>
              <w:right w:val="single" w:sz="4" w:space="0" w:color="000000"/>
            </w:tcBorders>
            <w:shd w:val="clear" w:color="auto" w:fill="D3D3D3"/>
          </w:tcPr>
          <w:p>
            <w:pPr/>
          </w:p>
        </w:tc>
        <w:tc>
          <w:tcPr>
            <w:tcW w:w="116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0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49"/>
              <w:ind w:left="345" w:right="165" w:hanging="180"/>
              <w:jc w:val="left"/>
              <w:rPr>
                <w:rFonts w:ascii="宋体" w:hAnsi="宋体" w:cs="宋体" w:eastAsia="宋体" w:hint="default"/>
                <w:sz w:val="18"/>
                <w:szCs w:val="18"/>
              </w:rPr>
            </w:pPr>
            <w:r>
              <w:rPr>
                <w:rFonts w:ascii="宋体" w:hAnsi="宋体" w:cs="宋体" w:eastAsia="宋体" w:hint="default"/>
                <w:sz w:val="18"/>
                <w:szCs w:val="18"/>
              </w:rPr>
              <w:t>占总资产 比例</w:t>
            </w:r>
          </w:p>
        </w:tc>
        <w:tc>
          <w:tcPr>
            <w:tcW w:w="11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0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49"/>
              <w:ind w:left="346" w:right="165" w:hanging="180"/>
              <w:jc w:val="left"/>
              <w:rPr>
                <w:rFonts w:ascii="宋体" w:hAnsi="宋体" w:cs="宋体" w:eastAsia="宋体" w:hint="default"/>
                <w:sz w:val="18"/>
                <w:szCs w:val="18"/>
              </w:rPr>
            </w:pPr>
            <w:r>
              <w:rPr>
                <w:rFonts w:ascii="宋体" w:hAnsi="宋体" w:cs="宋体" w:eastAsia="宋体" w:hint="default"/>
                <w:sz w:val="18"/>
                <w:szCs w:val="18"/>
              </w:rPr>
              <w:t>占总资产 比例</w:t>
            </w:r>
          </w:p>
        </w:tc>
        <w:tc>
          <w:tcPr>
            <w:tcW w:w="798" w:type="dxa"/>
            <w:vMerge/>
            <w:tcBorders>
              <w:left w:val="single" w:sz="4" w:space="0" w:color="000000"/>
              <w:bottom w:val="single" w:sz="4" w:space="0" w:color="000000"/>
              <w:right w:val="single" w:sz="4" w:space="0" w:color="000000"/>
            </w:tcBorders>
            <w:shd w:val="clear" w:color="auto" w:fill="D3D3D3"/>
          </w:tcPr>
          <w:p>
            <w:pPr/>
          </w:p>
        </w:tc>
        <w:tc>
          <w:tcPr>
            <w:tcW w:w="2918" w:type="dxa"/>
            <w:vMerge/>
            <w:tcBorders>
              <w:left w:val="single" w:sz="4" w:space="0" w:color="000000"/>
              <w:bottom w:val="single" w:sz="4" w:space="0" w:color="000000"/>
              <w:right w:val="single" w:sz="4" w:space="0" w:color="000000"/>
            </w:tcBorders>
            <w:shd w:val="clear" w:color="auto" w:fill="D3D3D3"/>
          </w:tcPr>
          <w:p>
            <w:pPr/>
          </w:p>
        </w:tc>
      </w:tr>
      <w:tr>
        <w:trPr>
          <w:trHeight w:val="713" w:hRule="exact"/>
        </w:trPr>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503,576,108.</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14</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395" w:right="0"/>
              <w:jc w:val="left"/>
              <w:rPr>
                <w:rFonts w:ascii="Times New Roman" w:hAnsi="Times New Roman" w:cs="Times New Roman" w:eastAsia="Times New Roman" w:hint="default"/>
                <w:sz w:val="18"/>
                <w:szCs w:val="18"/>
              </w:rPr>
            </w:pPr>
            <w:r>
              <w:rPr>
                <w:rFonts w:ascii="Times New Roman"/>
                <w:sz w:val="18"/>
              </w:rPr>
              <w:t>21.43%</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774,995,915.</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93</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396" w:right="0"/>
              <w:jc w:val="left"/>
              <w:rPr>
                <w:rFonts w:ascii="Times New Roman" w:hAnsi="Times New Roman" w:cs="Times New Roman" w:eastAsia="Times New Roman" w:hint="default"/>
                <w:sz w:val="18"/>
                <w:szCs w:val="18"/>
              </w:rPr>
            </w:pPr>
            <w:r>
              <w:rPr>
                <w:rFonts w:ascii="Times New Roman"/>
                <w:sz w:val="18"/>
              </w:rPr>
              <w:t>34.43%</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w w:val="95"/>
                <w:sz w:val="18"/>
              </w:rPr>
              <w:t>-13.00</w:t>
            </w:r>
            <w:r>
              <w:rPr>
                <w:rFonts w:ascii="Times New Roman"/>
                <w:sz w:val="18"/>
              </w:rPr>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69"/>
              <w:ind w:left="102" w:right="101"/>
              <w:jc w:val="left"/>
              <w:rPr>
                <w:rFonts w:ascii="宋体" w:hAnsi="宋体" w:cs="宋体" w:eastAsia="宋体" w:hint="default"/>
                <w:sz w:val="18"/>
                <w:szCs w:val="18"/>
              </w:rPr>
            </w:pPr>
            <w:r>
              <w:rPr>
                <w:rFonts w:ascii="宋体" w:hAnsi="宋体" w:cs="宋体" w:eastAsia="宋体" w:hint="default"/>
                <w:sz w:val="18"/>
                <w:szCs w:val="18"/>
              </w:rPr>
              <w:t>报告期末，公司货币资金比年初减 少</w:t>
            </w:r>
            <w:r>
              <w:rPr>
                <w:rFonts w:ascii="宋体" w:hAnsi="宋体" w:cs="宋体" w:eastAsia="宋体" w:hint="default"/>
                <w:spacing w:val="-36"/>
                <w:sz w:val="18"/>
                <w:szCs w:val="18"/>
              </w:rPr>
              <w:t> </w:t>
            </w:r>
            <w:r>
              <w:rPr>
                <w:rFonts w:ascii="Times New Roman" w:hAnsi="Times New Roman" w:cs="Times New Roman" w:eastAsia="Times New Roman" w:hint="default"/>
                <w:spacing w:val="-4"/>
                <w:sz w:val="18"/>
                <w:szCs w:val="18"/>
              </w:rPr>
              <w:t>35.02%</w:t>
            </w:r>
            <w:r>
              <w:rPr>
                <w:rFonts w:ascii="宋体" w:hAnsi="宋体" w:cs="宋体" w:eastAsia="宋体" w:hint="default"/>
                <w:spacing w:val="-4"/>
                <w:sz w:val="18"/>
                <w:szCs w:val="18"/>
              </w:rPr>
              <w:t>，主要是因为报告期公司</w:t>
            </w:r>
          </w:p>
        </w:tc>
      </w:tr>
    </w:tbl>
    <w:p>
      <w:pPr>
        <w:spacing w:after="0" w:line="316" w:lineRule="auto"/>
        <w:jc w:val="left"/>
        <w:rPr>
          <w:rFonts w:ascii="宋体" w:hAnsi="宋体" w:cs="宋体" w:eastAsia="宋体" w:hint="default"/>
          <w:sz w:val="18"/>
          <w:szCs w:val="18"/>
        </w:rPr>
        <w:sectPr>
          <w:type w:val="continuous"/>
          <w:pgSz w:w="11910" w:h="16840"/>
          <w:pgMar w:top="1100" w:bottom="1200" w:left="1020" w:right="0"/>
        </w:sectPr>
      </w:pPr>
    </w:p>
    <w:p>
      <w:pPr>
        <w:spacing w:line="240" w:lineRule="auto" w:before="0"/>
        <w:rPr>
          <w:rFonts w:ascii="Times New Roman" w:hAnsi="Times New Roman" w:cs="Times New Roman" w:eastAsia="Times New Roman" w:hint="default"/>
          <w:sz w:val="29"/>
          <w:szCs w:val="29"/>
        </w:rPr>
      </w:pPr>
    </w:p>
    <w:tbl>
      <w:tblPr>
        <w:tblW w:w="0" w:type="auto"/>
        <w:jc w:val="left"/>
        <w:tblInd w:w="109" w:type="dxa"/>
        <w:tblLayout w:type="fixed"/>
        <w:tblCellMar>
          <w:top w:w="0" w:type="dxa"/>
          <w:left w:w="0" w:type="dxa"/>
          <w:bottom w:w="0" w:type="dxa"/>
          <w:right w:w="0" w:type="dxa"/>
        </w:tblCellMar>
        <w:tblLook w:val="01E0"/>
      </w:tblPr>
      <w:tblGrid>
        <w:gridCol w:w="1368"/>
        <w:gridCol w:w="1164"/>
        <w:gridCol w:w="1063"/>
        <w:gridCol w:w="1195"/>
        <w:gridCol w:w="1063"/>
        <w:gridCol w:w="798"/>
        <w:gridCol w:w="2918"/>
      </w:tblGrid>
      <w:tr>
        <w:trPr>
          <w:trHeight w:val="674" w:hRule="exact"/>
        </w:trPr>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1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102" w:right="103"/>
              <w:jc w:val="left"/>
              <w:rPr>
                <w:rFonts w:ascii="宋体" w:hAnsi="宋体" w:cs="宋体" w:eastAsia="宋体" w:hint="default"/>
                <w:sz w:val="18"/>
                <w:szCs w:val="18"/>
              </w:rPr>
            </w:pPr>
            <w:r>
              <w:rPr>
                <w:rFonts w:ascii="宋体" w:hAnsi="宋体" w:cs="宋体" w:eastAsia="宋体" w:hint="default"/>
                <w:sz w:val="18"/>
                <w:szCs w:val="18"/>
              </w:rPr>
              <w:t>购买结构性存款理财产品比年初增 加所致。</w:t>
            </w:r>
          </w:p>
        </w:tc>
      </w:tr>
      <w:tr>
        <w:trPr>
          <w:trHeight w:val="356" w:hRule="exact"/>
        </w:trPr>
        <w:tc>
          <w:tcPr>
            <w:tcW w:w="1368" w:type="dxa"/>
            <w:tcBorders>
              <w:top w:val="single" w:sz="4" w:space="0" w:color="000000"/>
              <w:left w:val="single" w:sz="4" w:space="0" w:color="000000"/>
              <w:bottom w:val="nil" w:sz="6" w:space="0" w:color="auto"/>
              <w:right w:val="single" w:sz="4" w:space="0" w:color="000000"/>
            </w:tcBorders>
            <w:shd w:val="clear" w:color="auto" w:fill="D3D3D3"/>
          </w:tcPr>
          <w:p>
            <w:pPr/>
          </w:p>
        </w:tc>
        <w:tc>
          <w:tcPr>
            <w:tcW w:w="1164"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195"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291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报告期末，公司应收账款比年初增</w:t>
            </w:r>
          </w:p>
        </w:tc>
      </w:tr>
      <w:tr>
        <w:trPr>
          <w:trHeight w:val="629" w:hRule="exact"/>
        </w:trPr>
        <w:tc>
          <w:tcPr>
            <w:tcW w:w="1368"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164"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z w:val="18"/>
              </w:rPr>
              <w:t>121,175,949.</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73</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5.16%</w:t>
            </w:r>
            <w:r>
              <w:rPr>
                <w:rFonts w:ascii="Times New Roman"/>
                <w:sz w:val="18"/>
              </w:rPr>
            </w:r>
          </w:p>
        </w:tc>
        <w:tc>
          <w:tcPr>
            <w:tcW w:w="1195"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z w:val="18"/>
              </w:rPr>
              <w:t>91,070,505.4</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7</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4.05%</w:t>
            </w:r>
            <w:r>
              <w:rPr>
                <w:rFonts w:ascii="Times New Roman"/>
                <w:sz w:val="18"/>
              </w:rPr>
            </w: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1.11%</w:t>
            </w:r>
          </w:p>
        </w:tc>
        <w:tc>
          <w:tcPr>
            <w:tcW w:w="2918" w:type="dxa"/>
            <w:tcBorders>
              <w:top w:val="nil" w:sz="6" w:space="0" w:color="auto"/>
              <w:left w:val="single" w:sz="4" w:space="0" w:color="000000"/>
              <w:bottom w:val="nil" w:sz="6" w:space="0" w:color="auto"/>
              <w:right w:val="single" w:sz="4" w:space="0" w:color="000000"/>
            </w:tcBorders>
          </w:tcPr>
          <w:p>
            <w:pPr>
              <w:pStyle w:val="TableParagraph"/>
              <w:spacing w:line="300" w:lineRule="auto" w:before="10"/>
              <w:ind w:left="102" w:right="101"/>
              <w:jc w:val="left"/>
              <w:rPr>
                <w:rFonts w:ascii="宋体" w:hAnsi="宋体" w:cs="宋体" w:eastAsia="宋体" w:hint="default"/>
                <w:sz w:val="18"/>
                <w:szCs w:val="18"/>
              </w:rPr>
            </w:pPr>
            <w:r>
              <w:rPr>
                <w:rFonts w:ascii="宋体" w:hAnsi="宋体" w:cs="宋体" w:eastAsia="宋体" w:hint="default"/>
                <w:sz w:val="18"/>
                <w:szCs w:val="18"/>
              </w:rPr>
              <w:t>加</w:t>
            </w:r>
            <w:r>
              <w:rPr>
                <w:rFonts w:ascii="宋体" w:hAnsi="宋体" w:cs="宋体" w:eastAsia="宋体" w:hint="default"/>
                <w:spacing w:val="-39"/>
                <w:sz w:val="18"/>
                <w:szCs w:val="18"/>
              </w:rPr>
              <w:t> </w:t>
            </w:r>
            <w:r>
              <w:rPr>
                <w:rFonts w:ascii="Times New Roman" w:hAnsi="Times New Roman" w:cs="Times New Roman" w:eastAsia="Times New Roman" w:hint="default"/>
                <w:spacing w:val="-4"/>
                <w:sz w:val="18"/>
                <w:szCs w:val="18"/>
              </w:rPr>
              <w:t>33.06%</w:t>
            </w:r>
            <w:r>
              <w:rPr>
                <w:rFonts w:ascii="宋体" w:hAnsi="宋体" w:cs="宋体" w:eastAsia="宋体" w:hint="default"/>
                <w:spacing w:val="-4"/>
                <w:sz w:val="18"/>
                <w:szCs w:val="18"/>
              </w:rPr>
              <w:t>，主要是因为报告期货款</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的回笼没能与销售同步实现影响所</w:t>
            </w:r>
          </w:p>
        </w:tc>
      </w:tr>
      <w:tr>
        <w:trPr>
          <w:trHeight w:val="353" w:hRule="exact"/>
        </w:trPr>
        <w:tc>
          <w:tcPr>
            <w:tcW w:w="1368" w:type="dxa"/>
            <w:tcBorders>
              <w:top w:val="nil" w:sz="6" w:space="0" w:color="auto"/>
              <w:left w:val="single" w:sz="4" w:space="0" w:color="000000"/>
              <w:bottom w:val="single" w:sz="4" w:space="0" w:color="000000"/>
              <w:right w:val="single" w:sz="4" w:space="0" w:color="000000"/>
            </w:tcBorders>
            <w:shd w:val="clear" w:color="auto" w:fill="D3D3D3"/>
          </w:tcPr>
          <w:p>
            <w:pPr/>
          </w:p>
        </w:tc>
        <w:tc>
          <w:tcPr>
            <w:tcW w:w="1164"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195"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291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致。</w:t>
            </w:r>
          </w:p>
        </w:tc>
      </w:tr>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201,828,732.</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88</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8.59%</w:t>
            </w:r>
            <w:r>
              <w:rPr>
                <w:rFonts w:ascii="Times New Roman"/>
                <w:sz w:val="18"/>
              </w:rPr>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196,152,735.</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29</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8.71%</w:t>
            </w:r>
            <w:r>
              <w:rPr>
                <w:rFonts w:ascii="Times New Roman"/>
                <w:sz w:val="18"/>
              </w:rPr>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-0.12%</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无重大变化。</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1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1195"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210,630,598.</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55</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8.96%</w:t>
            </w:r>
            <w:r>
              <w:rPr>
                <w:rFonts w:ascii="Times New Roman"/>
                <w:sz w:val="18"/>
              </w:rPr>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209,435,048.</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81</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9.30%</w:t>
            </w:r>
            <w:r>
              <w:rPr>
                <w:rFonts w:ascii="Times New Roman"/>
                <w:sz w:val="18"/>
              </w:rPr>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-0.34%</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无重大变化。</w:t>
            </w:r>
          </w:p>
        </w:tc>
      </w:tr>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177,832,871.</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02</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7.57%</w:t>
            </w:r>
            <w:r>
              <w:rPr>
                <w:rFonts w:ascii="Times New Roman"/>
                <w:sz w:val="18"/>
              </w:rPr>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194,067,865.</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01</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8.62%</w:t>
            </w:r>
            <w:r>
              <w:rPr>
                <w:rFonts w:ascii="Times New Roman"/>
                <w:sz w:val="18"/>
              </w:rPr>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-1.05%</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无重大变化。</w:t>
            </w:r>
          </w:p>
        </w:tc>
      </w:tr>
      <w:tr>
        <w:trPr>
          <w:trHeight w:val="356" w:hRule="exact"/>
        </w:trPr>
        <w:tc>
          <w:tcPr>
            <w:tcW w:w="1368" w:type="dxa"/>
            <w:tcBorders>
              <w:top w:val="single" w:sz="4" w:space="0" w:color="000000"/>
              <w:left w:val="single" w:sz="4" w:space="0" w:color="000000"/>
              <w:bottom w:val="nil" w:sz="6" w:space="0" w:color="auto"/>
              <w:right w:val="single" w:sz="4" w:space="0" w:color="000000"/>
            </w:tcBorders>
            <w:shd w:val="clear" w:color="auto" w:fill="D3D3D3"/>
          </w:tcPr>
          <w:p>
            <w:pPr/>
          </w:p>
        </w:tc>
        <w:tc>
          <w:tcPr>
            <w:tcW w:w="1164"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195" w:type="dxa"/>
            <w:vMerge w:val="restart"/>
            <w:tcBorders>
              <w:top w:val="single" w:sz="4" w:space="0" w:color="000000"/>
              <w:left w:val="single" w:sz="4" w:space="0" w:color="000000"/>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291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报告期末，在建工程比年初增加</w:t>
            </w:r>
          </w:p>
        </w:tc>
      </w:tr>
      <w:tr>
        <w:trPr>
          <w:trHeight w:val="629" w:hRule="exact"/>
        </w:trPr>
        <w:tc>
          <w:tcPr>
            <w:tcW w:w="1368"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164"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z w:val="18"/>
              </w:rPr>
              <w:t>23,124,534.6</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8</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0.98%</w:t>
            </w:r>
            <w:r>
              <w:rPr>
                <w:rFonts w:ascii="Times New Roman"/>
                <w:sz w:val="18"/>
              </w:rPr>
            </w:r>
          </w:p>
        </w:tc>
        <w:tc>
          <w:tcPr>
            <w:tcW w:w="1195" w:type="dxa"/>
            <w:vMerge/>
            <w:tcBorders>
              <w:left w:val="single" w:sz="4" w:space="0" w:color="000000"/>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0.98%</w:t>
            </w:r>
            <w:r>
              <w:rPr>
                <w:rFonts w:ascii="Times New Roman"/>
                <w:sz w:val="18"/>
              </w:rPr>
            </w:r>
          </w:p>
        </w:tc>
        <w:tc>
          <w:tcPr>
            <w:tcW w:w="2918" w:type="dxa"/>
            <w:tcBorders>
              <w:top w:val="nil" w:sz="6" w:space="0" w:color="auto"/>
              <w:left w:val="single" w:sz="4" w:space="0" w:color="000000"/>
              <w:bottom w:val="nil" w:sz="6" w:space="0" w:color="auto"/>
              <w:right w:val="single" w:sz="4" w:space="0" w:color="000000"/>
            </w:tcBorders>
          </w:tcPr>
          <w:p>
            <w:pPr>
              <w:pStyle w:val="TableParagraph"/>
              <w:spacing w:line="300" w:lineRule="auto" w:before="10"/>
              <w:ind w:left="102" w:right="103"/>
              <w:jc w:val="left"/>
              <w:rPr>
                <w:rFonts w:ascii="宋体" w:hAnsi="宋体" w:cs="宋体" w:eastAsia="宋体" w:hint="default"/>
                <w:sz w:val="18"/>
                <w:szCs w:val="18"/>
              </w:rPr>
            </w:pPr>
            <w:r>
              <w:rPr>
                <w:rFonts w:ascii="Times New Roman" w:hAnsi="Times New Roman" w:cs="Times New Roman" w:eastAsia="Times New Roman" w:hint="default"/>
                <w:sz w:val="18"/>
                <w:szCs w:val="18"/>
              </w:rPr>
              <w:t>2,312.45 </w:t>
            </w:r>
            <w:r>
              <w:rPr>
                <w:rFonts w:ascii="宋体" w:hAnsi="宋体" w:cs="宋体" w:eastAsia="宋体" w:hint="default"/>
                <w:sz w:val="18"/>
                <w:szCs w:val="18"/>
              </w:rPr>
              <w:t>万元，主要是因为子公司 智能系统购买办公楼及办公楼装修</w:t>
            </w:r>
          </w:p>
        </w:tc>
      </w:tr>
      <w:tr>
        <w:trPr>
          <w:trHeight w:val="353" w:hRule="exact"/>
        </w:trPr>
        <w:tc>
          <w:tcPr>
            <w:tcW w:w="1368" w:type="dxa"/>
            <w:tcBorders>
              <w:top w:val="nil" w:sz="6" w:space="0" w:color="auto"/>
              <w:left w:val="single" w:sz="4" w:space="0" w:color="000000"/>
              <w:bottom w:val="single" w:sz="4" w:space="0" w:color="000000"/>
              <w:right w:val="single" w:sz="4" w:space="0" w:color="000000"/>
            </w:tcBorders>
            <w:shd w:val="clear" w:color="auto" w:fill="D3D3D3"/>
          </w:tcPr>
          <w:p>
            <w:pPr/>
          </w:p>
        </w:tc>
        <w:tc>
          <w:tcPr>
            <w:tcW w:w="1164"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195" w:type="dxa"/>
            <w:vMerge/>
            <w:tcBorders>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291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影响所致。</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1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1195"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1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1195"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356" w:hRule="exact"/>
        </w:trPr>
        <w:tc>
          <w:tcPr>
            <w:tcW w:w="1368" w:type="dxa"/>
            <w:tcBorders>
              <w:top w:val="single" w:sz="4" w:space="0" w:color="000000"/>
              <w:left w:val="single" w:sz="4" w:space="0" w:color="000000"/>
              <w:bottom w:val="nil" w:sz="6" w:space="0" w:color="auto"/>
              <w:right w:val="single" w:sz="4" w:space="0" w:color="000000"/>
            </w:tcBorders>
          </w:tcPr>
          <w:p>
            <w:pPr/>
          </w:p>
        </w:tc>
        <w:tc>
          <w:tcPr>
            <w:tcW w:w="1164"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195"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291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报告期末，公司交易性金融资产比</w:t>
            </w:r>
          </w:p>
        </w:tc>
      </w:tr>
      <w:tr>
        <w:trPr>
          <w:trHeight w:val="629" w:hRule="exact"/>
        </w:trPr>
        <w:tc>
          <w:tcPr>
            <w:tcW w:w="1368"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2" w:right="173"/>
              <w:jc w:val="left"/>
              <w:rPr>
                <w:rFonts w:ascii="宋体" w:hAnsi="宋体" w:cs="宋体" w:eastAsia="宋体" w:hint="default"/>
                <w:sz w:val="18"/>
                <w:szCs w:val="18"/>
              </w:rPr>
            </w:pPr>
            <w:r>
              <w:rPr>
                <w:rFonts w:ascii="宋体" w:hAnsi="宋体" w:cs="宋体" w:eastAsia="宋体" w:hint="default"/>
                <w:sz w:val="18"/>
                <w:szCs w:val="18"/>
              </w:rPr>
              <w:t>交易性金融资 产</w:t>
            </w:r>
          </w:p>
        </w:tc>
        <w:tc>
          <w:tcPr>
            <w:tcW w:w="1164"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z w:val="18"/>
              </w:rPr>
              <w:t>379,200,000.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00</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16.14%</w:t>
            </w:r>
          </w:p>
        </w:tc>
        <w:tc>
          <w:tcPr>
            <w:tcW w:w="1195"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z w:val="18"/>
              </w:rPr>
              <w:t>238,350,000.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00</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10.59%</w:t>
            </w: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5.55%</w:t>
            </w:r>
            <w:r>
              <w:rPr>
                <w:rFonts w:ascii="Times New Roman"/>
                <w:sz w:val="18"/>
              </w:rPr>
            </w:r>
          </w:p>
        </w:tc>
        <w:tc>
          <w:tcPr>
            <w:tcW w:w="2918" w:type="dxa"/>
            <w:tcBorders>
              <w:top w:val="nil" w:sz="6" w:space="0" w:color="auto"/>
              <w:left w:val="single" w:sz="4" w:space="0" w:color="000000"/>
              <w:bottom w:val="nil" w:sz="6" w:space="0" w:color="auto"/>
              <w:right w:val="single" w:sz="4" w:space="0" w:color="000000"/>
            </w:tcBorders>
          </w:tcPr>
          <w:p>
            <w:pPr>
              <w:pStyle w:val="TableParagraph"/>
              <w:spacing w:line="300" w:lineRule="auto" w:before="10"/>
              <w:ind w:left="102" w:right="101"/>
              <w:jc w:val="left"/>
              <w:rPr>
                <w:rFonts w:ascii="宋体" w:hAnsi="宋体" w:cs="宋体" w:eastAsia="宋体" w:hint="default"/>
                <w:sz w:val="18"/>
                <w:szCs w:val="18"/>
              </w:rPr>
            </w:pPr>
            <w:r>
              <w:rPr>
                <w:rFonts w:ascii="宋体" w:hAnsi="宋体" w:cs="宋体" w:eastAsia="宋体" w:hint="default"/>
                <w:sz w:val="18"/>
                <w:szCs w:val="18"/>
              </w:rPr>
              <w:t>年初增加</w:t>
            </w:r>
            <w:r>
              <w:rPr>
                <w:rFonts w:ascii="宋体" w:hAnsi="宋体" w:cs="宋体" w:eastAsia="宋体" w:hint="default"/>
                <w:spacing w:val="-37"/>
                <w:sz w:val="18"/>
                <w:szCs w:val="18"/>
              </w:rPr>
              <w:t> </w:t>
            </w:r>
            <w:r>
              <w:rPr>
                <w:rFonts w:ascii="Times New Roman" w:hAnsi="Times New Roman" w:cs="Times New Roman" w:eastAsia="Times New Roman" w:hint="default"/>
                <w:spacing w:val="-5"/>
                <w:sz w:val="18"/>
                <w:szCs w:val="18"/>
              </w:rPr>
              <w:t>59.09%</w:t>
            </w:r>
            <w:r>
              <w:rPr>
                <w:rFonts w:ascii="宋体" w:hAnsi="宋体" w:cs="宋体" w:eastAsia="宋体" w:hint="default"/>
                <w:spacing w:val="-5"/>
                <w:sz w:val="18"/>
                <w:szCs w:val="18"/>
              </w:rPr>
              <w:t>，主要是因为报告</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期公司购买结构性存款理财产品比</w:t>
            </w:r>
          </w:p>
        </w:tc>
      </w:tr>
      <w:tr>
        <w:trPr>
          <w:trHeight w:val="353" w:hRule="exact"/>
        </w:trPr>
        <w:tc>
          <w:tcPr>
            <w:tcW w:w="1368" w:type="dxa"/>
            <w:tcBorders>
              <w:top w:val="nil" w:sz="6" w:space="0" w:color="auto"/>
              <w:left w:val="single" w:sz="4" w:space="0" w:color="000000"/>
              <w:bottom w:val="single" w:sz="4" w:space="0" w:color="000000"/>
              <w:right w:val="single" w:sz="4" w:space="0" w:color="000000"/>
            </w:tcBorders>
          </w:tcPr>
          <w:p>
            <w:pPr/>
          </w:p>
        </w:tc>
        <w:tc>
          <w:tcPr>
            <w:tcW w:w="1164"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195"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291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年初增加所致。</w:t>
            </w:r>
          </w:p>
        </w:tc>
      </w:tr>
      <w:tr>
        <w:trPr>
          <w:trHeight w:val="356" w:hRule="exact"/>
        </w:trPr>
        <w:tc>
          <w:tcPr>
            <w:tcW w:w="1368" w:type="dxa"/>
            <w:tcBorders>
              <w:top w:val="single" w:sz="4" w:space="0" w:color="000000"/>
              <w:left w:val="single" w:sz="4" w:space="0" w:color="000000"/>
              <w:bottom w:val="nil" w:sz="6" w:space="0" w:color="auto"/>
              <w:right w:val="single" w:sz="4" w:space="0" w:color="000000"/>
            </w:tcBorders>
          </w:tcPr>
          <w:p>
            <w:pPr/>
          </w:p>
        </w:tc>
        <w:tc>
          <w:tcPr>
            <w:tcW w:w="1164"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195" w:type="dxa"/>
            <w:vMerge w:val="restart"/>
            <w:tcBorders>
              <w:top w:val="single" w:sz="4" w:space="0" w:color="000000"/>
              <w:left w:val="single" w:sz="4" w:space="0" w:color="000000"/>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291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报告期末，公司应收票据比年初增</w:t>
            </w:r>
          </w:p>
        </w:tc>
      </w:tr>
      <w:tr>
        <w:trPr>
          <w:trHeight w:val="624" w:hRule="exact"/>
        </w:trPr>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16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36" w:right="0"/>
              <w:jc w:val="center"/>
              <w:rPr>
                <w:rFonts w:ascii="Times New Roman" w:hAnsi="Times New Roman" w:cs="Times New Roman" w:eastAsia="Times New Roman" w:hint="default"/>
                <w:sz w:val="18"/>
                <w:szCs w:val="18"/>
              </w:rPr>
            </w:pPr>
            <w:r>
              <w:rPr>
                <w:rFonts w:ascii="Times New Roman"/>
                <w:sz w:val="18"/>
              </w:rPr>
              <w:t>229,523.40</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0.01%</w:t>
            </w:r>
            <w:r>
              <w:rPr>
                <w:rFonts w:ascii="Times New Roman"/>
                <w:sz w:val="18"/>
              </w:rPr>
            </w:r>
          </w:p>
        </w:tc>
        <w:tc>
          <w:tcPr>
            <w:tcW w:w="1195" w:type="dxa"/>
            <w:vMerge/>
            <w:tcBorders>
              <w:left w:val="single" w:sz="4" w:space="0" w:color="000000"/>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0.01%</w:t>
            </w:r>
            <w:r>
              <w:rPr>
                <w:rFonts w:ascii="Times New Roman"/>
                <w:sz w:val="18"/>
              </w:rPr>
            </w:r>
          </w:p>
        </w:tc>
        <w:tc>
          <w:tcPr>
            <w:tcW w:w="2918" w:type="dxa"/>
            <w:tcBorders>
              <w:top w:val="nil" w:sz="6" w:space="0" w:color="auto"/>
              <w:left w:val="single" w:sz="4" w:space="0" w:color="000000"/>
              <w:bottom w:val="nil" w:sz="6" w:space="0" w:color="auto"/>
              <w:right w:val="single" w:sz="4" w:space="0" w:color="000000"/>
            </w:tcBorders>
          </w:tcPr>
          <w:p>
            <w:pPr>
              <w:pStyle w:val="TableParagraph"/>
              <w:spacing w:line="300" w:lineRule="auto" w:before="10"/>
              <w:ind w:left="102" w:right="103"/>
              <w:jc w:val="left"/>
              <w:rPr>
                <w:rFonts w:ascii="宋体" w:hAnsi="宋体" w:cs="宋体" w:eastAsia="宋体" w:hint="default"/>
                <w:sz w:val="18"/>
                <w:szCs w:val="18"/>
              </w:rPr>
            </w:pPr>
            <w:r>
              <w:rPr>
                <w:rFonts w:ascii="宋体" w:hAnsi="宋体" w:cs="宋体" w:eastAsia="宋体" w:hint="default"/>
                <w:sz w:val="18"/>
                <w:szCs w:val="18"/>
              </w:rPr>
              <w:t>加</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22.95 </w:t>
            </w:r>
            <w:r>
              <w:rPr>
                <w:rFonts w:ascii="宋体" w:hAnsi="宋体" w:cs="宋体" w:eastAsia="宋体" w:hint="default"/>
                <w:sz w:val="18"/>
                <w:szCs w:val="18"/>
              </w:rPr>
              <w:t>万元，主要是因为报告期 公司采用商业承兑汇票结算方式的</w:t>
            </w:r>
          </w:p>
        </w:tc>
      </w:tr>
      <w:tr>
        <w:trPr>
          <w:trHeight w:val="358" w:hRule="exact"/>
        </w:trPr>
        <w:tc>
          <w:tcPr>
            <w:tcW w:w="1368" w:type="dxa"/>
            <w:tcBorders>
              <w:top w:val="nil" w:sz="6" w:space="0" w:color="auto"/>
              <w:left w:val="single" w:sz="4" w:space="0" w:color="000000"/>
              <w:bottom w:val="single" w:sz="4" w:space="0" w:color="000000"/>
              <w:right w:val="single" w:sz="4" w:space="0" w:color="000000"/>
            </w:tcBorders>
          </w:tcPr>
          <w:p>
            <w:pPr/>
          </w:p>
        </w:tc>
        <w:tc>
          <w:tcPr>
            <w:tcW w:w="1164"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195" w:type="dxa"/>
            <w:vMerge/>
            <w:tcBorders>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291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业务增加所致。</w:t>
            </w:r>
          </w:p>
        </w:tc>
      </w:tr>
      <w:tr>
        <w:trPr>
          <w:trHeight w:val="356" w:hRule="exact"/>
        </w:trPr>
        <w:tc>
          <w:tcPr>
            <w:tcW w:w="1368" w:type="dxa"/>
            <w:tcBorders>
              <w:top w:val="single" w:sz="4" w:space="0" w:color="000000"/>
              <w:left w:val="single" w:sz="4" w:space="0" w:color="000000"/>
              <w:bottom w:val="nil" w:sz="6" w:space="0" w:color="auto"/>
              <w:right w:val="single" w:sz="4" w:space="0" w:color="000000"/>
            </w:tcBorders>
          </w:tcPr>
          <w:p>
            <w:pPr/>
          </w:p>
        </w:tc>
        <w:tc>
          <w:tcPr>
            <w:tcW w:w="1164"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195"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291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报告期末，公司应收款项融资比年</w:t>
            </w:r>
          </w:p>
        </w:tc>
      </w:tr>
      <w:tr>
        <w:trPr>
          <w:trHeight w:val="317" w:hRule="exact"/>
        </w:trPr>
        <w:tc>
          <w:tcPr>
            <w:tcW w:w="1368" w:type="dxa"/>
            <w:tcBorders>
              <w:top w:val="nil" w:sz="6" w:space="0" w:color="auto"/>
              <w:left w:val="single" w:sz="4" w:space="0" w:color="000000"/>
              <w:bottom w:val="nil" w:sz="6" w:space="0" w:color="auto"/>
              <w:right w:val="single" w:sz="4" w:space="0" w:color="000000"/>
            </w:tcBorders>
          </w:tcPr>
          <w:p>
            <w:pPr/>
          </w:p>
        </w:tc>
        <w:tc>
          <w:tcPr>
            <w:tcW w:w="1164"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1195"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291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初减少</w:t>
            </w:r>
            <w:r>
              <w:rPr>
                <w:rFonts w:ascii="宋体" w:hAnsi="宋体" w:cs="宋体" w:eastAsia="宋体" w:hint="default"/>
                <w:spacing w:val="-44"/>
                <w:sz w:val="18"/>
                <w:szCs w:val="18"/>
              </w:rPr>
              <w:t> </w:t>
            </w:r>
            <w:r>
              <w:rPr>
                <w:rFonts w:ascii="Times New Roman" w:hAnsi="Times New Roman" w:cs="Times New Roman" w:eastAsia="Times New Roman" w:hint="default"/>
                <w:spacing w:val="-4"/>
                <w:sz w:val="18"/>
                <w:szCs w:val="18"/>
              </w:rPr>
              <w:t>55.12%</w:t>
            </w:r>
            <w:r>
              <w:rPr>
                <w:rFonts w:ascii="宋体" w:hAnsi="宋体" w:cs="宋体" w:eastAsia="宋体" w:hint="default"/>
                <w:spacing w:val="-4"/>
                <w:sz w:val="18"/>
                <w:szCs w:val="18"/>
              </w:rPr>
              <w:t>，主要是因为报告期</w:t>
            </w:r>
          </w:p>
        </w:tc>
      </w:tr>
      <w:tr>
        <w:trPr>
          <w:trHeight w:val="312" w:hRule="exact"/>
        </w:trPr>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应收款项融资</w:t>
            </w:r>
          </w:p>
        </w:tc>
        <w:tc>
          <w:tcPr>
            <w:tcW w:w="1164"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left="226" w:right="0"/>
              <w:jc w:val="center"/>
              <w:rPr>
                <w:rFonts w:ascii="Times New Roman" w:hAnsi="Times New Roman" w:cs="Times New Roman" w:eastAsia="Times New Roman" w:hint="default"/>
                <w:sz w:val="18"/>
                <w:szCs w:val="18"/>
              </w:rPr>
            </w:pPr>
            <w:r>
              <w:rPr>
                <w:rFonts w:ascii="Times New Roman"/>
                <w:sz w:val="18"/>
              </w:rPr>
              <w:t>23,256.45</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0"/>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1195"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z w:val="18"/>
              </w:rPr>
              <w:t>51,820.94</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0"/>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0"/>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291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公司银行承兑汇票到期结算未有新</w:t>
            </w:r>
          </w:p>
        </w:tc>
      </w:tr>
      <w:tr>
        <w:trPr>
          <w:trHeight w:val="307" w:hRule="exact"/>
        </w:trPr>
        <w:tc>
          <w:tcPr>
            <w:tcW w:w="1368" w:type="dxa"/>
            <w:tcBorders>
              <w:top w:val="nil" w:sz="6" w:space="0" w:color="auto"/>
              <w:left w:val="single" w:sz="4" w:space="0" w:color="000000"/>
              <w:bottom w:val="nil" w:sz="6" w:space="0" w:color="auto"/>
              <w:right w:val="single" w:sz="4" w:space="0" w:color="000000"/>
            </w:tcBorders>
          </w:tcPr>
          <w:p>
            <w:pPr/>
          </w:p>
        </w:tc>
        <w:tc>
          <w:tcPr>
            <w:tcW w:w="1164"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1195"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291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2" w:right="0"/>
              <w:jc w:val="left"/>
              <w:rPr>
                <w:rFonts w:ascii="宋体" w:hAnsi="宋体" w:cs="宋体" w:eastAsia="宋体" w:hint="default"/>
                <w:sz w:val="18"/>
                <w:szCs w:val="18"/>
              </w:rPr>
            </w:pPr>
            <w:r>
              <w:rPr>
                <w:rFonts w:ascii="宋体" w:hAnsi="宋体" w:cs="宋体" w:eastAsia="宋体" w:hint="default"/>
                <w:sz w:val="18"/>
                <w:szCs w:val="18"/>
              </w:rPr>
              <w:t>增银行承兑汇票结算业务影响所</w:t>
            </w:r>
          </w:p>
        </w:tc>
      </w:tr>
      <w:tr>
        <w:trPr>
          <w:trHeight w:val="358" w:hRule="exact"/>
        </w:trPr>
        <w:tc>
          <w:tcPr>
            <w:tcW w:w="1368" w:type="dxa"/>
            <w:tcBorders>
              <w:top w:val="nil" w:sz="6" w:space="0" w:color="auto"/>
              <w:left w:val="single" w:sz="4" w:space="0" w:color="000000"/>
              <w:bottom w:val="single" w:sz="4" w:space="0" w:color="000000"/>
              <w:right w:val="single" w:sz="4" w:space="0" w:color="000000"/>
            </w:tcBorders>
          </w:tcPr>
          <w:p>
            <w:pPr/>
          </w:p>
        </w:tc>
        <w:tc>
          <w:tcPr>
            <w:tcW w:w="1164"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195"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291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致。</w:t>
            </w:r>
          </w:p>
        </w:tc>
      </w:tr>
      <w:tr>
        <w:trPr>
          <w:trHeight w:val="356" w:hRule="exact"/>
        </w:trPr>
        <w:tc>
          <w:tcPr>
            <w:tcW w:w="1368" w:type="dxa"/>
            <w:tcBorders>
              <w:top w:val="single" w:sz="4" w:space="0" w:color="000000"/>
              <w:left w:val="single" w:sz="4" w:space="0" w:color="000000"/>
              <w:bottom w:val="nil" w:sz="6" w:space="0" w:color="auto"/>
              <w:right w:val="single" w:sz="4" w:space="0" w:color="000000"/>
            </w:tcBorders>
          </w:tcPr>
          <w:p>
            <w:pPr/>
          </w:p>
        </w:tc>
        <w:tc>
          <w:tcPr>
            <w:tcW w:w="1164"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195"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291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报告期末，公司预付款项比年初增</w:t>
            </w:r>
          </w:p>
        </w:tc>
      </w:tr>
      <w:tr>
        <w:trPr>
          <w:trHeight w:val="629" w:hRule="exact"/>
        </w:trPr>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164"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z w:val="18"/>
              </w:rPr>
              <w:t>508,668,368.</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08</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21.65%</w:t>
            </w:r>
          </w:p>
        </w:tc>
        <w:tc>
          <w:tcPr>
            <w:tcW w:w="1195"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z w:val="18"/>
              </w:rPr>
              <w:t>308,783,403.</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76</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13.72%</w:t>
            </w: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7.93%</w:t>
            </w:r>
            <w:r>
              <w:rPr>
                <w:rFonts w:ascii="Times New Roman"/>
                <w:sz w:val="18"/>
              </w:rPr>
            </w:r>
          </w:p>
        </w:tc>
        <w:tc>
          <w:tcPr>
            <w:tcW w:w="2918" w:type="dxa"/>
            <w:tcBorders>
              <w:top w:val="nil" w:sz="6" w:space="0" w:color="auto"/>
              <w:left w:val="single" w:sz="4" w:space="0" w:color="000000"/>
              <w:bottom w:val="nil" w:sz="6" w:space="0" w:color="auto"/>
              <w:right w:val="single" w:sz="4" w:space="0" w:color="000000"/>
            </w:tcBorders>
          </w:tcPr>
          <w:p>
            <w:pPr>
              <w:pStyle w:val="TableParagraph"/>
              <w:spacing w:line="300" w:lineRule="auto" w:before="10"/>
              <w:ind w:left="102" w:right="101"/>
              <w:jc w:val="left"/>
              <w:rPr>
                <w:rFonts w:ascii="宋体" w:hAnsi="宋体" w:cs="宋体" w:eastAsia="宋体" w:hint="default"/>
                <w:sz w:val="18"/>
                <w:szCs w:val="18"/>
              </w:rPr>
            </w:pPr>
            <w:r>
              <w:rPr>
                <w:rFonts w:ascii="宋体" w:hAnsi="宋体" w:cs="宋体" w:eastAsia="宋体" w:hint="default"/>
                <w:sz w:val="18"/>
                <w:szCs w:val="18"/>
              </w:rPr>
              <w:t>加</w:t>
            </w:r>
            <w:r>
              <w:rPr>
                <w:rFonts w:ascii="宋体" w:hAnsi="宋体" w:cs="宋体" w:eastAsia="宋体" w:hint="default"/>
                <w:spacing w:val="-39"/>
                <w:sz w:val="18"/>
                <w:szCs w:val="18"/>
              </w:rPr>
              <w:t> </w:t>
            </w:r>
            <w:r>
              <w:rPr>
                <w:rFonts w:ascii="Times New Roman" w:hAnsi="Times New Roman" w:cs="Times New Roman" w:eastAsia="Times New Roman" w:hint="default"/>
                <w:spacing w:val="-4"/>
                <w:sz w:val="18"/>
                <w:szCs w:val="18"/>
              </w:rPr>
              <w:t>64.73%</w:t>
            </w:r>
            <w:r>
              <w:rPr>
                <w:rFonts w:ascii="宋体" w:hAnsi="宋体" w:cs="宋体" w:eastAsia="宋体" w:hint="default"/>
                <w:spacing w:val="-4"/>
                <w:sz w:val="18"/>
                <w:szCs w:val="18"/>
              </w:rPr>
              <w:t>，主要是因为报告期公司</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预付大额特种通信物联网业务配套</w:t>
            </w:r>
          </w:p>
        </w:tc>
      </w:tr>
      <w:tr>
        <w:trPr>
          <w:trHeight w:val="353" w:hRule="exact"/>
        </w:trPr>
        <w:tc>
          <w:tcPr>
            <w:tcW w:w="1368" w:type="dxa"/>
            <w:tcBorders>
              <w:top w:val="nil" w:sz="6" w:space="0" w:color="auto"/>
              <w:left w:val="single" w:sz="4" w:space="0" w:color="000000"/>
              <w:bottom w:val="single" w:sz="4" w:space="0" w:color="000000"/>
              <w:right w:val="single" w:sz="4" w:space="0" w:color="000000"/>
            </w:tcBorders>
          </w:tcPr>
          <w:p>
            <w:pPr/>
          </w:p>
        </w:tc>
        <w:tc>
          <w:tcPr>
            <w:tcW w:w="1164"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195"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291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采购硬件款所致。</w:t>
            </w:r>
          </w:p>
        </w:tc>
      </w:tr>
      <w:tr>
        <w:trPr>
          <w:trHeight w:val="356" w:hRule="exact"/>
        </w:trPr>
        <w:tc>
          <w:tcPr>
            <w:tcW w:w="1368" w:type="dxa"/>
            <w:tcBorders>
              <w:top w:val="single" w:sz="4" w:space="0" w:color="000000"/>
              <w:left w:val="single" w:sz="4" w:space="0" w:color="000000"/>
              <w:bottom w:val="nil" w:sz="6" w:space="0" w:color="auto"/>
              <w:right w:val="single" w:sz="4" w:space="0" w:color="000000"/>
            </w:tcBorders>
          </w:tcPr>
          <w:p>
            <w:pPr/>
          </w:p>
        </w:tc>
        <w:tc>
          <w:tcPr>
            <w:tcW w:w="1164"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195"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291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报告期末，公司其他流动资产比年</w:t>
            </w:r>
          </w:p>
        </w:tc>
      </w:tr>
      <w:tr>
        <w:trPr>
          <w:trHeight w:val="317" w:hRule="exact"/>
        </w:trPr>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164"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1" w:right="0"/>
              <w:jc w:val="center"/>
              <w:rPr>
                <w:rFonts w:ascii="Times New Roman" w:hAnsi="Times New Roman" w:cs="Times New Roman" w:eastAsia="Times New Roman" w:hint="default"/>
                <w:sz w:val="18"/>
                <w:szCs w:val="18"/>
              </w:rPr>
            </w:pPr>
            <w:r>
              <w:rPr>
                <w:rFonts w:ascii="Times New Roman"/>
                <w:sz w:val="18"/>
              </w:rPr>
              <w:t>2,690,045.47</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2"/>
                <w:sz w:val="18"/>
              </w:rPr>
              <w:t>0.11%</w:t>
            </w:r>
          </w:p>
        </w:tc>
        <w:tc>
          <w:tcPr>
            <w:tcW w:w="1195"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611,910.72</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w w:val="95"/>
                <w:sz w:val="18"/>
              </w:rPr>
              <w:t>0.03%</w:t>
            </w:r>
            <w:r>
              <w:rPr>
                <w:rFonts w:ascii="Times New Roman"/>
                <w:sz w:val="18"/>
              </w:rPr>
            </w: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w w:val="95"/>
                <w:sz w:val="18"/>
              </w:rPr>
              <w:t>0.08%</w:t>
            </w:r>
            <w:r>
              <w:rPr>
                <w:rFonts w:ascii="Times New Roman"/>
                <w:sz w:val="18"/>
              </w:rPr>
            </w:r>
          </w:p>
        </w:tc>
        <w:tc>
          <w:tcPr>
            <w:tcW w:w="291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初增加</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339.61%</w:t>
            </w:r>
            <w:r>
              <w:rPr>
                <w:rFonts w:ascii="宋体" w:hAnsi="宋体" w:cs="宋体" w:eastAsia="宋体" w:hint="default"/>
                <w:sz w:val="18"/>
                <w:szCs w:val="18"/>
              </w:rPr>
              <w:t>，主要是因为报告</w:t>
            </w:r>
          </w:p>
        </w:tc>
      </w:tr>
      <w:tr>
        <w:trPr>
          <w:trHeight w:val="353" w:hRule="exact"/>
        </w:trPr>
        <w:tc>
          <w:tcPr>
            <w:tcW w:w="1368" w:type="dxa"/>
            <w:tcBorders>
              <w:top w:val="nil" w:sz="6" w:space="0" w:color="auto"/>
              <w:left w:val="single" w:sz="4" w:space="0" w:color="000000"/>
              <w:bottom w:val="single" w:sz="4" w:space="0" w:color="000000"/>
              <w:right w:val="single" w:sz="4" w:space="0" w:color="000000"/>
            </w:tcBorders>
          </w:tcPr>
          <w:p>
            <w:pPr/>
          </w:p>
        </w:tc>
        <w:tc>
          <w:tcPr>
            <w:tcW w:w="1164"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195"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291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期公司预缴企业所得税增加所致。</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10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 w:right="0"/>
              <w:jc w:val="center"/>
              <w:rPr>
                <w:rFonts w:ascii="Times New Roman" w:hAnsi="Times New Roman" w:cs="Times New Roman" w:eastAsia="Times New Roman" w:hint="default"/>
                <w:sz w:val="18"/>
                <w:szCs w:val="18"/>
              </w:rPr>
            </w:pPr>
            <w:r>
              <w:rPr>
                <w:rFonts w:ascii="Times New Roman"/>
                <w:sz w:val="18"/>
              </w:rPr>
              <w:t>21,030,000.0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0.90%</w:t>
            </w:r>
            <w:r>
              <w:rPr>
                <w:rFonts w:ascii="Times New Roman"/>
                <w:sz w:val="18"/>
              </w:rPr>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101"/>
              <w:jc w:val="right"/>
              <w:rPr>
                <w:rFonts w:ascii="Times New Roman" w:hAnsi="Times New Roman" w:cs="Times New Roman" w:eastAsia="Times New Roman" w:hint="default"/>
                <w:sz w:val="18"/>
                <w:szCs w:val="18"/>
              </w:rPr>
            </w:pPr>
            <w:r>
              <w:rPr>
                <w:rFonts w:ascii="Times New Roman"/>
                <w:sz w:val="18"/>
              </w:rPr>
              <w:t>21,030,000.0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0.93%</w:t>
            </w:r>
            <w:r>
              <w:rPr>
                <w:rFonts w:ascii="Times New Roman"/>
                <w:sz w:val="18"/>
              </w:rPr>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-0.03%</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无重大变化。</w:t>
            </w:r>
          </w:p>
        </w:tc>
      </w:tr>
    </w:tbl>
    <w:p>
      <w:pPr>
        <w:spacing w:after="0" w:line="240" w:lineRule="auto"/>
        <w:jc w:val="left"/>
        <w:rPr>
          <w:rFonts w:ascii="宋体" w:hAnsi="宋体" w:cs="宋体" w:eastAsia="宋体" w:hint="default"/>
          <w:sz w:val="18"/>
          <w:szCs w:val="18"/>
        </w:rPr>
        <w:sectPr>
          <w:pgSz w:w="11910" w:h="16840"/>
          <w:pgMar w:header="906" w:footer="1018" w:top="1100" w:bottom="1200" w:left="1020" w:right="0"/>
        </w:sectPr>
      </w:pPr>
    </w:p>
    <w:p>
      <w:pPr>
        <w:spacing w:line="240" w:lineRule="auto" w:before="0"/>
        <w:rPr>
          <w:rFonts w:ascii="Times New Roman" w:hAnsi="Times New Roman" w:cs="Times New Roman" w:eastAsia="Times New Roman" w:hint="default"/>
          <w:sz w:val="29"/>
          <w:szCs w:val="29"/>
        </w:rPr>
      </w:pPr>
    </w:p>
    <w:tbl>
      <w:tblPr>
        <w:tblW w:w="0" w:type="auto"/>
        <w:jc w:val="left"/>
        <w:tblInd w:w="109" w:type="dxa"/>
        <w:tblLayout w:type="fixed"/>
        <w:tblCellMar>
          <w:top w:w="0" w:type="dxa"/>
          <w:left w:w="0" w:type="dxa"/>
          <w:bottom w:w="0" w:type="dxa"/>
          <w:right w:w="0" w:type="dxa"/>
        </w:tblCellMar>
        <w:tblLook w:val="01E0"/>
      </w:tblPr>
      <w:tblGrid>
        <w:gridCol w:w="1368"/>
        <w:gridCol w:w="1164"/>
        <w:gridCol w:w="1063"/>
        <w:gridCol w:w="1195"/>
        <w:gridCol w:w="1063"/>
        <w:gridCol w:w="798"/>
        <w:gridCol w:w="2918"/>
      </w:tblGrid>
      <w:tr>
        <w:trPr>
          <w:trHeight w:val="362"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投资</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0</w:t>
            </w:r>
          </w:p>
        </w:tc>
        <w:tc>
          <w:tcPr>
            <w:tcW w:w="1063"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356" w:hRule="exact"/>
        </w:trPr>
        <w:tc>
          <w:tcPr>
            <w:tcW w:w="1368" w:type="dxa"/>
            <w:tcBorders>
              <w:top w:val="single" w:sz="4" w:space="0" w:color="000000"/>
              <w:left w:val="single" w:sz="4" w:space="0" w:color="000000"/>
              <w:bottom w:val="nil" w:sz="6" w:space="0" w:color="auto"/>
              <w:right w:val="single" w:sz="4" w:space="0" w:color="000000"/>
            </w:tcBorders>
          </w:tcPr>
          <w:p>
            <w:pPr/>
          </w:p>
        </w:tc>
        <w:tc>
          <w:tcPr>
            <w:tcW w:w="1164"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195"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291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报告期末，公司长期待摊费用比年</w:t>
            </w:r>
          </w:p>
        </w:tc>
      </w:tr>
      <w:tr>
        <w:trPr>
          <w:trHeight w:val="317" w:hRule="exact"/>
        </w:trPr>
        <w:tc>
          <w:tcPr>
            <w:tcW w:w="1368" w:type="dxa"/>
            <w:tcBorders>
              <w:top w:val="nil" w:sz="6" w:space="0" w:color="auto"/>
              <w:left w:val="single" w:sz="4" w:space="0" w:color="000000"/>
              <w:bottom w:val="nil" w:sz="6" w:space="0" w:color="auto"/>
              <w:right w:val="single" w:sz="4" w:space="0" w:color="000000"/>
            </w:tcBorders>
          </w:tcPr>
          <w:p>
            <w:pPr/>
          </w:p>
        </w:tc>
        <w:tc>
          <w:tcPr>
            <w:tcW w:w="1164"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1195"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291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初增加</w:t>
            </w:r>
            <w:r>
              <w:rPr>
                <w:rFonts w:ascii="宋体" w:hAnsi="宋体" w:cs="宋体" w:eastAsia="宋体" w:hint="default"/>
                <w:spacing w:val="-44"/>
                <w:sz w:val="18"/>
                <w:szCs w:val="18"/>
              </w:rPr>
              <w:t> </w:t>
            </w:r>
            <w:r>
              <w:rPr>
                <w:rFonts w:ascii="Times New Roman" w:hAnsi="Times New Roman" w:cs="Times New Roman" w:eastAsia="Times New Roman" w:hint="default"/>
                <w:spacing w:val="-4"/>
                <w:sz w:val="18"/>
                <w:szCs w:val="18"/>
              </w:rPr>
              <w:t>93.76%</w:t>
            </w:r>
            <w:r>
              <w:rPr>
                <w:rFonts w:ascii="宋体" w:hAnsi="宋体" w:cs="宋体" w:eastAsia="宋体" w:hint="default"/>
                <w:spacing w:val="-4"/>
                <w:sz w:val="18"/>
                <w:szCs w:val="18"/>
              </w:rPr>
              <w:t>，主要是因为报告期</w:t>
            </w:r>
          </w:p>
        </w:tc>
      </w:tr>
      <w:tr>
        <w:trPr>
          <w:trHeight w:val="312" w:hRule="exact"/>
        </w:trPr>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2"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164"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z w:val="18"/>
              </w:rPr>
              <w:t>5,234,172.30</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0"/>
              <w:jc w:val="right"/>
              <w:rPr>
                <w:rFonts w:ascii="Times New Roman" w:hAnsi="Times New Roman" w:cs="Times New Roman" w:eastAsia="Times New Roman" w:hint="default"/>
                <w:sz w:val="18"/>
                <w:szCs w:val="18"/>
              </w:rPr>
            </w:pPr>
            <w:r>
              <w:rPr>
                <w:rFonts w:ascii="Times New Roman"/>
                <w:w w:val="95"/>
                <w:sz w:val="18"/>
              </w:rPr>
              <w:t>0.22%</w:t>
            </w:r>
            <w:r>
              <w:rPr>
                <w:rFonts w:ascii="Times New Roman"/>
                <w:sz w:val="18"/>
              </w:rPr>
            </w:r>
          </w:p>
        </w:tc>
        <w:tc>
          <w:tcPr>
            <w:tcW w:w="1195"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z w:val="18"/>
              </w:rPr>
              <w:t>2,701,349.54</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0"/>
              <w:jc w:val="right"/>
              <w:rPr>
                <w:rFonts w:ascii="Times New Roman" w:hAnsi="Times New Roman" w:cs="Times New Roman" w:eastAsia="Times New Roman" w:hint="default"/>
                <w:sz w:val="18"/>
                <w:szCs w:val="18"/>
              </w:rPr>
            </w:pPr>
            <w:r>
              <w:rPr>
                <w:rFonts w:ascii="Times New Roman"/>
                <w:w w:val="95"/>
                <w:sz w:val="18"/>
              </w:rPr>
              <w:t>0.12%</w:t>
            </w:r>
            <w:r>
              <w:rPr>
                <w:rFonts w:ascii="Times New Roman"/>
                <w:sz w:val="18"/>
              </w:rPr>
            </w: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0"/>
              <w:jc w:val="right"/>
              <w:rPr>
                <w:rFonts w:ascii="Times New Roman" w:hAnsi="Times New Roman" w:cs="Times New Roman" w:eastAsia="Times New Roman" w:hint="default"/>
                <w:sz w:val="18"/>
                <w:szCs w:val="18"/>
              </w:rPr>
            </w:pPr>
            <w:r>
              <w:rPr>
                <w:rFonts w:ascii="Times New Roman"/>
                <w:w w:val="95"/>
                <w:sz w:val="18"/>
              </w:rPr>
              <w:t>0.10%</w:t>
            </w:r>
            <w:r>
              <w:rPr>
                <w:rFonts w:ascii="Times New Roman"/>
                <w:sz w:val="18"/>
              </w:rPr>
            </w:r>
          </w:p>
        </w:tc>
        <w:tc>
          <w:tcPr>
            <w:tcW w:w="291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2" w:right="0"/>
              <w:jc w:val="left"/>
              <w:rPr>
                <w:rFonts w:ascii="宋体" w:hAnsi="宋体" w:cs="宋体" w:eastAsia="宋体" w:hint="default"/>
                <w:sz w:val="18"/>
                <w:szCs w:val="18"/>
              </w:rPr>
            </w:pPr>
            <w:r>
              <w:rPr>
                <w:rFonts w:ascii="宋体" w:hAnsi="宋体" w:cs="宋体" w:eastAsia="宋体" w:hint="default"/>
                <w:sz w:val="18"/>
                <w:szCs w:val="18"/>
              </w:rPr>
              <w:t>公司增加长期服务费及控股子公司</w:t>
            </w:r>
          </w:p>
        </w:tc>
      </w:tr>
      <w:tr>
        <w:trPr>
          <w:trHeight w:val="307" w:hRule="exact"/>
        </w:trPr>
        <w:tc>
          <w:tcPr>
            <w:tcW w:w="1368" w:type="dxa"/>
            <w:tcBorders>
              <w:top w:val="nil" w:sz="6" w:space="0" w:color="auto"/>
              <w:left w:val="single" w:sz="4" w:space="0" w:color="000000"/>
              <w:bottom w:val="nil" w:sz="6" w:space="0" w:color="auto"/>
              <w:right w:val="single" w:sz="4" w:space="0" w:color="000000"/>
            </w:tcBorders>
          </w:tcPr>
          <w:p>
            <w:pPr/>
          </w:p>
        </w:tc>
        <w:tc>
          <w:tcPr>
            <w:tcW w:w="1164"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1195"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291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深圳一卡易增加产品推广费影响所</w:t>
            </w:r>
          </w:p>
        </w:tc>
      </w:tr>
      <w:tr>
        <w:trPr>
          <w:trHeight w:val="358" w:hRule="exact"/>
        </w:trPr>
        <w:tc>
          <w:tcPr>
            <w:tcW w:w="1368" w:type="dxa"/>
            <w:tcBorders>
              <w:top w:val="nil" w:sz="6" w:space="0" w:color="auto"/>
              <w:left w:val="single" w:sz="4" w:space="0" w:color="000000"/>
              <w:bottom w:val="single" w:sz="4" w:space="0" w:color="000000"/>
              <w:right w:val="single" w:sz="4" w:space="0" w:color="000000"/>
            </w:tcBorders>
          </w:tcPr>
          <w:p>
            <w:pPr/>
          </w:p>
        </w:tc>
        <w:tc>
          <w:tcPr>
            <w:tcW w:w="1164"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195"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291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致。</w:t>
            </w:r>
          </w:p>
        </w:tc>
      </w:tr>
      <w:tr>
        <w:trPr>
          <w:trHeight w:val="356" w:hRule="exact"/>
        </w:trPr>
        <w:tc>
          <w:tcPr>
            <w:tcW w:w="1368" w:type="dxa"/>
            <w:tcBorders>
              <w:top w:val="single" w:sz="4" w:space="0" w:color="000000"/>
              <w:left w:val="single" w:sz="4" w:space="0" w:color="000000"/>
              <w:bottom w:val="nil" w:sz="6" w:space="0" w:color="auto"/>
              <w:right w:val="single" w:sz="4" w:space="0" w:color="000000"/>
            </w:tcBorders>
          </w:tcPr>
          <w:p>
            <w:pPr/>
          </w:p>
        </w:tc>
        <w:tc>
          <w:tcPr>
            <w:tcW w:w="1164"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195"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291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报告期末，公司预收款项比年初增</w:t>
            </w:r>
          </w:p>
        </w:tc>
      </w:tr>
      <w:tr>
        <w:trPr>
          <w:trHeight w:val="629" w:hRule="exact"/>
        </w:trPr>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164"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z w:val="18"/>
              </w:rPr>
              <w:t>59,695,621.5</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4</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2.54%</w:t>
            </w:r>
            <w:r>
              <w:rPr>
                <w:rFonts w:ascii="Times New Roman"/>
                <w:sz w:val="18"/>
              </w:rPr>
            </w:r>
          </w:p>
        </w:tc>
        <w:tc>
          <w:tcPr>
            <w:tcW w:w="1195"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z w:val="18"/>
              </w:rPr>
              <w:t>43,438,836.0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7</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1.93%</w:t>
            </w:r>
            <w:r>
              <w:rPr>
                <w:rFonts w:ascii="Times New Roman"/>
                <w:sz w:val="18"/>
              </w:rPr>
            </w: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0.61%</w:t>
            </w:r>
            <w:r>
              <w:rPr>
                <w:rFonts w:ascii="Times New Roman"/>
                <w:sz w:val="18"/>
              </w:rPr>
            </w:r>
          </w:p>
        </w:tc>
        <w:tc>
          <w:tcPr>
            <w:tcW w:w="2918" w:type="dxa"/>
            <w:tcBorders>
              <w:top w:val="nil" w:sz="6" w:space="0" w:color="auto"/>
              <w:left w:val="single" w:sz="4" w:space="0" w:color="000000"/>
              <w:bottom w:val="nil" w:sz="6" w:space="0" w:color="auto"/>
              <w:right w:val="single" w:sz="4" w:space="0" w:color="000000"/>
            </w:tcBorders>
          </w:tcPr>
          <w:p>
            <w:pPr>
              <w:pStyle w:val="TableParagraph"/>
              <w:spacing w:line="300" w:lineRule="auto" w:before="10"/>
              <w:ind w:left="102" w:right="101"/>
              <w:jc w:val="left"/>
              <w:rPr>
                <w:rFonts w:ascii="宋体" w:hAnsi="宋体" w:cs="宋体" w:eastAsia="宋体" w:hint="default"/>
                <w:sz w:val="18"/>
                <w:szCs w:val="18"/>
              </w:rPr>
            </w:pPr>
            <w:r>
              <w:rPr>
                <w:rFonts w:ascii="宋体" w:hAnsi="宋体" w:cs="宋体" w:eastAsia="宋体" w:hint="default"/>
                <w:sz w:val="18"/>
                <w:szCs w:val="18"/>
              </w:rPr>
              <w:t>加</w:t>
            </w:r>
            <w:r>
              <w:rPr>
                <w:rFonts w:ascii="宋体" w:hAnsi="宋体" w:cs="宋体" w:eastAsia="宋体" w:hint="default"/>
                <w:spacing w:val="-39"/>
                <w:sz w:val="18"/>
                <w:szCs w:val="18"/>
              </w:rPr>
              <w:t> </w:t>
            </w:r>
            <w:r>
              <w:rPr>
                <w:rFonts w:ascii="Times New Roman" w:hAnsi="Times New Roman" w:cs="Times New Roman" w:eastAsia="Times New Roman" w:hint="default"/>
                <w:spacing w:val="-4"/>
                <w:sz w:val="18"/>
                <w:szCs w:val="18"/>
              </w:rPr>
              <w:t>37.42%</w:t>
            </w:r>
            <w:r>
              <w:rPr>
                <w:rFonts w:ascii="宋体" w:hAnsi="宋体" w:cs="宋体" w:eastAsia="宋体" w:hint="default"/>
                <w:spacing w:val="-4"/>
                <w:sz w:val="18"/>
                <w:szCs w:val="18"/>
              </w:rPr>
              <w:t>，主要是因为报告期公司</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收到特种通信物联网业务部分预付</w:t>
            </w:r>
          </w:p>
        </w:tc>
      </w:tr>
      <w:tr>
        <w:trPr>
          <w:trHeight w:val="353" w:hRule="exact"/>
        </w:trPr>
        <w:tc>
          <w:tcPr>
            <w:tcW w:w="1368" w:type="dxa"/>
            <w:tcBorders>
              <w:top w:val="nil" w:sz="6" w:space="0" w:color="auto"/>
              <w:left w:val="single" w:sz="4" w:space="0" w:color="000000"/>
              <w:bottom w:val="single" w:sz="4" w:space="0" w:color="000000"/>
              <w:right w:val="single" w:sz="4" w:space="0" w:color="000000"/>
            </w:tcBorders>
          </w:tcPr>
          <w:p>
            <w:pPr/>
          </w:p>
        </w:tc>
        <w:tc>
          <w:tcPr>
            <w:tcW w:w="1164"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195"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291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102" w:right="0"/>
              <w:jc w:val="left"/>
              <w:rPr>
                <w:rFonts w:ascii="宋体" w:hAnsi="宋体" w:cs="宋体" w:eastAsia="宋体" w:hint="default"/>
                <w:sz w:val="18"/>
                <w:szCs w:val="18"/>
              </w:rPr>
            </w:pPr>
            <w:r>
              <w:rPr>
                <w:rFonts w:ascii="宋体" w:hAnsi="宋体" w:cs="宋体" w:eastAsia="宋体" w:hint="default"/>
                <w:sz w:val="18"/>
                <w:szCs w:val="18"/>
              </w:rPr>
              <w:t>货款所致。</w:t>
            </w:r>
          </w:p>
        </w:tc>
      </w:tr>
      <w:tr>
        <w:trPr>
          <w:trHeight w:val="356" w:hRule="exact"/>
        </w:trPr>
        <w:tc>
          <w:tcPr>
            <w:tcW w:w="1368" w:type="dxa"/>
            <w:tcBorders>
              <w:top w:val="single" w:sz="4" w:space="0" w:color="000000"/>
              <w:left w:val="single" w:sz="4" w:space="0" w:color="000000"/>
              <w:bottom w:val="nil" w:sz="6" w:space="0" w:color="auto"/>
              <w:right w:val="single" w:sz="4" w:space="0" w:color="000000"/>
            </w:tcBorders>
          </w:tcPr>
          <w:p>
            <w:pPr/>
          </w:p>
        </w:tc>
        <w:tc>
          <w:tcPr>
            <w:tcW w:w="1164"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195"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291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报告期末，公司应交税费比年初增</w:t>
            </w:r>
          </w:p>
        </w:tc>
      </w:tr>
      <w:tr>
        <w:trPr>
          <w:trHeight w:val="629" w:hRule="exact"/>
        </w:trPr>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164"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z w:val="18"/>
              </w:rPr>
              <w:t>12,479,326.3</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9</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0.53%</w:t>
            </w:r>
            <w:r>
              <w:rPr>
                <w:rFonts w:ascii="Times New Roman"/>
                <w:sz w:val="18"/>
              </w:rPr>
            </w:r>
          </w:p>
        </w:tc>
        <w:tc>
          <w:tcPr>
            <w:tcW w:w="1195"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6,323,848.64</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0.28%</w:t>
            </w:r>
            <w:r>
              <w:rPr>
                <w:rFonts w:ascii="Times New Roman"/>
                <w:sz w:val="18"/>
              </w:rPr>
            </w: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0.25%</w:t>
            </w:r>
            <w:r>
              <w:rPr>
                <w:rFonts w:ascii="Times New Roman"/>
                <w:sz w:val="18"/>
              </w:rPr>
            </w:r>
          </w:p>
        </w:tc>
        <w:tc>
          <w:tcPr>
            <w:tcW w:w="2918" w:type="dxa"/>
            <w:tcBorders>
              <w:top w:val="nil" w:sz="6" w:space="0" w:color="auto"/>
              <w:left w:val="single" w:sz="4" w:space="0" w:color="000000"/>
              <w:bottom w:val="nil" w:sz="6" w:space="0" w:color="auto"/>
              <w:right w:val="single" w:sz="4" w:space="0" w:color="000000"/>
            </w:tcBorders>
          </w:tcPr>
          <w:p>
            <w:pPr>
              <w:pStyle w:val="TableParagraph"/>
              <w:spacing w:line="300" w:lineRule="auto" w:before="10"/>
              <w:ind w:left="102" w:right="101"/>
              <w:jc w:val="left"/>
              <w:rPr>
                <w:rFonts w:ascii="宋体" w:hAnsi="宋体" w:cs="宋体" w:eastAsia="宋体" w:hint="default"/>
                <w:sz w:val="18"/>
                <w:szCs w:val="18"/>
              </w:rPr>
            </w:pPr>
            <w:r>
              <w:rPr>
                <w:rFonts w:ascii="宋体" w:hAnsi="宋体" w:cs="宋体" w:eastAsia="宋体" w:hint="default"/>
                <w:sz w:val="18"/>
                <w:szCs w:val="18"/>
              </w:rPr>
              <w:t>加</w:t>
            </w:r>
            <w:r>
              <w:rPr>
                <w:rFonts w:ascii="宋体" w:hAnsi="宋体" w:cs="宋体" w:eastAsia="宋体" w:hint="default"/>
                <w:spacing w:val="-39"/>
                <w:sz w:val="18"/>
                <w:szCs w:val="18"/>
              </w:rPr>
              <w:t> </w:t>
            </w:r>
            <w:r>
              <w:rPr>
                <w:rFonts w:ascii="Times New Roman" w:hAnsi="Times New Roman" w:cs="Times New Roman" w:eastAsia="Times New Roman" w:hint="default"/>
                <w:spacing w:val="-4"/>
                <w:sz w:val="18"/>
                <w:szCs w:val="18"/>
              </w:rPr>
              <w:t>97.34%</w:t>
            </w:r>
            <w:r>
              <w:rPr>
                <w:rFonts w:ascii="宋体" w:hAnsi="宋体" w:cs="宋体" w:eastAsia="宋体" w:hint="default"/>
                <w:spacing w:val="-4"/>
                <w:sz w:val="18"/>
                <w:szCs w:val="18"/>
              </w:rPr>
              <w:t>，主要是因为报告期所得</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税由按月申报缴纳改成按季申报缴</w:t>
            </w:r>
          </w:p>
        </w:tc>
      </w:tr>
      <w:tr>
        <w:trPr>
          <w:trHeight w:val="353" w:hRule="exact"/>
        </w:trPr>
        <w:tc>
          <w:tcPr>
            <w:tcW w:w="1368" w:type="dxa"/>
            <w:tcBorders>
              <w:top w:val="nil" w:sz="6" w:space="0" w:color="auto"/>
              <w:left w:val="single" w:sz="4" w:space="0" w:color="000000"/>
              <w:bottom w:val="single" w:sz="4" w:space="0" w:color="000000"/>
              <w:right w:val="single" w:sz="4" w:space="0" w:color="000000"/>
            </w:tcBorders>
          </w:tcPr>
          <w:p>
            <w:pPr/>
          </w:p>
        </w:tc>
        <w:tc>
          <w:tcPr>
            <w:tcW w:w="1164"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195"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291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纳影响所致。</w:t>
            </w:r>
          </w:p>
        </w:tc>
      </w:tr>
      <w:tr>
        <w:trPr>
          <w:trHeight w:val="356" w:hRule="exact"/>
        </w:trPr>
        <w:tc>
          <w:tcPr>
            <w:tcW w:w="1368" w:type="dxa"/>
            <w:tcBorders>
              <w:top w:val="single" w:sz="4" w:space="0" w:color="000000"/>
              <w:left w:val="single" w:sz="4" w:space="0" w:color="000000"/>
              <w:bottom w:val="nil" w:sz="6" w:space="0" w:color="auto"/>
              <w:right w:val="single" w:sz="4" w:space="0" w:color="000000"/>
            </w:tcBorders>
          </w:tcPr>
          <w:p>
            <w:pPr/>
          </w:p>
        </w:tc>
        <w:tc>
          <w:tcPr>
            <w:tcW w:w="1164"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195"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291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报告期末，公司其他应付款比年初</w:t>
            </w:r>
          </w:p>
        </w:tc>
      </w:tr>
      <w:tr>
        <w:trPr>
          <w:trHeight w:val="629" w:hRule="exact"/>
        </w:trPr>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164"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z w:val="18"/>
              </w:rPr>
              <w:t>22,780,263.3</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6</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0.97%</w:t>
            </w:r>
            <w:r>
              <w:rPr>
                <w:rFonts w:ascii="Times New Roman"/>
                <w:sz w:val="18"/>
              </w:rPr>
            </w:r>
          </w:p>
        </w:tc>
        <w:tc>
          <w:tcPr>
            <w:tcW w:w="1195"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z w:val="18"/>
              </w:rPr>
              <w:t>16,939,453.2</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6</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0.75%</w:t>
            </w:r>
            <w:r>
              <w:rPr>
                <w:rFonts w:ascii="Times New Roman"/>
                <w:sz w:val="18"/>
              </w:rPr>
            </w: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0.22%</w:t>
            </w:r>
            <w:r>
              <w:rPr>
                <w:rFonts w:ascii="Times New Roman"/>
                <w:sz w:val="18"/>
              </w:rPr>
            </w:r>
          </w:p>
        </w:tc>
        <w:tc>
          <w:tcPr>
            <w:tcW w:w="2918" w:type="dxa"/>
            <w:tcBorders>
              <w:top w:val="nil" w:sz="6" w:space="0" w:color="auto"/>
              <w:left w:val="single" w:sz="4" w:space="0" w:color="000000"/>
              <w:bottom w:val="nil" w:sz="6" w:space="0" w:color="auto"/>
              <w:right w:val="single" w:sz="4" w:space="0" w:color="000000"/>
            </w:tcBorders>
          </w:tcPr>
          <w:p>
            <w:pPr>
              <w:pStyle w:val="TableParagraph"/>
              <w:spacing w:line="300" w:lineRule="auto" w:before="10"/>
              <w:ind w:left="102" w:right="101"/>
              <w:jc w:val="left"/>
              <w:rPr>
                <w:rFonts w:ascii="宋体" w:hAnsi="宋体" w:cs="宋体" w:eastAsia="宋体" w:hint="default"/>
                <w:sz w:val="18"/>
                <w:szCs w:val="18"/>
              </w:rPr>
            </w:pPr>
            <w:r>
              <w:rPr>
                <w:rFonts w:ascii="宋体" w:hAnsi="宋体" w:cs="宋体" w:eastAsia="宋体" w:hint="default"/>
                <w:sz w:val="18"/>
                <w:szCs w:val="18"/>
              </w:rPr>
              <w:t>增加</w:t>
            </w:r>
            <w:r>
              <w:rPr>
                <w:rFonts w:ascii="宋体" w:hAnsi="宋体" w:cs="宋体" w:eastAsia="宋体" w:hint="default"/>
                <w:spacing w:val="-42"/>
                <w:sz w:val="18"/>
                <w:szCs w:val="18"/>
              </w:rPr>
              <w:t> </w:t>
            </w:r>
            <w:r>
              <w:rPr>
                <w:rFonts w:ascii="Times New Roman" w:hAnsi="Times New Roman" w:cs="Times New Roman" w:eastAsia="Times New Roman" w:hint="default"/>
                <w:spacing w:val="-4"/>
                <w:sz w:val="18"/>
                <w:szCs w:val="18"/>
              </w:rPr>
              <w:t>34.48%</w:t>
            </w:r>
            <w:r>
              <w:rPr>
                <w:rFonts w:ascii="宋体" w:hAnsi="宋体" w:cs="宋体" w:eastAsia="宋体" w:hint="default"/>
                <w:spacing w:val="-4"/>
                <w:sz w:val="18"/>
                <w:szCs w:val="18"/>
              </w:rPr>
              <w:t>，主要是因为报告期公</w:t>
            </w:r>
            <w:r>
              <w:rPr>
                <w:rFonts w:ascii="宋体" w:hAnsi="宋体" w:cs="宋体" w:eastAsia="宋体" w:hint="default"/>
                <w:sz w:val="18"/>
                <w:szCs w:val="18"/>
              </w:rPr>
              <w:t> 司计提已发生尚未结算的费用影响</w:t>
            </w:r>
          </w:p>
        </w:tc>
      </w:tr>
      <w:tr>
        <w:trPr>
          <w:trHeight w:val="353" w:hRule="exact"/>
        </w:trPr>
        <w:tc>
          <w:tcPr>
            <w:tcW w:w="1368" w:type="dxa"/>
            <w:tcBorders>
              <w:top w:val="nil" w:sz="6" w:space="0" w:color="auto"/>
              <w:left w:val="single" w:sz="4" w:space="0" w:color="000000"/>
              <w:bottom w:val="single" w:sz="4" w:space="0" w:color="000000"/>
              <w:right w:val="single" w:sz="4" w:space="0" w:color="000000"/>
            </w:tcBorders>
          </w:tcPr>
          <w:p>
            <w:pPr/>
          </w:p>
        </w:tc>
        <w:tc>
          <w:tcPr>
            <w:tcW w:w="1164"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195"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291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所致。</w:t>
            </w:r>
          </w:p>
        </w:tc>
      </w:tr>
      <w:tr>
        <w:trPr>
          <w:trHeight w:val="1026"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102"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833,192.07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0.04%</w:t>
            </w:r>
            <w:r>
              <w:rPr>
                <w:rFonts w:ascii="Times New Roman"/>
                <w:sz w:val="18"/>
              </w:rPr>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74,500,100.8</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1</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3.31%</w:t>
            </w:r>
            <w:r>
              <w:rPr>
                <w:rFonts w:ascii="Times New Roman"/>
                <w:sz w:val="18"/>
              </w:rPr>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-3.27%</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102" w:right="101"/>
              <w:jc w:val="both"/>
              <w:rPr>
                <w:rFonts w:ascii="宋体" w:hAnsi="宋体" w:cs="宋体" w:eastAsia="宋体" w:hint="default"/>
                <w:sz w:val="18"/>
                <w:szCs w:val="18"/>
              </w:rPr>
            </w:pPr>
            <w:r>
              <w:rPr>
                <w:rFonts w:ascii="宋体" w:hAnsi="宋体" w:cs="宋体" w:eastAsia="宋体" w:hint="default"/>
                <w:sz w:val="18"/>
                <w:szCs w:val="18"/>
              </w:rPr>
              <w:t>报告期末，公司资本公积比年初减 少</w:t>
            </w:r>
            <w:r>
              <w:rPr>
                <w:rFonts w:ascii="宋体" w:hAnsi="宋体" w:cs="宋体" w:eastAsia="宋体" w:hint="default"/>
                <w:spacing w:val="-39"/>
                <w:sz w:val="18"/>
                <w:szCs w:val="18"/>
              </w:rPr>
              <w:t> </w:t>
            </w:r>
            <w:r>
              <w:rPr>
                <w:rFonts w:ascii="Times New Roman" w:hAnsi="Times New Roman" w:cs="Times New Roman" w:eastAsia="Times New Roman" w:hint="default"/>
                <w:spacing w:val="-4"/>
                <w:sz w:val="18"/>
                <w:szCs w:val="18"/>
              </w:rPr>
              <w:t>98.88%</w:t>
            </w:r>
            <w:r>
              <w:rPr>
                <w:rFonts w:ascii="宋体" w:hAnsi="宋体" w:cs="宋体" w:eastAsia="宋体" w:hint="default"/>
                <w:spacing w:val="-4"/>
                <w:sz w:val="18"/>
                <w:szCs w:val="18"/>
              </w:rPr>
              <w:t>，主要是因为报告期公司</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注销回购股票所致。</w:t>
            </w:r>
          </w:p>
        </w:tc>
      </w:tr>
      <w:tr>
        <w:trPr>
          <w:trHeight w:val="1026"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102" w:right="0"/>
              <w:jc w:val="left"/>
              <w:rPr>
                <w:rFonts w:ascii="宋体" w:hAnsi="宋体" w:cs="宋体" w:eastAsia="宋体" w:hint="default"/>
                <w:sz w:val="18"/>
                <w:szCs w:val="18"/>
              </w:rPr>
            </w:pPr>
            <w:r>
              <w:rPr>
                <w:rFonts w:ascii="宋体" w:hAnsi="宋体" w:cs="宋体" w:eastAsia="宋体" w:hint="default"/>
                <w:sz w:val="18"/>
                <w:szCs w:val="18"/>
              </w:rPr>
              <w:t>库存股</w:t>
            </w:r>
          </w:p>
        </w:tc>
        <w:tc>
          <w:tcPr>
            <w:tcW w:w="11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46,010,428.7</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6</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2.04%</w:t>
            </w:r>
            <w:r>
              <w:rPr>
                <w:rFonts w:ascii="Times New Roman"/>
                <w:sz w:val="18"/>
              </w:rPr>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-2.04%</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102" w:right="103"/>
              <w:jc w:val="both"/>
              <w:rPr>
                <w:rFonts w:ascii="宋体" w:hAnsi="宋体" w:cs="宋体" w:eastAsia="宋体" w:hint="default"/>
                <w:sz w:val="18"/>
                <w:szCs w:val="18"/>
              </w:rPr>
            </w:pPr>
            <w:r>
              <w:rPr>
                <w:rFonts w:ascii="宋体" w:hAnsi="宋体" w:cs="宋体" w:eastAsia="宋体" w:hint="default"/>
                <w:sz w:val="18"/>
                <w:szCs w:val="18"/>
              </w:rPr>
              <w:t>报告期末，公司库存股比年初减少 </w:t>
            </w:r>
            <w:r>
              <w:rPr>
                <w:rFonts w:ascii="Times New Roman" w:hAnsi="Times New Roman" w:cs="Times New Roman" w:eastAsia="Times New Roman" w:hint="default"/>
                <w:sz w:val="18"/>
                <w:szCs w:val="18"/>
              </w:rPr>
              <w:t>4,601.04 </w:t>
            </w:r>
            <w:r>
              <w:rPr>
                <w:rFonts w:ascii="宋体" w:hAnsi="宋体" w:cs="宋体" w:eastAsia="宋体" w:hint="default"/>
                <w:sz w:val="18"/>
                <w:szCs w:val="18"/>
              </w:rPr>
              <w:t>万元，主要是因为报告期 公司注销回购股票所致。</w:t>
            </w:r>
          </w:p>
        </w:tc>
      </w:tr>
    </w:tbl>
    <w:p>
      <w:pPr>
        <w:spacing w:line="240" w:lineRule="auto" w:before="9"/>
        <w:rPr>
          <w:rFonts w:ascii="Times New Roman" w:hAnsi="Times New Roman" w:cs="Times New Roman" w:eastAsia="Times New Roman" w:hint="default"/>
          <w:sz w:val="21"/>
          <w:szCs w:val="21"/>
        </w:rPr>
      </w:pPr>
    </w:p>
    <w:p>
      <w:pPr>
        <w:pStyle w:val="Heading3"/>
        <w:spacing w:line="240" w:lineRule="auto" w:before="35"/>
        <w:ind w:right="0"/>
        <w:jc w:val="left"/>
        <w:rPr>
          <w:b w:val="0"/>
          <w:bCs w:val="0"/>
        </w:rPr>
      </w:pPr>
      <w:r>
        <w:rPr>
          <w:rFonts w:ascii="Times New Roman" w:hAnsi="Times New Roman" w:cs="Times New Roman" w:eastAsia="Times New Roman" w:hint="default"/>
        </w:rPr>
        <w:t>2</w:t>
      </w:r>
      <w:r>
        <w:rPr/>
        <w:t>、以公允价值计量的资产和负债</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0"/>
        <w:jc w:val="left"/>
      </w:pPr>
      <w:r>
        <w:rPr/>
        <w:t>√ 适用 □ 不适用</w:t>
      </w:r>
    </w:p>
    <w:p>
      <w:pPr>
        <w:pStyle w:val="BodyText"/>
        <w:spacing w:line="240" w:lineRule="auto" w:before="116"/>
        <w:ind w:left="0" w:right="1132"/>
        <w:jc w:val="right"/>
      </w:pPr>
      <w:r>
        <w:rPr>
          <w:spacing w:val="-1"/>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092"/>
        <w:gridCol w:w="1093"/>
        <w:gridCol w:w="1091"/>
        <w:gridCol w:w="1091"/>
        <w:gridCol w:w="1091"/>
        <w:gridCol w:w="1091"/>
        <w:gridCol w:w="1091"/>
        <w:gridCol w:w="964"/>
        <w:gridCol w:w="964"/>
      </w:tblGrid>
      <w:tr>
        <w:trPr>
          <w:trHeight w:val="1338" w:hRule="exact"/>
        </w:trPr>
        <w:tc>
          <w:tcPr>
            <w:tcW w:w="10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0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270" w:right="0"/>
              <w:jc w:val="left"/>
              <w:rPr>
                <w:rFonts w:ascii="宋体" w:hAnsi="宋体" w:cs="宋体" w:eastAsia="宋体" w:hint="default"/>
                <w:sz w:val="18"/>
                <w:szCs w:val="18"/>
              </w:rPr>
            </w:pPr>
            <w:r>
              <w:rPr>
                <w:rFonts w:ascii="宋体" w:hAnsi="宋体" w:cs="宋体" w:eastAsia="宋体" w:hint="default"/>
                <w:sz w:val="18"/>
                <w:szCs w:val="18"/>
              </w:rPr>
              <w:t>期初数</w:t>
            </w:r>
          </w:p>
        </w:tc>
        <w:tc>
          <w:tcPr>
            <w:tcW w:w="10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179" w:right="179"/>
              <w:jc w:val="center"/>
              <w:rPr>
                <w:rFonts w:ascii="宋体" w:hAnsi="宋体" w:cs="宋体" w:eastAsia="宋体" w:hint="default"/>
                <w:sz w:val="18"/>
                <w:szCs w:val="18"/>
              </w:rPr>
            </w:pPr>
            <w:r>
              <w:rPr>
                <w:rFonts w:ascii="宋体" w:hAnsi="宋体" w:cs="宋体" w:eastAsia="宋体" w:hint="default"/>
                <w:sz w:val="18"/>
                <w:szCs w:val="18"/>
              </w:rPr>
              <w:t>本期公允 价值变动 损益</w:t>
            </w:r>
          </w:p>
        </w:tc>
        <w:tc>
          <w:tcPr>
            <w:tcW w:w="10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80" w:right="179"/>
              <w:jc w:val="center"/>
              <w:rPr>
                <w:rFonts w:ascii="宋体" w:hAnsi="宋体" w:cs="宋体" w:eastAsia="宋体" w:hint="default"/>
                <w:sz w:val="18"/>
                <w:szCs w:val="18"/>
              </w:rPr>
            </w:pPr>
            <w:r>
              <w:rPr>
                <w:rFonts w:ascii="宋体" w:hAnsi="宋体" w:cs="宋体" w:eastAsia="宋体" w:hint="default"/>
                <w:sz w:val="18"/>
                <w:szCs w:val="18"/>
              </w:rPr>
              <w:t>计入权益 的累计公 允价值变 动</w:t>
            </w:r>
          </w:p>
        </w:tc>
        <w:tc>
          <w:tcPr>
            <w:tcW w:w="10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6"/>
              <w:ind w:left="270" w:right="179" w:hanging="90"/>
              <w:jc w:val="left"/>
              <w:rPr>
                <w:rFonts w:ascii="宋体" w:hAnsi="宋体" w:cs="宋体" w:eastAsia="宋体" w:hint="default"/>
                <w:sz w:val="18"/>
                <w:szCs w:val="18"/>
              </w:rPr>
            </w:pPr>
            <w:r>
              <w:rPr>
                <w:rFonts w:ascii="宋体" w:hAnsi="宋体" w:cs="宋体" w:eastAsia="宋体" w:hint="default"/>
                <w:sz w:val="18"/>
                <w:szCs w:val="18"/>
              </w:rPr>
              <w:t>本期计提 的减值</w:t>
            </w:r>
          </w:p>
        </w:tc>
        <w:tc>
          <w:tcPr>
            <w:tcW w:w="10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6"/>
              <w:ind w:left="360" w:right="179" w:hanging="180"/>
              <w:jc w:val="left"/>
              <w:rPr>
                <w:rFonts w:ascii="宋体" w:hAnsi="宋体" w:cs="宋体" w:eastAsia="宋体" w:hint="default"/>
                <w:sz w:val="18"/>
                <w:szCs w:val="18"/>
              </w:rPr>
            </w:pPr>
            <w:r>
              <w:rPr>
                <w:rFonts w:ascii="宋体" w:hAnsi="宋体" w:cs="宋体" w:eastAsia="宋体" w:hint="default"/>
                <w:sz w:val="18"/>
                <w:szCs w:val="18"/>
              </w:rPr>
              <w:t>本期购买 金额</w:t>
            </w:r>
          </w:p>
        </w:tc>
        <w:tc>
          <w:tcPr>
            <w:tcW w:w="10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6"/>
              <w:ind w:left="360" w:right="179" w:hanging="180"/>
              <w:jc w:val="left"/>
              <w:rPr>
                <w:rFonts w:ascii="宋体" w:hAnsi="宋体" w:cs="宋体" w:eastAsia="宋体" w:hint="default"/>
                <w:sz w:val="18"/>
                <w:szCs w:val="18"/>
              </w:rPr>
            </w:pPr>
            <w:r>
              <w:rPr>
                <w:rFonts w:ascii="宋体" w:hAnsi="宋体" w:cs="宋体" w:eastAsia="宋体" w:hint="default"/>
                <w:sz w:val="18"/>
                <w:szCs w:val="18"/>
              </w:rPr>
              <w:t>本期出售 金额</w:t>
            </w:r>
          </w:p>
        </w:tc>
        <w:tc>
          <w:tcPr>
            <w:tcW w:w="96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117" w:right="0"/>
              <w:jc w:val="left"/>
              <w:rPr>
                <w:rFonts w:ascii="宋体" w:hAnsi="宋体" w:cs="宋体" w:eastAsia="宋体" w:hint="default"/>
                <w:sz w:val="18"/>
                <w:szCs w:val="18"/>
              </w:rPr>
            </w:pPr>
            <w:r>
              <w:rPr>
                <w:rFonts w:ascii="宋体" w:hAnsi="宋体" w:cs="宋体" w:eastAsia="宋体" w:hint="default"/>
                <w:sz w:val="18"/>
                <w:szCs w:val="18"/>
              </w:rPr>
              <w:t>其他变动</w:t>
            </w:r>
          </w:p>
        </w:tc>
        <w:tc>
          <w:tcPr>
            <w:tcW w:w="96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207" w:right="0"/>
              <w:jc w:val="left"/>
              <w:rPr>
                <w:rFonts w:ascii="宋体" w:hAnsi="宋体" w:cs="宋体" w:eastAsia="宋体" w:hint="default"/>
                <w:sz w:val="18"/>
                <w:szCs w:val="18"/>
              </w:rPr>
            </w:pPr>
            <w:r>
              <w:rPr>
                <w:rFonts w:ascii="宋体" w:hAnsi="宋体" w:cs="宋体" w:eastAsia="宋体" w:hint="default"/>
                <w:sz w:val="18"/>
                <w:szCs w:val="18"/>
              </w:rPr>
              <w:t>期末数</w:t>
            </w:r>
          </w:p>
        </w:tc>
      </w:tr>
      <w:tr>
        <w:trPr>
          <w:trHeight w:val="402" w:hRule="exact"/>
        </w:trPr>
        <w:tc>
          <w:tcPr>
            <w:tcW w:w="10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55"/>
              <w:jc w:val="center"/>
              <w:rPr>
                <w:rFonts w:ascii="宋体" w:hAnsi="宋体" w:cs="宋体" w:eastAsia="宋体" w:hint="default"/>
                <w:sz w:val="18"/>
                <w:szCs w:val="18"/>
              </w:rPr>
            </w:pPr>
            <w:r>
              <w:rPr>
                <w:rFonts w:ascii="宋体" w:hAnsi="宋体" w:cs="宋体" w:eastAsia="宋体" w:hint="default"/>
                <w:sz w:val="18"/>
                <w:szCs w:val="18"/>
              </w:rPr>
              <w:t>金融资产</w:t>
            </w:r>
          </w:p>
        </w:tc>
        <w:tc>
          <w:tcPr>
            <w:tcW w:w="8476" w:type="dxa"/>
            <w:gridSpan w:val="8"/>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361" w:hRule="exact"/>
        </w:trPr>
        <w:tc>
          <w:tcPr>
            <w:tcW w:w="1092" w:type="dxa"/>
            <w:tcBorders>
              <w:top w:val="single" w:sz="4" w:space="0" w:color="000000"/>
              <w:left w:val="single" w:sz="4" w:space="0" w:color="000000"/>
              <w:bottom w:val="nil" w:sz="6" w:space="0" w:color="auto"/>
              <w:right w:val="single" w:sz="4" w:space="0" w:color="000000"/>
            </w:tcBorders>
            <w:shd w:val="clear" w:color="auto" w:fill="D3D3D3"/>
          </w:tcPr>
          <w:p>
            <w:pPr>
              <w:pStyle w:val="TableParagraph"/>
              <w:spacing w:line="240" w:lineRule="auto" w:before="50"/>
              <w:ind w:right="2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交易性金</w:t>
            </w:r>
          </w:p>
        </w:tc>
        <w:tc>
          <w:tcPr>
            <w:tcW w:w="1093" w:type="dxa"/>
            <w:vMerge w:val="restart"/>
            <w:tcBorders>
              <w:top w:val="single" w:sz="4" w:space="0" w:color="000000"/>
              <w:left w:val="single" w:sz="4" w:space="0" w:color="000000"/>
              <w:right w:val="single" w:sz="4" w:space="0" w:color="000000"/>
            </w:tcBorders>
          </w:tcPr>
          <w:p>
            <w:pPr/>
          </w:p>
        </w:tc>
        <w:tc>
          <w:tcPr>
            <w:tcW w:w="1091" w:type="dxa"/>
            <w:vMerge w:val="restart"/>
            <w:tcBorders>
              <w:top w:val="single" w:sz="4" w:space="0" w:color="000000"/>
              <w:left w:val="single" w:sz="4" w:space="0" w:color="000000"/>
              <w:right w:val="single" w:sz="4" w:space="0" w:color="000000"/>
            </w:tcBorders>
          </w:tcPr>
          <w:p>
            <w:pPr/>
          </w:p>
        </w:tc>
        <w:tc>
          <w:tcPr>
            <w:tcW w:w="1091" w:type="dxa"/>
            <w:tcBorders>
              <w:top w:val="single" w:sz="4" w:space="0" w:color="000000"/>
              <w:left w:val="single" w:sz="4" w:space="0" w:color="000000"/>
              <w:bottom w:val="nil" w:sz="6" w:space="0" w:color="auto"/>
              <w:right w:val="single" w:sz="4" w:space="0" w:color="000000"/>
            </w:tcBorders>
          </w:tcPr>
          <w:p>
            <w:pPr/>
          </w:p>
        </w:tc>
        <w:tc>
          <w:tcPr>
            <w:tcW w:w="1091" w:type="dxa"/>
            <w:vMerge w:val="restart"/>
            <w:tcBorders>
              <w:top w:val="single" w:sz="4" w:space="0" w:color="000000"/>
              <w:left w:val="single" w:sz="4" w:space="0" w:color="000000"/>
              <w:right w:val="single" w:sz="4" w:space="0" w:color="000000"/>
            </w:tcBorders>
          </w:tcPr>
          <w:p>
            <w:pPr/>
          </w:p>
        </w:tc>
        <w:tc>
          <w:tcPr>
            <w:tcW w:w="1091" w:type="dxa"/>
            <w:vMerge w:val="restart"/>
            <w:tcBorders>
              <w:top w:val="single" w:sz="4" w:space="0" w:color="000000"/>
              <w:left w:val="single" w:sz="4" w:space="0" w:color="000000"/>
              <w:right w:val="single" w:sz="4" w:space="0" w:color="000000"/>
            </w:tcBorders>
          </w:tcPr>
          <w:p>
            <w:pPr/>
          </w:p>
        </w:tc>
        <w:tc>
          <w:tcPr>
            <w:tcW w:w="1091" w:type="dxa"/>
            <w:vMerge w:val="restart"/>
            <w:tcBorders>
              <w:top w:val="single" w:sz="4" w:space="0" w:color="000000"/>
              <w:left w:val="single" w:sz="4" w:space="0" w:color="000000"/>
              <w:right w:val="single" w:sz="4" w:space="0" w:color="000000"/>
            </w:tcBorders>
          </w:tcPr>
          <w:p>
            <w:pPr/>
          </w:p>
        </w:tc>
        <w:tc>
          <w:tcPr>
            <w:tcW w:w="964" w:type="dxa"/>
            <w:vMerge w:val="restart"/>
            <w:tcBorders>
              <w:top w:val="single" w:sz="4" w:space="0" w:color="000000"/>
              <w:left w:val="single" w:sz="4" w:space="0" w:color="000000"/>
              <w:right w:val="single" w:sz="4" w:space="0" w:color="000000"/>
            </w:tcBorders>
          </w:tcPr>
          <w:p>
            <w:pPr/>
          </w:p>
        </w:tc>
        <w:tc>
          <w:tcPr>
            <w:tcW w:w="964"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1092"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6"/>
              <w:ind w:right="1"/>
              <w:jc w:val="center"/>
              <w:rPr>
                <w:rFonts w:ascii="宋体" w:hAnsi="宋体" w:cs="宋体" w:eastAsia="宋体" w:hint="default"/>
                <w:sz w:val="18"/>
                <w:szCs w:val="18"/>
              </w:rPr>
            </w:pPr>
            <w:r>
              <w:rPr>
                <w:rFonts w:ascii="宋体" w:hAnsi="宋体" w:cs="宋体" w:eastAsia="宋体" w:hint="default"/>
                <w:spacing w:val="-5"/>
                <w:sz w:val="18"/>
                <w:szCs w:val="18"/>
              </w:rPr>
              <w:t>融资产（不</w:t>
            </w:r>
          </w:p>
        </w:tc>
        <w:tc>
          <w:tcPr>
            <w:tcW w:w="1093" w:type="dxa"/>
            <w:vMerge/>
            <w:tcBorders>
              <w:left w:val="single" w:sz="4" w:space="0" w:color="000000"/>
              <w:right w:val="single" w:sz="4" w:space="0" w:color="000000"/>
            </w:tcBorders>
          </w:tcPr>
          <w:p>
            <w:pPr/>
          </w:p>
        </w:tc>
        <w:tc>
          <w:tcPr>
            <w:tcW w:w="1091" w:type="dxa"/>
            <w:vMerge/>
            <w:tcBorders>
              <w:left w:val="single" w:sz="4" w:space="0" w:color="000000"/>
              <w:right w:val="single" w:sz="4" w:space="0" w:color="000000"/>
            </w:tcBorders>
          </w:tcPr>
          <w:p>
            <w:pPr/>
          </w:p>
        </w:tc>
        <w:tc>
          <w:tcPr>
            <w:tcW w:w="1091"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z w:val="18"/>
              </w:rPr>
              <w:t>379,200,00</w:t>
            </w:r>
          </w:p>
        </w:tc>
        <w:tc>
          <w:tcPr>
            <w:tcW w:w="1091" w:type="dxa"/>
            <w:vMerge/>
            <w:tcBorders>
              <w:left w:val="single" w:sz="4" w:space="0" w:color="000000"/>
              <w:right w:val="single" w:sz="4" w:space="0" w:color="000000"/>
            </w:tcBorders>
          </w:tcPr>
          <w:p>
            <w:pPr/>
          </w:p>
        </w:tc>
        <w:tc>
          <w:tcPr>
            <w:tcW w:w="1091" w:type="dxa"/>
            <w:vMerge/>
            <w:tcBorders>
              <w:left w:val="single" w:sz="4" w:space="0" w:color="000000"/>
              <w:right w:val="single" w:sz="4" w:space="0" w:color="000000"/>
            </w:tcBorders>
          </w:tcPr>
          <w:p>
            <w:pPr/>
          </w:p>
        </w:tc>
        <w:tc>
          <w:tcPr>
            <w:tcW w:w="1091" w:type="dxa"/>
            <w:vMerge/>
            <w:tcBorders>
              <w:left w:val="single" w:sz="4" w:space="0" w:color="000000"/>
              <w:right w:val="single" w:sz="4" w:space="0" w:color="000000"/>
            </w:tcBorders>
          </w:tcPr>
          <w:p>
            <w:pPr/>
          </w:p>
        </w:tc>
        <w:tc>
          <w:tcPr>
            <w:tcW w:w="964" w:type="dxa"/>
            <w:vMerge/>
            <w:tcBorders>
              <w:left w:val="single" w:sz="4" w:space="0" w:color="000000"/>
              <w:right w:val="single" w:sz="4" w:space="0" w:color="000000"/>
            </w:tcBorders>
          </w:tcPr>
          <w:p>
            <w:pPr/>
          </w:p>
        </w:tc>
        <w:tc>
          <w:tcPr>
            <w:tcW w:w="964"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z w:val="18"/>
              </w:rPr>
              <w:t>379,200,0</w:t>
            </w:r>
          </w:p>
        </w:tc>
      </w:tr>
      <w:tr>
        <w:trPr>
          <w:trHeight w:val="312" w:hRule="exact"/>
        </w:trPr>
        <w:tc>
          <w:tcPr>
            <w:tcW w:w="1092"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6"/>
              <w:ind w:right="155"/>
              <w:jc w:val="center"/>
              <w:rPr>
                <w:rFonts w:ascii="宋体" w:hAnsi="宋体" w:cs="宋体" w:eastAsia="宋体" w:hint="default"/>
                <w:sz w:val="18"/>
                <w:szCs w:val="18"/>
              </w:rPr>
            </w:pPr>
            <w:r>
              <w:rPr>
                <w:rFonts w:ascii="宋体" w:hAnsi="宋体" w:cs="宋体" w:eastAsia="宋体" w:hint="default"/>
                <w:sz w:val="18"/>
                <w:szCs w:val="18"/>
              </w:rPr>
              <w:t>含衍生金</w:t>
            </w:r>
          </w:p>
        </w:tc>
        <w:tc>
          <w:tcPr>
            <w:tcW w:w="1093" w:type="dxa"/>
            <w:vMerge/>
            <w:tcBorders>
              <w:left w:val="single" w:sz="4" w:space="0" w:color="000000"/>
              <w:right w:val="single" w:sz="4" w:space="0" w:color="000000"/>
            </w:tcBorders>
          </w:tcPr>
          <w:p>
            <w:pPr/>
          </w:p>
        </w:tc>
        <w:tc>
          <w:tcPr>
            <w:tcW w:w="1091" w:type="dxa"/>
            <w:vMerge/>
            <w:tcBorders>
              <w:left w:val="single" w:sz="4" w:space="0" w:color="000000"/>
              <w:right w:val="single" w:sz="4" w:space="0" w:color="000000"/>
            </w:tcBorders>
          </w:tcPr>
          <w:p>
            <w:pPr/>
          </w:p>
        </w:tc>
        <w:tc>
          <w:tcPr>
            <w:tcW w:w="1091"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z w:val="18"/>
              </w:rPr>
              <w:t>0.00</w:t>
            </w:r>
          </w:p>
        </w:tc>
        <w:tc>
          <w:tcPr>
            <w:tcW w:w="1091" w:type="dxa"/>
            <w:vMerge/>
            <w:tcBorders>
              <w:left w:val="single" w:sz="4" w:space="0" w:color="000000"/>
              <w:right w:val="single" w:sz="4" w:space="0" w:color="000000"/>
            </w:tcBorders>
          </w:tcPr>
          <w:p>
            <w:pPr/>
          </w:p>
        </w:tc>
        <w:tc>
          <w:tcPr>
            <w:tcW w:w="1091" w:type="dxa"/>
            <w:vMerge/>
            <w:tcBorders>
              <w:left w:val="single" w:sz="4" w:space="0" w:color="000000"/>
              <w:right w:val="single" w:sz="4" w:space="0" w:color="000000"/>
            </w:tcBorders>
          </w:tcPr>
          <w:p>
            <w:pPr/>
          </w:p>
        </w:tc>
        <w:tc>
          <w:tcPr>
            <w:tcW w:w="1091" w:type="dxa"/>
            <w:vMerge/>
            <w:tcBorders>
              <w:left w:val="single" w:sz="4" w:space="0" w:color="000000"/>
              <w:right w:val="single" w:sz="4" w:space="0" w:color="000000"/>
            </w:tcBorders>
          </w:tcPr>
          <w:p>
            <w:pPr/>
          </w:p>
        </w:tc>
        <w:tc>
          <w:tcPr>
            <w:tcW w:w="964" w:type="dxa"/>
            <w:vMerge/>
            <w:tcBorders>
              <w:left w:val="single" w:sz="4" w:space="0" w:color="000000"/>
              <w:right w:val="single" w:sz="4" w:space="0" w:color="000000"/>
            </w:tcBorders>
          </w:tcPr>
          <w:p>
            <w:pPr/>
          </w:p>
        </w:tc>
        <w:tc>
          <w:tcPr>
            <w:tcW w:w="964"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z w:val="18"/>
              </w:rPr>
              <w:t>00.00</w:t>
            </w:r>
          </w:p>
        </w:tc>
      </w:tr>
      <w:tr>
        <w:trPr>
          <w:trHeight w:val="353" w:hRule="exact"/>
        </w:trPr>
        <w:tc>
          <w:tcPr>
            <w:tcW w:w="1092" w:type="dxa"/>
            <w:tcBorders>
              <w:top w:val="nil" w:sz="6" w:space="0" w:color="auto"/>
              <w:left w:val="single" w:sz="4" w:space="0" w:color="000000"/>
              <w:bottom w:val="single" w:sz="4" w:space="0" w:color="000000"/>
              <w:right w:val="single" w:sz="4" w:space="0" w:color="000000"/>
            </w:tcBorders>
            <w:shd w:val="clear" w:color="auto" w:fill="D3D3D3"/>
          </w:tcPr>
          <w:p>
            <w:pPr>
              <w:pStyle w:val="TableParagraph"/>
              <w:spacing w:line="240" w:lineRule="auto" w:before="6"/>
              <w:ind w:right="155"/>
              <w:jc w:val="center"/>
              <w:rPr>
                <w:rFonts w:ascii="宋体" w:hAnsi="宋体" w:cs="宋体" w:eastAsia="宋体" w:hint="default"/>
                <w:sz w:val="18"/>
                <w:szCs w:val="18"/>
              </w:rPr>
            </w:pPr>
            <w:r>
              <w:rPr>
                <w:rFonts w:ascii="宋体" w:hAnsi="宋体" w:cs="宋体" w:eastAsia="宋体" w:hint="default"/>
                <w:sz w:val="18"/>
                <w:szCs w:val="18"/>
              </w:rPr>
              <w:t>融资产）</w:t>
            </w:r>
          </w:p>
        </w:tc>
        <w:tc>
          <w:tcPr>
            <w:tcW w:w="1093" w:type="dxa"/>
            <w:vMerge/>
            <w:tcBorders>
              <w:left w:val="single" w:sz="4" w:space="0" w:color="000000"/>
              <w:bottom w:val="single" w:sz="4" w:space="0" w:color="000000"/>
              <w:right w:val="single" w:sz="4" w:space="0" w:color="000000"/>
            </w:tcBorders>
          </w:tcPr>
          <w:p>
            <w:pPr/>
          </w:p>
        </w:tc>
        <w:tc>
          <w:tcPr>
            <w:tcW w:w="1091" w:type="dxa"/>
            <w:vMerge/>
            <w:tcBorders>
              <w:left w:val="single" w:sz="4" w:space="0" w:color="000000"/>
              <w:bottom w:val="single" w:sz="4" w:space="0" w:color="000000"/>
              <w:right w:val="single" w:sz="4" w:space="0" w:color="000000"/>
            </w:tcBorders>
          </w:tcPr>
          <w:p>
            <w:pPr/>
          </w:p>
        </w:tc>
        <w:tc>
          <w:tcPr>
            <w:tcW w:w="1091" w:type="dxa"/>
            <w:tcBorders>
              <w:top w:val="nil" w:sz="6" w:space="0" w:color="auto"/>
              <w:left w:val="single" w:sz="4" w:space="0" w:color="000000"/>
              <w:bottom w:val="single" w:sz="4" w:space="0" w:color="000000"/>
              <w:right w:val="single" w:sz="4" w:space="0" w:color="000000"/>
            </w:tcBorders>
          </w:tcPr>
          <w:p>
            <w:pPr/>
          </w:p>
        </w:tc>
        <w:tc>
          <w:tcPr>
            <w:tcW w:w="1091" w:type="dxa"/>
            <w:vMerge/>
            <w:tcBorders>
              <w:left w:val="single" w:sz="4" w:space="0" w:color="000000"/>
              <w:bottom w:val="single" w:sz="4" w:space="0" w:color="000000"/>
              <w:right w:val="single" w:sz="4" w:space="0" w:color="000000"/>
            </w:tcBorders>
          </w:tcPr>
          <w:p>
            <w:pPr/>
          </w:p>
        </w:tc>
        <w:tc>
          <w:tcPr>
            <w:tcW w:w="1091" w:type="dxa"/>
            <w:vMerge/>
            <w:tcBorders>
              <w:left w:val="single" w:sz="4" w:space="0" w:color="000000"/>
              <w:bottom w:val="single" w:sz="4" w:space="0" w:color="000000"/>
              <w:right w:val="single" w:sz="4" w:space="0" w:color="000000"/>
            </w:tcBorders>
          </w:tcPr>
          <w:p>
            <w:pPr/>
          </w:p>
        </w:tc>
        <w:tc>
          <w:tcPr>
            <w:tcW w:w="1091" w:type="dxa"/>
            <w:vMerge/>
            <w:tcBorders>
              <w:left w:val="single" w:sz="4" w:space="0" w:color="000000"/>
              <w:bottom w:val="single" w:sz="4" w:space="0" w:color="000000"/>
              <w:right w:val="single" w:sz="4" w:space="0" w:color="000000"/>
            </w:tcBorders>
          </w:tcPr>
          <w:p>
            <w:pPr/>
          </w:p>
        </w:tc>
        <w:tc>
          <w:tcPr>
            <w:tcW w:w="964" w:type="dxa"/>
            <w:vMerge/>
            <w:tcBorders>
              <w:left w:val="single" w:sz="4" w:space="0" w:color="000000"/>
              <w:bottom w:val="single" w:sz="4" w:space="0" w:color="000000"/>
              <w:right w:val="single" w:sz="4" w:space="0" w:color="000000"/>
            </w:tcBorders>
          </w:tcPr>
          <w:p>
            <w:pPr/>
          </w:p>
        </w:tc>
        <w:tc>
          <w:tcPr>
            <w:tcW w:w="964" w:type="dxa"/>
            <w:tcBorders>
              <w:top w:val="nil" w:sz="6" w:space="0" w:color="auto"/>
              <w:left w:val="single" w:sz="4" w:space="0" w:color="000000"/>
              <w:bottom w:val="single" w:sz="4" w:space="0" w:color="000000"/>
              <w:right w:val="single" w:sz="4" w:space="0" w:color="000000"/>
            </w:tcBorders>
          </w:tcPr>
          <w:p>
            <w:pPr/>
          </w:p>
        </w:tc>
      </w:tr>
      <w:tr>
        <w:trPr>
          <w:trHeight w:val="361" w:hRule="exact"/>
        </w:trPr>
        <w:tc>
          <w:tcPr>
            <w:tcW w:w="1092" w:type="dxa"/>
            <w:tcBorders>
              <w:top w:val="single" w:sz="4" w:space="0" w:color="000000"/>
              <w:left w:val="single" w:sz="4" w:space="0" w:color="000000"/>
              <w:bottom w:val="nil" w:sz="6" w:space="0" w:color="auto"/>
              <w:right w:val="single" w:sz="4" w:space="0" w:color="000000"/>
            </w:tcBorders>
            <w:shd w:val="clear" w:color="auto" w:fill="D3D3D3"/>
          </w:tcPr>
          <w:p>
            <w:pPr>
              <w:pStyle w:val="TableParagraph"/>
              <w:spacing w:line="240" w:lineRule="auto" w:before="50"/>
              <w:ind w:right="20"/>
              <w:jc w:val="center"/>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其他权益</w:t>
            </w:r>
          </w:p>
        </w:tc>
        <w:tc>
          <w:tcPr>
            <w:tcW w:w="1093" w:type="dxa"/>
            <w:vMerge w:val="restart"/>
            <w:tcBorders>
              <w:top w:val="single" w:sz="4" w:space="0" w:color="000000"/>
              <w:left w:val="single" w:sz="4" w:space="0" w:color="000000"/>
              <w:right w:val="single" w:sz="4" w:space="0" w:color="000000"/>
            </w:tcBorders>
          </w:tcPr>
          <w:p>
            <w:pPr/>
          </w:p>
        </w:tc>
        <w:tc>
          <w:tcPr>
            <w:tcW w:w="1091" w:type="dxa"/>
            <w:vMerge w:val="restart"/>
            <w:tcBorders>
              <w:top w:val="single" w:sz="4" w:space="0" w:color="000000"/>
              <w:left w:val="single" w:sz="4" w:space="0" w:color="000000"/>
              <w:right w:val="single" w:sz="4" w:space="0" w:color="000000"/>
            </w:tcBorders>
          </w:tcPr>
          <w:p>
            <w:pPr/>
          </w:p>
        </w:tc>
        <w:tc>
          <w:tcPr>
            <w:tcW w:w="109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21,030,000.</w:t>
            </w:r>
          </w:p>
        </w:tc>
        <w:tc>
          <w:tcPr>
            <w:tcW w:w="1091" w:type="dxa"/>
            <w:vMerge w:val="restart"/>
            <w:tcBorders>
              <w:top w:val="single" w:sz="4" w:space="0" w:color="000000"/>
              <w:left w:val="single" w:sz="4" w:space="0" w:color="000000"/>
              <w:right w:val="single" w:sz="4" w:space="0" w:color="000000"/>
            </w:tcBorders>
          </w:tcPr>
          <w:p>
            <w:pPr/>
          </w:p>
        </w:tc>
        <w:tc>
          <w:tcPr>
            <w:tcW w:w="1091" w:type="dxa"/>
            <w:vMerge w:val="restart"/>
            <w:tcBorders>
              <w:top w:val="single" w:sz="4" w:space="0" w:color="000000"/>
              <w:left w:val="single" w:sz="4" w:space="0" w:color="000000"/>
              <w:right w:val="single" w:sz="4" w:space="0" w:color="000000"/>
            </w:tcBorders>
          </w:tcPr>
          <w:p>
            <w:pPr/>
          </w:p>
        </w:tc>
        <w:tc>
          <w:tcPr>
            <w:tcW w:w="1091" w:type="dxa"/>
            <w:vMerge w:val="restart"/>
            <w:tcBorders>
              <w:top w:val="single" w:sz="4" w:space="0" w:color="000000"/>
              <w:left w:val="single" w:sz="4" w:space="0" w:color="000000"/>
              <w:right w:val="single" w:sz="4" w:space="0" w:color="000000"/>
            </w:tcBorders>
          </w:tcPr>
          <w:p>
            <w:pPr/>
          </w:p>
        </w:tc>
        <w:tc>
          <w:tcPr>
            <w:tcW w:w="964" w:type="dxa"/>
            <w:vMerge w:val="restart"/>
            <w:tcBorders>
              <w:top w:val="single" w:sz="4" w:space="0" w:color="000000"/>
              <w:left w:val="single" w:sz="4" w:space="0" w:color="000000"/>
              <w:right w:val="single" w:sz="4" w:space="0" w:color="000000"/>
            </w:tcBorders>
          </w:tcPr>
          <w:p>
            <w:pPr/>
          </w:p>
        </w:tc>
        <w:tc>
          <w:tcPr>
            <w:tcW w:w="96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21,030,00</w:t>
            </w:r>
          </w:p>
        </w:tc>
      </w:tr>
      <w:tr>
        <w:trPr>
          <w:trHeight w:val="353" w:hRule="exact"/>
        </w:trPr>
        <w:tc>
          <w:tcPr>
            <w:tcW w:w="1092" w:type="dxa"/>
            <w:tcBorders>
              <w:top w:val="nil" w:sz="6" w:space="0" w:color="auto"/>
              <w:left w:val="single" w:sz="4" w:space="0" w:color="000000"/>
              <w:bottom w:val="single" w:sz="4" w:space="0" w:color="000000"/>
              <w:right w:val="single" w:sz="4" w:space="0" w:color="000000"/>
            </w:tcBorders>
            <w:shd w:val="clear" w:color="auto" w:fill="D3D3D3"/>
          </w:tcPr>
          <w:p>
            <w:pPr>
              <w:pStyle w:val="TableParagraph"/>
              <w:spacing w:line="240" w:lineRule="auto" w:before="6"/>
              <w:ind w:right="155"/>
              <w:jc w:val="center"/>
              <w:rPr>
                <w:rFonts w:ascii="宋体" w:hAnsi="宋体" w:cs="宋体" w:eastAsia="宋体" w:hint="default"/>
                <w:sz w:val="18"/>
                <w:szCs w:val="18"/>
              </w:rPr>
            </w:pPr>
            <w:r>
              <w:rPr>
                <w:rFonts w:ascii="宋体" w:hAnsi="宋体" w:cs="宋体" w:eastAsia="宋体" w:hint="default"/>
                <w:sz w:val="18"/>
                <w:szCs w:val="18"/>
              </w:rPr>
              <w:t>工具投资</w:t>
            </w:r>
          </w:p>
        </w:tc>
        <w:tc>
          <w:tcPr>
            <w:tcW w:w="1093" w:type="dxa"/>
            <w:vMerge/>
            <w:tcBorders>
              <w:left w:val="single" w:sz="4" w:space="0" w:color="000000"/>
              <w:bottom w:val="single" w:sz="4" w:space="0" w:color="000000"/>
              <w:right w:val="single" w:sz="4" w:space="0" w:color="000000"/>
            </w:tcBorders>
          </w:tcPr>
          <w:p>
            <w:pPr/>
          </w:p>
        </w:tc>
        <w:tc>
          <w:tcPr>
            <w:tcW w:w="1091" w:type="dxa"/>
            <w:vMerge/>
            <w:tcBorders>
              <w:left w:val="single" w:sz="4" w:space="0" w:color="000000"/>
              <w:bottom w:val="single" w:sz="4" w:space="0" w:color="000000"/>
              <w:right w:val="single" w:sz="4" w:space="0" w:color="000000"/>
            </w:tcBorders>
          </w:tcPr>
          <w:p>
            <w:pPr/>
          </w:p>
        </w:tc>
        <w:tc>
          <w:tcPr>
            <w:tcW w:w="109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z w:val="18"/>
              </w:rPr>
              <w:t>00</w:t>
            </w:r>
          </w:p>
        </w:tc>
        <w:tc>
          <w:tcPr>
            <w:tcW w:w="1091" w:type="dxa"/>
            <w:vMerge/>
            <w:tcBorders>
              <w:left w:val="single" w:sz="4" w:space="0" w:color="000000"/>
              <w:bottom w:val="single" w:sz="4" w:space="0" w:color="000000"/>
              <w:right w:val="single" w:sz="4" w:space="0" w:color="000000"/>
            </w:tcBorders>
          </w:tcPr>
          <w:p>
            <w:pPr/>
          </w:p>
        </w:tc>
        <w:tc>
          <w:tcPr>
            <w:tcW w:w="1091" w:type="dxa"/>
            <w:vMerge/>
            <w:tcBorders>
              <w:left w:val="single" w:sz="4" w:space="0" w:color="000000"/>
              <w:bottom w:val="single" w:sz="4" w:space="0" w:color="000000"/>
              <w:right w:val="single" w:sz="4" w:space="0" w:color="000000"/>
            </w:tcBorders>
          </w:tcPr>
          <w:p>
            <w:pPr/>
          </w:p>
        </w:tc>
        <w:tc>
          <w:tcPr>
            <w:tcW w:w="1091" w:type="dxa"/>
            <w:vMerge/>
            <w:tcBorders>
              <w:left w:val="single" w:sz="4" w:space="0" w:color="000000"/>
              <w:bottom w:val="single" w:sz="4" w:space="0" w:color="000000"/>
              <w:right w:val="single" w:sz="4" w:space="0" w:color="000000"/>
            </w:tcBorders>
          </w:tcPr>
          <w:p>
            <w:pPr/>
          </w:p>
        </w:tc>
        <w:tc>
          <w:tcPr>
            <w:tcW w:w="964" w:type="dxa"/>
            <w:vMerge/>
            <w:tcBorders>
              <w:left w:val="single" w:sz="4" w:space="0" w:color="000000"/>
              <w:bottom w:val="single" w:sz="4" w:space="0" w:color="000000"/>
              <w:right w:val="single" w:sz="4" w:space="0" w:color="000000"/>
            </w:tcBorders>
          </w:tcPr>
          <w:p>
            <w:pPr/>
          </w:p>
        </w:tc>
        <w:tc>
          <w:tcPr>
            <w:tcW w:w="96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z w:val="18"/>
              </w:rPr>
              <w:t>0.00</w:t>
            </w:r>
          </w:p>
        </w:tc>
      </w:tr>
      <w:tr>
        <w:trPr>
          <w:trHeight w:val="401" w:hRule="exact"/>
        </w:trPr>
        <w:tc>
          <w:tcPr>
            <w:tcW w:w="10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0"/>
              <w:ind w:right="155"/>
              <w:jc w:val="center"/>
              <w:rPr>
                <w:rFonts w:ascii="宋体" w:hAnsi="宋体" w:cs="宋体" w:eastAsia="宋体" w:hint="default"/>
                <w:sz w:val="18"/>
                <w:szCs w:val="18"/>
              </w:rPr>
            </w:pPr>
            <w:r>
              <w:rPr>
                <w:rFonts w:ascii="宋体" w:hAnsi="宋体" w:cs="宋体" w:eastAsia="宋体" w:hint="default"/>
                <w:sz w:val="18"/>
                <w:szCs w:val="18"/>
              </w:rPr>
              <w:t>金融资产</w:t>
            </w:r>
          </w:p>
        </w:tc>
        <w:tc>
          <w:tcPr>
            <w:tcW w:w="1093"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101"/>
              <w:jc w:val="right"/>
              <w:rPr>
                <w:rFonts w:ascii="Times New Roman" w:hAnsi="Times New Roman" w:cs="Times New Roman" w:eastAsia="Times New Roman" w:hint="default"/>
                <w:sz w:val="18"/>
                <w:szCs w:val="18"/>
              </w:rPr>
            </w:pPr>
            <w:r>
              <w:rPr>
                <w:rFonts w:ascii="Times New Roman"/>
                <w:sz w:val="18"/>
              </w:rPr>
              <w:t>400,230,00</w:t>
            </w:r>
          </w:p>
        </w:tc>
        <w:tc>
          <w:tcPr>
            <w:tcW w:w="1091"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964" w:type="dxa"/>
            <w:tcBorders>
              <w:top w:val="single" w:sz="4" w:space="0" w:color="000000"/>
              <w:left w:val="single" w:sz="4" w:space="0" w:color="000000"/>
              <w:bottom w:val="single" w:sz="4" w:space="0" w:color="000000"/>
              <w:right w:val="single" w:sz="4" w:space="0" w:color="000000"/>
            </w:tcBorders>
          </w:tcPr>
          <w:p>
            <w:pPr/>
          </w:p>
        </w:tc>
        <w:tc>
          <w:tcPr>
            <w:tcW w:w="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101"/>
              <w:jc w:val="right"/>
              <w:rPr>
                <w:rFonts w:ascii="Times New Roman" w:hAnsi="Times New Roman" w:cs="Times New Roman" w:eastAsia="Times New Roman" w:hint="default"/>
                <w:sz w:val="18"/>
                <w:szCs w:val="18"/>
              </w:rPr>
            </w:pPr>
            <w:r>
              <w:rPr>
                <w:rFonts w:ascii="Times New Roman"/>
                <w:sz w:val="18"/>
              </w:rPr>
              <w:t>400,230,0</w:t>
            </w:r>
          </w:p>
        </w:tc>
      </w:tr>
    </w:tbl>
    <w:p>
      <w:pPr>
        <w:spacing w:after="0" w:line="240" w:lineRule="auto"/>
        <w:jc w:val="right"/>
        <w:rPr>
          <w:rFonts w:ascii="Times New Roman" w:hAnsi="Times New Roman" w:cs="Times New Roman" w:eastAsia="Times New Roman" w:hint="default"/>
          <w:sz w:val="18"/>
          <w:szCs w:val="18"/>
        </w:rPr>
        <w:sectPr>
          <w:pgSz w:w="11910" w:h="16840"/>
          <w:pgMar w:header="906" w:footer="1018" w:top="1100" w:bottom="1200" w:left="1020" w:right="0"/>
        </w:sectPr>
      </w:pPr>
    </w:p>
    <w:p>
      <w:pPr>
        <w:spacing w:line="240" w:lineRule="auto" w:before="7"/>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092"/>
        <w:gridCol w:w="1093"/>
        <w:gridCol w:w="1091"/>
        <w:gridCol w:w="1091"/>
        <w:gridCol w:w="1091"/>
        <w:gridCol w:w="1091"/>
        <w:gridCol w:w="1091"/>
        <w:gridCol w:w="964"/>
        <w:gridCol w:w="964"/>
      </w:tblGrid>
      <w:tr>
        <w:trPr>
          <w:trHeight w:val="362" w:hRule="exact"/>
        </w:trPr>
        <w:tc>
          <w:tcPr>
            <w:tcW w:w="10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093"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0.00</w:t>
            </w:r>
          </w:p>
        </w:tc>
        <w:tc>
          <w:tcPr>
            <w:tcW w:w="1091"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964" w:type="dxa"/>
            <w:tcBorders>
              <w:top w:val="single" w:sz="4" w:space="0" w:color="000000"/>
              <w:left w:val="single" w:sz="4" w:space="0" w:color="000000"/>
              <w:bottom w:val="single" w:sz="4" w:space="0" w:color="000000"/>
              <w:right w:val="single" w:sz="4" w:space="0" w:color="000000"/>
            </w:tcBorders>
          </w:tcPr>
          <w:p>
            <w:pPr/>
          </w:p>
        </w:tc>
        <w:tc>
          <w:tcPr>
            <w:tcW w:w="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00.00</w:t>
            </w:r>
          </w:p>
        </w:tc>
      </w:tr>
      <w:tr>
        <w:trPr>
          <w:trHeight w:val="714" w:hRule="exact"/>
        </w:trPr>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2" w:right="257"/>
              <w:jc w:val="left"/>
              <w:rPr>
                <w:rFonts w:ascii="宋体" w:hAnsi="宋体" w:cs="宋体" w:eastAsia="宋体" w:hint="default"/>
                <w:sz w:val="18"/>
                <w:szCs w:val="18"/>
              </w:rPr>
            </w:pPr>
            <w:r>
              <w:rPr>
                <w:rFonts w:ascii="宋体" w:hAnsi="宋体" w:cs="宋体" w:eastAsia="宋体" w:hint="default"/>
                <w:sz w:val="18"/>
                <w:szCs w:val="18"/>
              </w:rPr>
              <w:t>应收款项 融资</w:t>
            </w:r>
          </w:p>
        </w:tc>
        <w:tc>
          <w:tcPr>
            <w:tcW w:w="1093"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23,256.45</w:t>
            </w:r>
          </w:p>
        </w:tc>
        <w:tc>
          <w:tcPr>
            <w:tcW w:w="1091"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964" w:type="dxa"/>
            <w:tcBorders>
              <w:top w:val="single" w:sz="4" w:space="0" w:color="000000"/>
              <w:left w:val="single" w:sz="4" w:space="0" w:color="000000"/>
              <w:bottom w:val="single" w:sz="4" w:space="0" w:color="000000"/>
              <w:right w:val="single" w:sz="4" w:space="0" w:color="000000"/>
            </w:tcBorders>
          </w:tcPr>
          <w:p>
            <w:pPr/>
          </w:p>
        </w:tc>
        <w:tc>
          <w:tcPr>
            <w:tcW w:w="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23,256.45</w:t>
            </w:r>
          </w:p>
        </w:tc>
      </w:tr>
      <w:tr>
        <w:trPr>
          <w:trHeight w:val="714" w:hRule="exact"/>
        </w:trPr>
        <w:tc>
          <w:tcPr>
            <w:tcW w:w="10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上述合计</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0.00</w:t>
            </w:r>
          </w:p>
        </w:tc>
        <w:tc>
          <w:tcPr>
            <w:tcW w:w="1091"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68" w:right="0"/>
              <w:jc w:val="left"/>
              <w:rPr>
                <w:rFonts w:ascii="Times New Roman" w:hAnsi="Times New Roman" w:cs="Times New Roman" w:eastAsia="Times New Roman" w:hint="default"/>
                <w:sz w:val="18"/>
                <w:szCs w:val="18"/>
              </w:rPr>
            </w:pPr>
            <w:r>
              <w:rPr>
                <w:rFonts w:ascii="Times New Roman"/>
                <w:sz w:val="18"/>
              </w:rPr>
              <w:t>400,253,25</w:t>
            </w:r>
          </w:p>
          <w:p>
            <w:pPr>
              <w:pStyle w:val="TableParagraph"/>
              <w:spacing w:line="240" w:lineRule="auto" w:before="105"/>
              <w:ind w:left="663" w:right="0"/>
              <w:jc w:val="left"/>
              <w:rPr>
                <w:rFonts w:ascii="Times New Roman" w:hAnsi="Times New Roman" w:cs="Times New Roman" w:eastAsia="Times New Roman" w:hint="default"/>
                <w:sz w:val="18"/>
                <w:szCs w:val="18"/>
              </w:rPr>
            </w:pPr>
            <w:r>
              <w:rPr>
                <w:rFonts w:ascii="Times New Roman"/>
                <w:sz w:val="18"/>
              </w:rPr>
              <w:t>6.45</w:t>
            </w:r>
          </w:p>
        </w:tc>
        <w:tc>
          <w:tcPr>
            <w:tcW w:w="1091"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964" w:type="dxa"/>
            <w:tcBorders>
              <w:top w:val="single" w:sz="4" w:space="0" w:color="000000"/>
              <w:left w:val="single" w:sz="4" w:space="0" w:color="000000"/>
              <w:bottom w:val="single" w:sz="4" w:space="0" w:color="000000"/>
              <w:right w:val="single" w:sz="4" w:space="0" w:color="000000"/>
            </w:tcBorders>
          </w:tcPr>
          <w:p>
            <w:pPr/>
          </w:p>
        </w:tc>
        <w:tc>
          <w:tcPr>
            <w:tcW w:w="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0" w:right="0"/>
              <w:jc w:val="left"/>
              <w:rPr>
                <w:rFonts w:ascii="Times New Roman" w:hAnsi="Times New Roman" w:cs="Times New Roman" w:eastAsia="Times New Roman" w:hint="default"/>
                <w:sz w:val="18"/>
                <w:szCs w:val="18"/>
              </w:rPr>
            </w:pPr>
            <w:r>
              <w:rPr>
                <w:rFonts w:ascii="Times New Roman"/>
                <w:sz w:val="18"/>
              </w:rPr>
              <w:t>400,253,2</w:t>
            </w:r>
          </w:p>
          <w:p>
            <w:pPr>
              <w:pStyle w:val="TableParagraph"/>
              <w:spacing w:line="240" w:lineRule="auto" w:before="105"/>
              <w:ind w:left="445" w:right="0"/>
              <w:jc w:val="left"/>
              <w:rPr>
                <w:rFonts w:ascii="Times New Roman" w:hAnsi="Times New Roman" w:cs="Times New Roman" w:eastAsia="Times New Roman" w:hint="default"/>
                <w:sz w:val="18"/>
                <w:szCs w:val="18"/>
              </w:rPr>
            </w:pPr>
            <w:r>
              <w:rPr>
                <w:rFonts w:ascii="Times New Roman"/>
                <w:sz w:val="18"/>
              </w:rPr>
              <w:t>56.45</w:t>
            </w:r>
          </w:p>
        </w:tc>
      </w:tr>
      <w:tr>
        <w:trPr>
          <w:trHeight w:val="402" w:hRule="exact"/>
        </w:trPr>
        <w:tc>
          <w:tcPr>
            <w:tcW w:w="10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金融负债</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0.00</w:t>
            </w:r>
          </w:p>
        </w:tc>
        <w:tc>
          <w:tcPr>
            <w:tcW w:w="1091"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964" w:type="dxa"/>
            <w:tcBorders>
              <w:top w:val="single" w:sz="4" w:space="0" w:color="000000"/>
              <w:left w:val="single" w:sz="4" w:space="0" w:color="000000"/>
              <w:bottom w:val="single" w:sz="4" w:space="0" w:color="000000"/>
              <w:right w:val="single" w:sz="4" w:space="0" w:color="000000"/>
            </w:tcBorders>
          </w:tcPr>
          <w:p>
            <w:pPr/>
          </w:p>
        </w:tc>
        <w:tc>
          <w:tcPr>
            <w:tcW w:w="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0.00</w:t>
            </w:r>
          </w:p>
        </w:tc>
      </w:tr>
    </w:tbl>
    <w:p>
      <w:pPr>
        <w:pStyle w:val="BodyText"/>
        <w:spacing w:line="360" w:lineRule="auto" w:before="49"/>
        <w:ind w:right="6792"/>
        <w:jc w:val="left"/>
      </w:pPr>
      <w:r>
        <w:rPr/>
        <w:t>其他变动的内容 报告期内公司主要资产计量属性是否发生重大变化</w:t>
      </w:r>
    </w:p>
    <w:p>
      <w:pPr>
        <w:pStyle w:val="BodyText"/>
        <w:spacing w:line="240" w:lineRule="auto" w:before="26"/>
        <w:ind w:right="0"/>
        <w:jc w:val="left"/>
      </w:pPr>
      <w:r>
        <w:rPr/>
        <w:t>□ 是 √ 否</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3</w:t>
      </w:r>
      <w:r>
        <w:rPr/>
        <w:t>、截至报告期末的资产权利受限情况</w:t>
      </w:r>
      <w:r>
        <w:rPr>
          <w:b w:val="0"/>
          <w:bCs w:val="0"/>
        </w:rPr>
      </w:r>
    </w:p>
    <w:p>
      <w:pPr>
        <w:spacing w:line="240" w:lineRule="auto" w:before="6"/>
        <w:rPr>
          <w:rFonts w:ascii="宋体" w:hAnsi="宋体" w:cs="宋体" w:eastAsia="宋体" w:hint="default"/>
          <w:b/>
          <w:bCs/>
          <w:sz w:val="26"/>
          <w:szCs w:val="26"/>
        </w:rPr>
      </w:pPr>
    </w:p>
    <w:p>
      <w:pPr>
        <w:pStyle w:val="BodyText"/>
        <w:spacing w:line="300" w:lineRule="auto"/>
        <w:ind w:right="0"/>
        <w:jc w:val="left"/>
      </w:pPr>
      <w:r>
        <w:rPr>
          <w:spacing w:val="-2"/>
        </w:rPr>
        <w:t>（</w:t>
      </w:r>
      <w:r>
        <w:rPr>
          <w:rFonts w:ascii="Times New Roman" w:hAnsi="Times New Roman" w:cs="Times New Roman" w:eastAsia="Times New Roman" w:hint="default"/>
          <w:spacing w:val="-2"/>
        </w:rPr>
        <w:t>1</w:t>
      </w:r>
      <w:r>
        <w:rPr>
          <w:spacing w:val="-2"/>
        </w:rPr>
        <w:t>）公司以其所有的座落于北京西城区金融大街的不动产为抵押，向中国农业银行股份有限公司丹阳支行取得</w:t>
      </w:r>
      <w:r>
        <w:rPr>
          <w:rFonts w:ascii="Times New Roman" w:hAnsi="Times New Roman" w:cs="Times New Roman" w:eastAsia="Times New Roman" w:hint="default"/>
          <w:spacing w:val="-2"/>
        </w:rPr>
        <w:t>2</w:t>
      </w:r>
      <w:r>
        <w:rPr>
          <w:spacing w:val="-2"/>
        </w:rPr>
        <w:t>亿元人民币</w:t>
      </w:r>
      <w:r>
        <w:rPr>
          <w:spacing w:val="-62"/>
        </w:rPr>
        <w:t> </w:t>
      </w:r>
      <w:r>
        <w:rPr/>
        <w:t>授信额度。截至期末，上述抵押物账面原值为人民币</w:t>
      </w:r>
      <w:r>
        <w:rPr>
          <w:rFonts w:ascii="Times New Roman" w:hAnsi="Times New Roman" w:cs="Times New Roman" w:eastAsia="Times New Roman" w:hint="default"/>
        </w:rPr>
        <w:t>43,690,478.23 </w:t>
      </w:r>
      <w:r>
        <w:rPr/>
        <w:t>元，账面价值为人民币</w:t>
      </w:r>
      <w:r>
        <w:rPr>
          <w:rFonts w:ascii="Times New Roman" w:hAnsi="Times New Roman" w:cs="Times New Roman" w:eastAsia="Times New Roman" w:hint="default"/>
        </w:rPr>
        <w:t>32,951,248.87</w:t>
      </w:r>
      <w:r>
        <w:rPr/>
        <w:t>元。 授信额度用于开具信用证及保函。截至期末，已使用授信额度人民币</w:t>
      </w:r>
      <w:r>
        <w:rPr>
          <w:rFonts w:ascii="Times New Roman" w:hAnsi="Times New Roman" w:cs="Times New Roman" w:eastAsia="Times New Roman" w:hint="default"/>
        </w:rPr>
        <w:t>7,660,481.58</w:t>
      </w:r>
      <w:r>
        <w:rPr/>
        <w:t>元。</w:t>
      </w:r>
    </w:p>
    <w:p>
      <w:pPr>
        <w:pStyle w:val="BodyText"/>
        <w:spacing w:line="300" w:lineRule="auto" w:before="13"/>
        <w:ind w:right="1128"/>
        <w:jc w:val="both"/>
      </w:pPr>
      <w:r>
        <w:rPr/>
        <w:t>（</w:t>
      </w:r>
      <w:r>
        <w:rPr>
          <w:rFonts w:ascii="Times New Roman" w:hAnsi="Times New Roman" w:cs="Times New Roman" w:eastAsia="Times New Roman" w:hint="default"/>
        </w:rPr>
        <w:t>2</w:t>
      </w:r>
      <w:r>
        <w:rPr/>
        <w:t>）公司以其所有的座落于丹阳市云阳镇横塘化工路、横塘工业园、云阳镇东马场的不动产为抵押，向中国银行股份有限</w:t>
      </w:r>
      <w:r>
        <w:rPr>
          <w:spacing w:val="-84"/>
        </w:rPr>
        <w:t> </w:t>
      </w:r>
      <w:r>
        <w:rPr>
          <w:spacing w:val="-84"/>
        </w:rPr>
      </w:r>
      <w:r>
        <w:rPr>
          <w:spacing w:val="2"/>
        </w:rPr>
        <w:t>公司丹阳支行取得</w:t>
      </w:r>
      <w:r>
        <w:rPr>
          <w:rFonts w:ascii="Times New Roman" w:hAnsi="Times New Roman" w:cs="Times New Roman" w:eastAsia="Times New Roman" w:hint="default"/>
          <w:spacing w:val="2"/>
        </w:rPr>
        <w:t>2</w:t>
      </w:r>
      <w:r>
        <w:rPr>
          <w:spacing w:val="2"/>
        </w:rPr>
        <w:t>亿元人民币授信额度。截至期末，上述抵押物账面原值为人民币</w:t>
      </w:r>
      <w:r>
        <w:rPr>
          <w:rFonts w:ascii="Times New Roman" w:hAnsi="Times New Roman" w:cs="Times New Roman" w:eastAsia="Times New Roman" w:hint="default"/>
          <w:spacing w:val="2"/>
        </w:rPr>
        <w:t>136,016,080.63</w:t>
      </w:r>
      <w:r>
        <w:rPr>
          <w:spacing w:val="2"/>
        </w:rPr>
        <w:t>元，账面价值为人民币</w:t>
      </w:r>
      <w:r>
        <w:rPr>
          <w:spacing w:val="-75"/>
        </w:rPr>
        <w:t> </w:t>
      </w:r>
      <w:r>
        <w:rPr>
          <w:spacing w:val="-75"/>
        </w:rPr>
      </w:r>
      <w:r>
        <w:rPr>
          <w:rFonts w:ascii="Times New Roman" w:hAnsi="Times New Roman" w:cs="Times New Roman" w:eastAsia="Times New Roman" w:hint="default"/>
        </w:rPr>
        <w:t>60,120,622.60</w:t>
      </w:r>
      <w:r>
        <w:rPr/>
        <w:t>元。</w:t>
      </w:r>
    </w:p>
    <w:p>
      <w:pPr>
        <w:pStyle w:val="BodyText"/>
        <w:spacing w:line="240" w:lineRule="auto" w:before="53"/>
        <w:ind w:right="0"/>
        <w:jc w:val="left"/>
      </w:pPr>
      <w:r>
        <w:rPr/>
        <w:t>授信额度用于开具信用证及保函。截至期末，已使用授信额度人民币</w:t>
      </w:r>
      <w:r>
        <w:rPr>
          <w:rFonts w:ascii="Times New Roman" w:hAnsi="Times New Roman" w:cs="Times New Roman" w:eastAsia="Times New Roman" w:hint="default"/>
        </w:rPr>
        <w:t>6,585,002.84</w:t>
      </w:r>
      <w:r>
        <w:rPr/>
        <w:t>元。</w:t>
      </w:r>
    </w:p>
    <w:p>
      <w:pPr>
        <w:pStyle w:val="BodyText"/>
        <w:spacing w:line="300" w:lineRule="auto" w:before="103"/>
        <w:ind w:right="0"/>
        <w:jc w:val="left"/>
      </w:pPr>
      <w:r>
        <w:rPr>
          <w:spacing w:val="-1"/>
        </w:rPr>
        <w:t>（</w:t>
      </w:r>
      <w:r>
        <w:rPr>
          <w:rFonts w:ascii="Times New Roman" w:hAnsi="Times New Roman" w:cs="Times New Roman" w:eastAsia="Times New Roman" w:hint="default"/>
          <w:spacing w:val="-1"/>
        </w:rPr>
        <w:t>3</w:t>
      </w:r>
      <w:r>
        <w:rPr>
          <w:spacing w:val="-1"/>
        </w:rPr>
        <w:t>）公司银行存款</w:t>
      </w:r>
      <w:r>
        <w:rPr>
          <w:rFonts w:ascii="Times New Roman" w:hAnsi="Times New Roman" w:cs="Times New Roman" w:eastAsia="Times New Roman" w:hint="default"/>
          <w:spacing w:val="-1"/>
        </w:rPr>
        <w:t>5,603,337.77</w:t>
      </w:r>
      <w:r>
        <w:rPr>
          <w:spacing w:val="-1"/>
        </w:rPr>
        <w:t>元为质押，用于中国银行股份有限公司丹阳支行、中国农业银行股份有限公司丹阳支行、江</w:t>
      </w:r>
      <w:r>
        <w:rPr>
          <w:spacing w:val="-66"/>
        </w:rPr>
        <w:t> </w:t>
      </w:r>
      <w:r>
        <w:rPr>
          <w:spacing w:val="-66"/>
        </w:rPr>
      </w:r>
      <w:r>
        <w:rPr/>
        <w:t>苏农村商业银行丹阳横塘支行及新加坡子公司向客户开具保函。</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12"/>
          <w:szCs w:val="12"/>
        </w:rPr>
      </w:pPr>
    </w:p>
    <w:p>
      <w:pPr>
        <w:pStyle w:val="Heading2"/>
        <w:spacing w:line="240" w:lineRule="auto"/>
        <w:ind w:right="0"/>
        <w:jc w:val="left"/>
        <w:rPr>
          <w:b w:val="0"/>
          <w:bCs w:val="0"/>
        </w:rPr>
      </w:pPr>
      <w:r>
        <w:rPr/>
        <w:t>五、投资状况分析</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r>
        <w:rPr>
          <w:rFonts w:ascii="Times New Roman" w:hAnsi="Times New Roman" w:cs="Times New Roman" w:eastAsia="Times New Roman" w:hint="default"/>
        </w:rPr>
        <w:t>1</w:t>
      </w:r>
      <w:r>
        <w:rPr/>
        <w:t>、总体情况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8"/>
        <w:gridCol w:w="3190"/>
        <w:gridCol w:w="3191"/>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778" w:right="0"/>
              <w:jc w:val="left"/>
              <w:rPr>
                <w:rFonts w:ascii="宋体" w:hAnsi="宋体" w:cs="宋体" w:eastAsia="宋体" w:hint="default"/>
                <w:sz w:val="18"/>
                <w:szCs w:val="18"/>
              </w:rPr>
            </w:pPr>
            <w:r>
              <w:rPr>
                <w:rFonts w:ascii="宋体" w:hAnsi="宋体" w:cs="宋体" w:eastAsia="宋体" w:hint="default"/>
                <w:sz w:val="18"/>
                <w:szCs w:val="18"/>
              </w:rPr>
              <w:t>报告期投资额（元）</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690" w:right="0"/>
              <w:jc w:val="left"/>
              <w:rPr>
                <w:rFonts w:ascii="宋体" w:hAnsi="宋体" w:cs="宋体" w:eastAsia="宋体" w:hint="default"/>
                <w:sz w:val="18"/>
                <w:szCs w:val="18"/>
              </w:rPr>
            </w:pPr>
            <w:r>
              <w:rPr>
                <w:rFonts w:ascii="宋体" w:hAnsi="宋体" w:cs="宋体" w:eastAsia="宋体" w:hint="default"/>
                <w:sz w:val="18"/>
                <w:szCs w:val="18"/>
              </w:rPr>
              <w:t>上年同期投资额（元）</w:t>
            </w:r>
          </w:p>
        </w:tc>
        <w:tc>
          <w:tcPr>
            <w:tcW w:w="31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变动幅度</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950" w:right="0"/>
              <w:jc w:val="left"/>
              <w:rPr>
                <w:rFonts w:ascii="Times New Roman" w:hAnsi="Times New Roman" w:cs="Times New Roman" w:eastAsia="Times New Roman" w:hint="default"/>
                <w:sz w:val="18"/>
                <w:szCs w:val="18"/>
              </w:rPr>
            </w:pPr>
            <w:r>
              <w:rPr>
                <w:rFonts w:ascii="Times New Roman"/>
                <w:sz w:val="18"/>
              </w:rPr>
              <w:t>405,377,514.38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0.00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z w:val="18"/>
              </w:rPr>
              <w:t>0.00%</w:t>
            </w:r>
          </w:p>
        </w:tc>
      </w:tr>
    </w:tbl>
    <w:p>
      <w:pPr>
        <w:spacing w:line="240" w:lineRule="auto" w:before="1"/>
        <w:rPr>
          <w:rFonts w:ascii="宋体" w:hAnsi="宋体" w:cs="宋体" w:eastAsia="宋体" w:hint="default"/>
          <w:sz w:val="19"/>
          <w:szCs w:val="19"/>
        </w:rPr>
      </w:pPr>
    </w:p>
    <w:p>
      <w:pPr>
        <w:pStyle w:val="Heading3"/>
        <w:spacing w:line="240" w:lineRule="auto" w:before="35"/>
        <w:ind w:right="0"/>
        <w:jc w:val="left"/>
        <w:rPr>
          <w:b w:val="0"/>
          <w:bCs w:val="0"/>
        </w:rPr>
      </w:pPr>
      <w:r>
        <w:rPr>
          <w:rFonts w:ascii="Times New Roman" w:hAnsi="Times New Roman" w:cs="Times New Roman" w:eastAsia="Times New Roman" w:hint="default"/>
        </w:rPr>
        <w:t>2</w:t>
      </w:r>
      <w:r>
        <w:rPr/>
        <w:t>、报告期内获取的重大的股权投资情况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3"/>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3</w:t>
      </w:r>
      <w:r>
        <w:rPr/>
        <w:t>、报告期内正在进行的重大的非股权投资情况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4</w:t>
      </w:r>
      <w:r>
        <w:rPr/>
        <w:t>、以公允价值计量的金融资产</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 适用 □ 不适用</w:t>
      </w:r>
    </w:p>
    <w:p>
      <w:pPr>
        <w:spacing w:after="0" w:line="240" w:lineRule="auto"/>
        <w:jc w:val="left"/>
        <w:sectPr>
          <w:pgSz w:w="11910" w:h="16840"/>
          <w:pgMar w:header="906" w:footer="1018" w:top="1100" w:bottom="1200" w:left="1020" w:right="0"/>
        </w:sectPr>
      </w:pPr>
    </w:p>
    <w:p>
      <w:pPr>
        <w:spacing w:line="240" w:lineRule="auto" w:before="11"/>
        <w:rPr>
          <w:rFonts w:ascii="宋体" w:hAnsi="宋体" w:cs="宋体" w:eastAsia="宋体" w:hint="default"/>
          <w:sz w:val="22"/>
          <w:szCs w:val="22"/>
        </w:rPr>
      </w:pPr>
    </w:p>
    <w:p>
      <w:pPr>
        <w:pStyle w:val="BodyText"/>
        <w:spacing w:line="240" w:lineRule="auto" w:before="44"/>
        <w:ind w:left="0" w:right="1132"/>
        <w:jc w:val="right"/>
      </w:pPr>
      <w:r>
        <w:rPr>
          <w:spacing w:val="-1"/>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87"/>
        <w:gridCol w:w="895"/>
        <w:gridCol w:w="1089"/>
        <w:gridCol w:w="1179"/>
        <w:gridCol w:w="1194"/>
        <w:gridCol w:w="956"/>
        <w:gridCol w:w="956"/>
        <w:gridCol w:w="956"/>
        <w:gridCol w:w="956"/>
      </w:tblGrid>
      <w:tr>
        <w:trPr>
          <w:trHeight w:val="1026" w:hRule="exact"/>
        </w:trPr>
        <w:tc>
          <w:tcPr>
            <w:tcW w:w="13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327" w:right="0"/>
              <w:jc w:val="left"/>
              <w:rPr>
                <w:rFonts w:ascii="宋体" w:hAnsi="宋体" w:cs="宋体" w:eastAsia="宋体" w:hint="default"/>
                <w:sz w:val="18"/>
                <w:szCs w:val="18"/>
              </w:rPr>
            </w:pPr>
            <w:r>
              <w:rPr>
                <w:rFonts w:ascii="宋体" w:hAnsi="宋体" w:cs="宋体" w:eastAsia="宋体" w:hint="default"/>
                <w:sz w:val="18"/>
                <w:szCs w:val="18"/>
              </w:rPr>
              <w:t>资产类别</w:t>
            </w:r>
          </w:p>
        </w:tc>
        <w:tc>
          <w:tcPr>
            <w:tcW w:w="8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172" w:right="171"/>
              <w:jc w:val="left"/>
              <w:rPr>
                <w:rFonts w:ascii="宋体" w:hAnsi="宋体" w:cs="宋体" w:eastAsia="宋体" w:hint="default"/>
                <w:sz w:val="18"/>
                <w:szCs w:val="18"/>
              </w:rPr>
            </w:pPr>
            <w:r>
              <w:rPr>
                <w:rFonts w:ascii="宋体" w:hAnsi="宋体" w:cs="宋体" w:eastAsia="宋体" w:hint="default"/>
                <w:sz w:val="18"/>
                <w:szCs w:val="18"/>
              </w:rPr>
              <w:t>初始投 资成本</w:t>
            </w:r>
          </w:p>
        </w:tc>
        <w:tc>
          <w:tcPr>
            <w:tcW w:w="10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78" w:right="178"/>
              <w:jc w:val="center"/>
              <w:rPr>
                <w:rFonts w:ascii="宋体" w:hAnsi="宋体" w:cs="宋体" w:eastAsia="宋体" w:hint="default"/>
                <w:sz w:val="18"/>
                <w:szCs w:val="18"/>
              </w:rPr>
            </w:pPr>
            <w:r>
              <w:rPr>
                <w:rFonts w:ascii="宋体" w:hAnsi="宋体" w:cs="宋体" w:eastAsia="宋体" w:hint="default"/>
                <w:sz w:val="18"/>
                <w:szCs w:val="18"/>
              </w:rPr>
              <w:t>本期公允 价值变动 损益</w:t>
            </w:r>
          </w:p>
        </w:tc>
        <w:tc>
          <w:tcPr>
            <w:tcW w:w="117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33" w:right="133"/>
              <w:jc w:val="center"/>
              <w:rPr>
                <w:rFonts w:ascii="宋体" w:hAnsi="宋体" w:cs="宋体" w:eastAsia="宋体" w:hint="default"/>
                <w:sz w:val="18"/>
                <w:szCs w:val="18"/>
              </w:rPr>
            </w:pPr>
            <w:r>
              <w:rPr>
                <w:rFonts w:ascii="宋体" w:hAnsi="宋体" w:cs="宋体" w:eastAsia="宋体" w:hint="default"/>
                <w:sz w:val="18"/>
                <w:szCs w:val="18"/>
              </w:rPr>
              <w:t>计入权益的 累计公允价 值变动</w:t>
            </w:r>
          </w:p>
        </w:tc>
        <w:tc>
          <w:tcPr>
            <w:tcW w:w="11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322" w:right="140" w:hanging="180"/>
              <w:jc w:val="left"/>
              <w:rPr>
                <w:rFonts w:ascii="宋体" w:hAnsi="宋体" w:cs="宋体" w:eastAsia="宋体" w:hint="default"/>
                <w:sz w:val="18"/>
                <w:szCs w:val="18"/>
              </w:rPr>
            </w:pPr>
            <w:r>
              <w:rPr>
                <w:rFonts w:ascii="宋体" w:hAnsi="宋体" w:cs="宋体" w:eastAsia="宋体" w:hint="default"/>
                <w:sz w:val="18"/>
                <w:szCs w:val="18"/>
              </w:rPr>
              <w:t>报告期内购 入金额</w:t>
            </w:r>
          </w:p>
        </w:tc>
        <w:tc>
          <w:tcPr>
            <w:tcW w:w="95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112" w:right="111"/>
              <w:jc w:val="left"/>
              <w:rPr>
                <w:rFonts w:ascii="宋体" w:hAnsi="宋体" w:cs="宋体" w:eastAsia="宋体" w:hint="default"/>
                <w:sz w:val="18"/>
                <w:szCs w:val="18"/>
              </w:rPr>
            </w:pPr>
            <w:r>
              <w:rPr>
                <w:rFonts w:ascii="宋体" w:hAnsi="宋体" w:cs="宋体" w:eastAsia="宋体" w:hint="default"/>
                <w:sz w:val="18"/>
                <w:szCs w:val="18"/>
              </w:rPr>
              <w:t>报告期内 售出金额</w:t>
            </w:r>
          </w:p>
        </w:tc>
        <w:tc>
          <w:tcPr>
            <w:tcW w:w="95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293" w:right="111" w:hanging="180"/>
              <w:jc w:val="left"/>
              <w:rPr>
                <w:rFonts w:ascii="宋体" w:hAnsi="宋体" w:cs="宋体" w:eastAsia="宋体" w:hint="default"/>
                <w:sz w:val="18"/>
                <w:szCs w:val="18"/>
              </w:rPr>
            </w:pPr>
            <w:r>
              <w:rPr>
                <w:rFonts w:ascii="宋体" w:hAnsi="宋体" w:cs="宋体" w:eastAsia="宋体" w:hint="default"/>
                <w:sz w:val="18"/>
                <w:szCs w:val="18"/>
              </w:rPr>
              <w:t>累计投资 收益</w:t>
            </w:r>
          </w:p>
        </w:tc>
        <w:tc>
          <w:tcPr>
            <w:tcW w:w="95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112" w:right="0"/>
              <w:jc w:val="left"/>
              <w:rPr>
                <w:rFonts w:ascii="宋体" w:hAnsi="宋体" w:cs="宋体" w:eastAsia="宋体" w:hint="default"/>
                <w:sz w:val="18"/>
                <w:szCs w:val="18"/>
              </w:rPr>
            </w:pPr>
            <w:r>
              <w:rPr>
                <w:rFonts w:ascii="宋体" w:hAnsi="宋体" w:cs="宋体" w:eastAsia="宋体" w:hint="default"/>
                <w:sz w:val="18"/>
                <w:szCs w:val="18"/>
              </w:rPr>
              <w:t>期末金额</w:t>
            </w:r>
          </w:p>
        </w:tc>
        <w:tc>
          <w:tcPr>
            <w:tcW w:w="95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sz w:val="18"/>
                <w:szCs w:val="18"/>
              </w:rPr>
              <w:t>资金来源</w:t>
            </w:r>
          </w:p>
        </w:tc>
      </w:tr>
      <w:tr>
        <w:trPr>
          <w:trHeight w:val="714" w:hRule="exact"/>
        </w:trPr>
        <w:tc>
          <w:tcPr>
            <w:tcW w:w="1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9" w:right="0"/>
              <w:jc w:val="center"/>
              <w:rPr>
                <w:rFonts w:ascii="Times New Roman" w:hAnsi="Times New Roman" w:cs="Times New Roman" w:eastAsia="Times New Roman" w:hint="default"/>
                <w:sz w:val="18"/>
                <w:szCs w:val="18"/>
              </w:rPr>
            </w:pPr>
            <w:r>
              <w:rPr>
                <w:rFonts w:ascii="Times New Roman"/>
                <w:sz w:val="18"/>
              </w:rPr>
              <w:t>238,350,</w:t>
            </w:r>
          </w:p>
          <w:p>
            <w:pPr>
              <w:pStyle w:val="TableParagraph"/>
              <w:spacing w:line="240" w:lineRule="auto" w:before="105"/>
              <w:ind w:left="184" w:right="0"/>
              <w:jc w:val="center"/>
              <w:rPr>
                <w:rFonts w:ascii="Times New Roman" w:hAnsi="Times New Roman" w:cs="Times New Roman" w:eastAsia="Times New Roman" w:hint="default"/>
                <w:sz w:val="18"/>
                <w:szCs w:val="18"/>
              </w:rPr>
            </w:pPr>
            <w:r>
              <w:rPr>
                <w:rFonts w:ascii="Times New Roman"/>
                <w:sz w:val="18"/>
              </w:rPr>
              <w:t>000.00</w:t>
            </w:r>
          </w:p>
        </w:tc>
        <w:tc>
          <w:tcPr>
            <w:tcW w:w="1089"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809,610,000.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00</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3" w:right="0"/>
              <w:jc w:val="left"/>
              <w:rPr>
                <w:rFonts w:ascii="Times New Roman" w:hAnsi="Times New Roman" w:cs="Times New Roman" w:eastAsia="Times New Roman" w:hint="default"/>
                <w:sz w:val="18"/>
                <w:szCs w:val="18"/>
              </w:rPr>
            </w:pPr>
            <w:r>
              <w:rPr>
                <w:rFonts w:ascii="Times New Roman"/>
                <w:sz w:val="18"/>
              </w:rPr>
              <w:t>668,760,0</w:t>
            </w:r>
          </w:p>
          <w:p>
            <w:pPr>
              <w:pStyle w:val="TableParagraph"/>
              <w:spacing w:line="240" w:lineRule="auto" w:before="105"/>
              <w:ind w:left="438" w:right="0"/>
              <w:jc w:val="left"/>
              <w:rPr>
                <w:rFonts w:ascii="Times New Roman" w:hAnsi="Times New Roman" w:cs="Times New Roman" w:eastAsia="Times New Roman" w:hint="default"/>
                <w:sz w:val="18"/>
                <w:szCs w:val="18"/>
              </w:rPr>
            </w:pPr>
            <w:r>
              <w:rPr>
                <w:rFonts w:ascii="Times New Roman"/>
                <w:sz w:val="18"/>
              </w:rPr>
              <w:t>00.00</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3" w:right="0"/>
              <w:jc w:val="left"/>
              <w:rPr>
                <w:rFonts w:ascii="Times New Roman" w:hAnsi="Times New Roman" w:cs="Times New Roman" w:eastAsia="Times New Roman" w:hint="default"/>
                <w:sz w:val="18"/>
                <w:szCs w:val="18"/>
              </w:rPr>
            </w:pPr>
            <w:r>
              <w:rPr>
                <w:rFonts w:ascii="Times New Roman"/>
                <w:sz w:val="18"/>
              </w:rPr>
              <w:t>10,740,38</w:t>
            </w:r>
          </w:p>
          <w:p>
            <w:pPr>
              <w:pStyle w:val="TableParagraph"/>
              <w:spacing w:line="240" w:lineRule="auto" w:before="105"/>
              <w:ind w:left="528" w:right="0"/>
              <w:jc w:val="left"/>
              <w:rPr>
                <w:rFonts w:ascii="Times New Roman" w:hAnsi="Times New Roman" w:cs="Times New Roman" w:eastAsia="Times New Roman" w:hint="default"/>
                <w:sz w:val="18"/>
                <w:szCs w:val="18"/>
              </w:rPr>
            </w:pPr>
            <w:r>
              <w:rPr>
                <w:rFonts w:ascii="Times New Roman"/>
                <w:sz w:val="18"/>
              </w:rPr>
              <w:t>0.01</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2" w:right="0"/>
              <w:jc w:val="left"/>
              <w:rPr>
                <w:rFonts w:ascii="Times New Roman" w:hAnsi="Times New Roman" w:cs="Times New Roman" w:eastAsia="Times New Roman" w:hint="default"/>
                <w:sz w:val="18"/>
                <w:szCs w:val="18"/>
              </w:rPr>
            </w:pPr>
            <w:r>
              <w:rPr>
                <w:rFonts w:ascii="Times New Roman"/>
                <w:sz w:val="18"/>
              </w:rPr>
              <w:t>379,200,0</w:t>
            </w:r>
          </w:p>
          <w:p>
            <w:pPr>
              <w:pStyle w:val="TableParagraph"/>
              <w:spacing w:line="240" w:lineRule="auto" w:before="105"/>
              <w:ind w:left="437" w:right="0"/>
              <w:jc w:val="left"/>
              <w:rPr>
                <w:rFonts w:ascii="Times New Roman" w:hAnsi="Times New Roman" w:cs="Times New Roman" w:eastAsia="Times New Roman" w:hint="default"/>
                <w:sz w:val="18"/>
                <w:szCs w:val="18"/>
              </w:rPr>
            </w:pPr>
            <w:r>
              <w:rPr>
                <w:rFonts w:ascii="Times New Roman"/>
                <w:sz w:val="18"/>
              </w:rPr>
              <w:t>00.00</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7"/>
              <w:jc w:val="center"/>
              <w:rPr>
                <w:rFonts w:ascii="宋体" w:hAnsi="宋体" w:cs="宋体" w:eastAsia="宋体" w:hint="default"/>
                <w:sz w:val="18"/>
                <w:szCs w:val="18"/>
              </w:rPr>
            </w:pPr>
            <w:r>
              <w:rPr>
                <w:rFonts w:ascii="宋体" w:hAnsi="宋体" w:cs="宋体" w:eastAsia="宋体" w:hint="default"/>
                <w:sz w:val="18"/>
                <w:szCs w:val="18"/>
              </w:rPr>
              <w:t>自有资金</w:t>
            </w:r>
          </w:p>
        </w:tc>
      </w:tr>
      <w:tr>
        <w:trPr>
          <w:trHeight w:val="714" w:hRule="exact"/>
        </w:trPr>
        <w:tc>
          <w:tcPr>
            <w:tcW w:w="1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2" w:right="0"/>
              <w:jc w:val="left"/>
              <w:rPr>
                <w:rFonts w:ascii="Times New Roman" w:hAnsi="Times New Roman" w:cs="Times New Roman" w:eastAsia="Times New Roman" w:hint="default"/>
                <w:sz w:val="18"/>
                <w:szCs w:val="18"/>
              </w:rPr>
            </w:pPr>
            <w:r>
              <w:rPr>
                <w:rFonts w:ascii="Times New Roman"/>
                <w:sz w:val="18"/>
              </w:rPr>
              <w:t>21,030,0</w:t>
            </w:r>
          </w:p>
          <w:p>
            <w:pPr>
              <w:pStyle w:val="TableParagraph"/>
              <w:spacing w:line="240" w:lineRule="auto" w:before="105"/>
              <w:ind w:left="377" w:right="0"/>
              <w:jc w:val="left"/>
              <w:rPr>
                <w:rFonts w:ascii="Times New Roman" w:hAnsi="Times New Roman" w:cs="Times New Roman" w:eastAsia="Times New Roman" w:hint="default"/>
                <w:sz w:val="18"/>
                <w:szCs w:val="18"/>
              </w:rPr>
            </w:pPr>
            <w:r>
              <w:rPr>
                <w:rFonts w:ascii="Times New Roman"/>
                <w:sz w:val="18"/>
              </w:rPr>
              <w:t>00.00</w:t>
            </w:r>
          </w:p>
        </w:tc>
        <w:tc>
          <w:tcPr>
            <w:tcW w:w="1089"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c>
          <w:tcPr>
            <w:tcW w:w="1194"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3" w:right="0"/>
              <w:jc w:val="left"/>
              <w:rPr>
                <w:rFonts w:ascii="Times New Roman" w:hAnsi="Times New Roman" w:cs="Times New Roman" w:eastAsia="Times New Roman" w:hint="default"/>
                <w:sz w:val="18"/>
                <w:szCs w:val="18"/>
              </w:rPr>
            </w:pPr>
            <w:r>
              <w:rPr>
                <w:rFonts w:ascii="Times New Roman"/>
                <w:sz w:val="18"/>
              </w:rPr>
              <w:t>4,337,592</w:t>
            </w:r>
          </w:p>
          <w:p>
            <w:pPr>
              <w:pStyle w:val="TableParagraph"/>
              <w:spacing w:line="240" w:lineRule="auto" w:before="105"/>
              <w:ind w:left="618" w:right="0"/>
              <w:jc w:val="left"/>
              <w:rPr>
                <w:rFonts w:ascii="Times New Roman" w:hAnsi="Times New Roman" w:cs="Times New Roman" w:eastAsia="Times New Roman" w:hint="default"/>
                <w:sz w:val="18"/>
                <w:szCs w:val="18"/>
              </w:rPr>
            </w:pPr>
            <w:r>
              <w:rPr>
                <w:rFonts w:ascii="Times New Roman"/>
                <w:sz w:val="18"/>
              </w:rPr>
              <w:t>.21</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2" w:right="0"/>
              <w:jc w:val="left"/>
              <w:rPr>
                <w:rFonts w:ascii="Times New Roman" w:hAnsi="Times New Roman" w:cs="Times New Roman" w:eastAsia="Times New Roman" w:hint="default"/>
                <w:sz w:val="18"/>
                <w:szCs w:val="18"/>
              </w:rPr>
            </w:pPr>
            <w:r>
              <w:rPr>
                <w:rFonts w:ascii="Times New Roman"/>
                <w:sz w:val="18"/>
              </w:rPr>
              <w:t>21,030,00</w:t>
            </w:r>
          </w:p>
          <w:p>
            <w:pPr>
              <w:pStyle w:val="TableParagraph"/>
              <w:spacing w:line="240" w:lineRule="auto" w:before="105"/>
              <w:ind w:left="527" w:right="0"/>
              <w:jc w:val="left"/>
              <w:rPr>
                <w:rFonts w:ascii="Times New Roman" w:hAnsi="Times New Roman" w:cs="Times New Roman" w:eastAsia="Times New Roman" w:hint="default"/>
                <w:sz w:val="18"/>
                <w:szCs w:val="18"/>
              </w:rPr>
            </w:pPr>
            <w:r>
              <w:rPr>
                <w:rFonts w:ascii="Times New Roman"/>
                <w:sz w:val="18"/>
              </w:rPr>
              <w:t>0.00</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7"/>
              <w:jc w:val="center"/>
              <w:rPr>
                <w:rFonts w:ascii="宋体" w:hAnsi="宋体" w:cs="宋体" w:eastAsia="宋体" w:hint="default"/>
                <w:sz w:val="18"/>
                <w:szCs w:val="18"/>
              </w:rPr>
            </w:pPr>
            <w:r>
              <w:rPr>
                <w:rFonts w:ascii="宋体" w:hAnsi="宋体" w:cs="宋体" w:eastAsia="宋体" w:hint="default"/>
                <w:sz w:val="18"/>
                <w:szCs w:val="18"/>
              </w:rPr>
              <w:t>自有资金</w:t>
            </w:r>
          </w:p>
        </w:tc>
      </w:tr>
      <w:tr>
        <w:trPr>
          <w:trHeight w:val="714" w:hRule="exact"/>
        </w:trPr>
        <w:tc>
          <w:tcPr>
            <w:tcW w:w="13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9" w:right="0"/>
              <w:jc w:val="center"/>
              <w:rPr>
                <w:rFonts w:ascii="Times New Roman" w:hAnsi="Times New Roman" w:cs="Times New Roman" w:eastAsia="Times New Roman" w:hint="default"/>
                <w:sz w:val="18"/>
                <w:szCs w:val="18"/>
              </w:rPr>
            </w:pPr>
            <w:r>
              <w:rPr>
                <w:rFonts w:ascii="Times New Roman"/>
                <w:sz w:val="18"/>
              </w:rPr>
              <w:t>259,380,</w:t>
            </w:r>
          </w:p>
          <w:p>
            <w:pPr>
              <w:pStyle w:val="TableParagraph"/>
              <w:spacing w:line="240" w:lineRule="auto" w:before="105"/>
              <w:ind w:left="184" w:right="0"/>
              <w:jc w:val="center"/>
              <w:rPr>
                <w:rFonts w:ascii="Times New Roman" w:hAnsi="Times New Roman" w:cs="Times New Roman" w:eastAsia="Times New Roman" w:hint="default"/>
                <w:sz w:val="18"/>
                <w:szCs w:val="18"/>
              </w:rPr>
            </w:pPr>
            <w:r>
              <w:rPr>
                <w:rFonts w:ascii="Times New Roman"/>
                <w:sz w:val="18"/>
              </w:rPr>
              <w:t>000.00</w:t>
            </w:r>
          </w:p>
        </w:tc>
        <w:tc>
          <w:tcPr>
            <w:tcW w:w="10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61" w:right="0"/>
              <w:jc w:val="left"/>
              <w:rPr>
                <w:rFonts w:ascii="Times New Roman" w:hAnsi="Times New Roman" w:cs="Times New Roman" w:eastAsia="Times New Roman" w:hint="default"/>
                <w:sz w:val="18"/>
                <w:szCs w:val="18"/>
              </w:rPr>
            </w:pPr>
            <w:r>
              <w:rPr>
                <w:rFonts w:ascii="Times New Roman"/>
                <w:sz w:val="18"/>
              </w:rPr>
              <w:t>0.00</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51" w:right="0"/>
              <w:jc w:val="left"/>
              <w:rPr>
                <w:rFonts w:ascii="Times New Roman" w:hAnsi="Times New Roman" w:cs="Times New Roman" w:eastAsia="Times New Roman" w:hint="default"/>
                <w:sz w:val="18"/>
                <w:szCs w:val="18"/>
              </w:rPr>
            </w:pPr>
            <w:r>
              <w:rPr>
                <w:rFonts w:ascii="Times New Roman"/>
                <w:sz w:val="18"/>
              </w:rPr>
              <w:t>0.00</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809,610,000.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00</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3" w:right="0"/>
              <w:jc w:val="left"/>
              <w:rPr>
                <w:rFonts w:ascii="Times New Roman" w:hAnsi="Times New Roman" w:cs="Times New Roman" w:eastAsia="Times New Roman" w:hint="default"/>
                <w:sz w:val="18"/>
                <w:szCs w:val="18"/>
              </w:rPr>
            </w:pPr>
            <w:r>
              <w:rPr>
                <w:rFonts w:ascii="Times New Roman"/>
                <w:sz w:val="18"/>
              </w:rPr>
              <w:t>668,760,0</w:t>
            </w:r>
          </w:p>
          <w:p>
            <w:pPr>
              <w:pStyle w:val="TableParagraph"/>
              <w:spacing w:line="240" w:lineRule="auto" w:before="105"/>
              <w:ind w:left="438" w:right="0"/>
              <w:jc w:val="left"/>
              <w:rPr>
                <w:rFonts w:ascii="Times New Roman" w:hAnsi="Times New Roman" w:cs="Times New Roman" w:eastAsia="Times New Roman" w:hint="default"/>
                <w:sz w:val="18"/>
                <w:szCs w:val="18"/>
              </w:rPr>
            </w:pPr>
            <w:r>
              <w:rPr>
                <w:rFonts w:ascii="Times New Roman"/>
                <w:sz w:val="18"/>
              </w:rPr>
              <w:t>00.00</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3" w:right="0"/>
              <w:jc w:val="left"/>
              <w:rPr>
                <w:rFonts w:ascii="Times New Roman" w:hAnsi="Times New Roman" w:cs="Times New Roman" w:eastAsia="Times New Roman" w:hint="default"/>
                <w:sz w:val="18"/>
                <w:szCs w:val="18"/>
              </w:rPr>
            </w:pPr>
            <w:r>
              <w:rPr>
                <w:rFonts w:ascii="Times New Roman"/>
                <w:sz w:val="18"/>
              </w:rPr>
              <w:t>15,077,97</w:t>
            </w:r>
          </w:p>
          <w:p>
            <w:pPr>
              <w:pStyle w:val="TableParagraph"/>
              <w:spacing w:line="240" w:lineRule="auto" w:before="105"/>
              <w:ind w:left="528" w:right="0"/>
              <w:jc w:val="left"/>
              <w:rPr>
                <w:rFonts w:ascii="Times New Roman" w:hAnsi="Times New Roman" w:cs="Times New Roman" w:eastAsia="Times New Roman" w:hint="default"/>
                <w:sz w:val="18"/>
                <w:szCs w:val="18"/>
              </w:rPr>
            </w:pPr>
            <w:r>
              <w:rPr>
                <w:rFonts w:ascii="Times New Roman"/>
                <w:sz w:val="18"/>
              </w:rPr>
              <w:t>2.22</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2" w:right="0"/>
              <w:jc w:val="left"/>
              <w:rPr>
                <w:rFonts w:ascii="Times New Roman" w:hAnsi="Times New Roman" w:cs="Times New Roman" w:eastAsia="Times New Roman" w:hint="default"/>
                <w:sz w:val="18"/>
                <w:szCs w:val="18"/>
              </w:rPr>
            </w:pPr>
            <w:r>
              <w:rPr>
                <w:rFonts w:ascii="Times New Roman"/>
                <w:sz w:val="18"/>
              </w:rPr>
              <w:t>400,230,0</w:t>
            </w:r>
          </w:p>
          <w:p>
            <w:pPr>
              <w:pStyle w:val="TableParagraph"/>
              <w:spacing w:line="240" w:lineRule="auto" w:before="105"/>
              <w:ind w:left="437" w:right="0"/>
              <w:jc w:val="left"/>
              <w:rPr>
                <w:rFonts w:ascii="Times New Roman" w:hAnsi="Times New Roman" w:cs="Times New Roman" w:eastAsia="Times New Roman" w:hint="default"/>
                <w:sz w:val="18"/>
                <w:szCs w:val="18"/>
              </w:rPr>
            </w:pPr>
            <w:r>
              <w:rPr>
                <w:rFonts w:ascii="Times New Roman"/>
                <w:sz w:val="18"/>
              </w:rPr>
              <w:t>00.00</w:t>
            </w:r>
          </w:p>
        </w:tc>
        <w:tc>
          <w:tcPr>
            <w:tcW w:w="95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r>
        <w:rPr>
          <w:rFonts w:ascii="Times New Roman" w:hAnsi="Times New Roman" w:cs="Times New Roman" w:eastAsia="Times New Roman" w:hint="default"/>
        </w:rPr>
        <w:t>5</w:t>
      </w:r>
      <w:r>
        <w:rPr/>
        <w:t>、募集资金使用情况</w:t>
      </w:r>
      <w:r>
        <w:rPr>
          <w:b w:val="0"/>
          <w:bCs w:val="0"/>
        </w:rPr>
      </w:r>
    </w:p>
    <w:p>
      <w:pPr>
        <w:spacing w:line="240" w:lineRule="auto" w:before="7"/>
        <w:rPr>
          <w:rFonts w:ascii="宋体" w:hAnsi="宋体" w:cs="宋体" w:eastAsia="宋体" w:hint="default"/>
          <w:b/>
          <w:bCs/>
          <w:sz w:val="26"/>
          <w:szCs w:val="26"/>
        </w:rPr>
      </w:pPr>
    </w:p>
    <w:p>
      <w:pPr>
        <w:pStyle w:val="BodyText"/>
        <w:spacing w:line="357" w:lineRule="auto"/>
        <w:ind w:right="8052"/>
        <w:jc w:val="left"/>
      </w:pPr>
      <w:r>
        <w:rPr/>
        <w:t>□ 适用 √ 不适用 公司报告期无募集资金使用情况。</w:t>
      </w:r>
    </w:p>
    <w:p>
      <w:pPr>
        <w:spacing w:line="240" w:lineRule="auto" w:before="5"/>
        <w:rPr>
          <w:rFonts w:ascii="宋体" w:hAnsi="宋体" w:cs="宋体" w:eastAsia="宋体" w:hint="default"/>
          <w:sz w:val="18"/>
          <w:szCs w:val="18"/>
        </w:rPr>
      </w:pPr>
    </w:p>
    <w:p>
      <w:pPr>
        <w:pStyle w:val="Heading2"/>
        <w:spacing w:line="240" w:lineRule="auto"/>
        <w:ind w:right="0"/>
        <w:jc w:val="left"/>
        <w:rPr>
          <w:b w:val="0"/>
          <w:bCs w:val="0"/>
        </w:rPr>
      </w:pPr>
      <w:r>
        <w:rPr/>
        <w:t>六、重大资产和股权出售</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r>
        <w:rPr>
          <w:rFonts w:ascii="Times New Roman" w:hAnsi="Times New Roman" w:cs="Times New Roman" w:eastAsia="Times New Roman" w:hint="default"/>
        </w:rPr>
        <w:t>1</w:t>
      </w:r>
      <w:r>
        <w:rPr/>
        <w:t>、出售重大资产情况</w:t>
      </w:r>
      <w:r>
        <w:rPr>
          <w:b w:val="0"/>
          <w:bCs w:val="0"/>
        </w:rPr>
      </w:r>
    </w:p>
    <w:p>
      <w:pPr>
        <w:spacing w:line="240" w:lineRule="auto" w:before="6"/>
        <w:rPr>
          <w:rFonts w:ascii="宋体" w:hAnsi="宋体" w:cs="宋体" w:eastAsia="宋体" w:hint="default"/>
          <w:b/>
          <w:bCs/>
          <w:sz w:val="26"/>
          <w:szCs w:val="26"/>
        </w:rPr>
      </w:pPr>
    </w:p>
    <w:p>
      <w:pPr>
        <w:pStyle w:val="BodyText"/>
        <w:spacing w:line="357" w:lineRule="auto"/>
        <w:ind w:right="8412"/>
        <w:jc w:val="left"/>
      </w:pPr>
      <w:r>
        <w:rPr/>
        <w:t>□ 适用 √ 不适用 公司报告期未出售重大资产。</w:t>
      </w:r>
    </w:p>
    <w:p>
      <w:pPr>
        <w:spacing w:line="240" w:lineRule="auto" w:before="3"/>
        <w:rPr>
          <w:rFonts w:ascii="宋体" w:hAnsi="宋体" w:cs="宋体" w:eastAsia="宋体" w:hint="default"/>
          <w:sz w:val="20"/>
          <w:szCs w:val="20"/>
        </w:rPr>
      </w:pPr>
    </w:p>
    <w:p>
      <w:pPr>
        <w:pStyle w:val="Heading3"/>
        <w:spacing w:line="240" w:lineRule="auto"/>
        <w:ind w:right="0"/>
        <w:jc w:val="left"/>
        <w:rPr>
          <w:b w:val="0"/>
          <w:bCs w:val="0"/>
        </w:rPr>
      </w:pPr>
      <w:r>
        <w:rPr>
          <w:rFonts w:ascii="Times New Roman" w:hAnsi="Times New Roman" w:cs="Times New Roman" w:eastAsia="Times New Roman" w:hint="default"/>
        </w:rPr>
        <w:t>2</w:t>
      </w:r>
      <w:r>
        <w:rPr/>
        <w:t>、出售重大股权情况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
        <w:rPr>
          <w:rFonts w:ascii="宋体" w:hAnsi="宋体" w:cs="宋体" w:eastAsia="宋体" w:hint="default"/>
          <w:sz w:val="25"/>
          <w:szCs w:val="25"/>
        </w:rPr>
      </w:pPr>
    </w:p>
    <w:p>
      <w:pPr>
        <w:pStyle w:val="Heading2"/>
        <w:spacing w:line="240" w:lineRule="auto"/>
        <w:ind w:right="0"/>
        <w:jc w:val="left"/>
        <w:rPr>
          <w:b w:val="0"/>
          <w:bCs w:val="0"/>
        </w:rPr>
      </w:pPr>
      <w:r>
        <w:rPr/>
        <w:t>七、主要控股参股公司分析</w:t>
      </w:r>
      <w:r>
        <w:rPr>
          <w:b w:val="0"/>
          <w:bCs w:val="0"/>
        </w:rPr>
      </w:r>
    </w:p>
    <w:p>
      <w:pPr>
        <w:spacing w:line="240" w:lineRule="auto" w:before="1"/>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906" w:footer="1018" w:top="1100" w:bottom="1200" w:left="1020" w:right="0"/>
        </w:sectPr>
      </w:pPr>
    </w:p>
    <w:p>
      <w:pPr>
        <w:pStyle w:val="BodyText"/>
        <w:spacing w:line="240" w:lineRule="auto" w:before="44"/>
        <w:ind w:right="-20"/>
        <w:jc w:val="left"/>
      </w:pPr>
      <w:r>
        <w:rPr/>
        <w:t>√ 适用 □ 不适用</w:t>
      </w:r>
    </w:p>
    <w:p>
      <w:pPr>
        <w:pStyle w:val="BodyText"/>
        <w:spacing w:line="240" w:lineRule="auto" w:before="116"/>
        <w:ind w:right="-20"/>
        <w:jc w:val="left"/>
      </w:pPr>
      <w:r>
        <w:rPr/>
        <w:t>主要子公司及对公司净利润影响达</w:t>
      </w:r>
      <w:r>
        <w:rPr>
          <w:spacing w:val="-46"/>
        </w:rPr>
        <w:t> </w:t>
      </w:r>
      <w:r>
        <w:rPr>
          <w:rFonts w:ascii="Times New Roman" w:hAnsi="Times New Roman" w:cs="Times New Roman" w:eastAsia="Times New Roman" w:hint="default"/>
        </w:rPr>
        <w:t>10%</w:t>
      </w:r>
      <w:r>
        <w:rPr/>
        <w:t>以上的参股公司情况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pStyle w:val="BodyText"/>
        <w:spacing w:line="240" w:lineRule="auto"/>
        <w:ind w:right="0"/>
        <w:jc w:val="left"/>
      </w:pPr>
      <w:r>
        <w:rPr/>
        <w:t>单位：元</w:t>
      </w:r>
    </w:p>
    <w:p>
      <w:pPr>
        <w:spacing w:after="0" w:line="240" w:lineRule="auto"/>
        <w:jc w:val="left"/>
        <w:sectPr>
          <w:type w:val="continuous"/>
          <w:pgSz w:w="11910" w:h="16840"/>
          <w:pgMar w:top="1100" w:bottom="1200" w:left="1020" w:right="0"/>
          <w:cols w:num="2" w:equalWidth="0">
            <w:col w:w="4808" w:space="4110"/>
            <w:col w:w="1972"/>
          </w:cols>
        </w:sectPr>
      </w:pP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054"/>
        <w:gridCol w:w="1196"/>
        <w:gridCol w:w="1045"/>
        <w:gridCol w:w="1045"/>
        <w:gridCol w:w="1046"/>
        <w:gridCol w:w="1045"/>
        <w:gridCol w:w="1045"/>
        <w:gridCol w:w="1045"/>
        <w:gridCol w:w="1046"/>
      </w:tblGrid>
      <w:tr>
        <w:trPr>
          <w:trHeight w:val="402" w:hRule="exact"/>
        </w:trPr>
        <w:tc>
          <w:tcPr>
            <w:tcW w:w="105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公司名称</w:t>
            </w:r>
          </w:p>
        </w:tc>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233" w:right="0"/>
              <w:jc w:val="left"/>
              <w:rPr>
                <w:rFonts w:ascii="宋体" w:hAnsi="宋体" w:cs="宋体" w:eastAsia="宋体" w:hint="default"/>
                <w:sz w:val="18"/>
                <w:szCs w:val="18"/>
              </w:rPr>
            </w:pPr>
            <w:r>
              <w:rPr>
                <w:rFonts w:ascii="宋体" w:hAnsi="宋体" w:cs="宋体" w:eastAsia="宋体" w:hint="default"/>
                <w:sz w:val="18"/>
                <w:szCs w:val="18"/>
              </w:rPr>
              <w:t>公司类型</w:t>
            </w:r>
          </w:p>
        </w:tc>
        <w:tc>
          <w:tcPr>
            <w:tcW w:w="104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56" w:right="0"/>
              <w:jc w:val="left"/>
              <w:rPr>
                <w:rFonts w:ascii="宋体" w:hAnsi="宋体" w:cs="宋体" w:eastAsia="宋体" w:hint="default"/>
                <w:sz w:val="18"/>
                <w:szCs w:val="18"/>
              </w:rPr>
            </w:pPr>
            <w:r>
              <w:rPr>
                <w:rFonts w:ascii="宋体" w:hAnsi="宋体" w:cs="宋体" w:eastAsia="宋体" w:hint="default"/>
                <w:sz w:val="18"/>
                <w:szCs w:val="18"/>
              </w:rPr>
              <w:t>主要业务</w:t>
            </w:r>
          </w:p>
        </w:tc>
        <w:tc>
          <w:tcPr>
            <w:tcW w:w="104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57"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104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247" w:right="0"/>
              <w:jc w:val="left"/>
              <w:rPr>
                <w:rFonts w:ascii="宋体" w:hAnsi="宋体" w:cs="宋体" w:eastAsia="宋体" w:hint="default"/>
                <w:sz w:val="18"/>
                <w:szCs w:val="18"/>
              </w:rPr>
            </w:pPr>
            <w:r>
              <w:rPr>
                <w:rFonts w:ascii="宋体" w:hAnsi="宋体" w:cs="宋体" w:eastAsia="宋体" w:hint="default"/>
                <w:sz w:val="18"/>
                <w:szCs w:val="18"/>
              </w:rPr>
              <w:t>总资产</w:t>
            </w:r>
          </w:p>
        </w:tc>
        <w:tc>
          <w:tcPr>
            <w:tcW w:w="104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247" w:right="0"/>
              <w:jc w:val="left"/>
              <w:rPr>
                <w:rFonts w:ascii="宋体" w:hAnsi="宋体" w:cs="宋体" w:eastAsia="宋体" w:hint="default"/>
                <w:sz w:val="18"/>
                <w:szCs w:val="18"/>
              </w:rPr>
            </w:pPr>
            <w:r>
              <w:rPr>
                <w:rFonts w:ascii="宋体" w:hAnsi="宋体" w:cs="宋体" w:eastAsia="宋体" w:hint="default"/>
                <w:sz w:val="18"/>
                <w:szCs w:val="18"/>
              </w:rPr>
              <w:t>净资产</w:t>
            </w:r>
          </w:p>
        </w:tc>
        <w:tc>
          <w:tcPr>
            <w:tcW w:w="104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57"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4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56" w:right="0"/>
              <w:jc w:val="left"/>
              <w:rPr>
                <w:rFonts w:ascii="宋体" w:hAnsi="宋体" w:cs="宋体" w:eastAsia="宋体" w:hint="default"/>
                <w:sz w:val="18"/>
                <w:szCs w:val="18"/>
              </w:rPr>
            </w:pPr>
            <w:r>
              <w:rPr>
                <w:rFonts w:ascii="宋体" w:hAnsi="宋体" w:cs="宋体" w:eastAsia="宋体" w:hint="default"/>
                <w:sz w:val="18"/>
                <w:szCs w:val="18"/>
              </w:rPr>
              <w:t>营业利润</w:t>
            </w:r>
          </w:p>
        </w:tc>
        <w:tc>
          <w:tcPr>
            <w:tcW w:w="104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248" w:right="0"/>
              <w:jc w:val="left"/>
              <w:rPr>
                <w:rFonts w:ascii="宋体" w:hAnsi="宋体" w:cs="宋体" w:eastAsia="宋体" w:hint="default"/>
                <w:sz w:val="18"/>
                <w:szCs w:val="18"/>
              </w:rPr>
            </w:pPr>
            <w:r>
              <w:rPr>
                <w:rFonts w:ascii="宋体" w:hAnsi="宋体" w:cs="宋体" w:eastAsia="宋体" w:hint="default"/>
                <w:sz w:val="18"/>
                <w:szCs w:val="18"/>
              </w:rPr>
              <w:t>净利润</w:t>
            </w:r>
          </w:p>
        </w:tc>
      </w:tr>
      <w:tr>
        <w:trPr>
          <w:trHeight w:val="356" w:hRule="exact"/>
        </w:trPr>
        <w:tc>
          <w:tcPr>
            <w:tcW w:w="1054" w:type="dxa"/>
            <w:tcBorders>
              <w:top w:val="single" w:sz="4" w:space="0" w:color="000000"/>
              <w:left w:val="single" w:sz="4" w:space="0" w:color="000000"/>
              <w:bottom w:val="nil" w:sz="6" w:space="0" w:color="auto"/>
              <w:right w:val="single" w:sz="4" w:space="0" w:color="000000"/>
            </w:tcBorders>
          </w:tcPr>
          <w:p>
            <w:pPr/>
          </w:p>
        </w:tc>
        <w:tc>
          <w:tcPr>
            <w:tcW w:w="1196" w:type="dxa"/>
            <w:tcBorders>
              <w:top w:val="single" w:sz="4" w:space="0" w:color="000000"/>
              <w:left w:val="single" w:sz="4" w:space="0" w:color="000000"/>
              <w:bottom w:val="nil" w:sz="6" w:space="0" w:color="auto"/>
              <w:right w:val="single" w:sz="4" w:space="0" w:color="000000"/>
            </w:tcBorders>
          </w:tcPr>
          <w:p>
            <w:pPr/>
          </w:p>
        </w:tc>
        <w:tc>
          <w:tcPr>
            <w:tcW w:w="104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电子标签、</w:t>
            </w:r>
          </w:p>
        </w:tc>
        <w:tc>
          <w:tcPr>
            <w:tcW w:w="1045" w:type="dxa"/>
            <w:tcBorders>
              <w:top w:val="single" w:sz="4" w:space="0" w:color="000000"/>
              <w:left w:val="single" w:sz="4" w:space="0" w:color="000000"/>
              <w:bottom w:val="nil" w:sz="6" w:space="0" w:color="auto"/>
              <w:right w:val="single" w:sz="4" w:space="0" w:color="000000"/>
            </w:tcBorders>
          </w:tcPr>
          <w:p>
            <w:pPr/>
          </w:p>
        </w:tc>
        <w:tc>
          <w:tcPr>
            <w:tcW w:w="1046" w:type="dxa"/>
            <w:tcBorders>
              <w:top w:val="single" w:sz="4" w:space="0" w:color="000000"/>
              <w:left w:val="single" w:sz="4" w:space="0" w:color="000000"/>
              <w:bottom w:val="nil" w:sz="6" w:space="0" w:color="auto"/>
              <w:right w:val="single" w:sz="4" w:space="0" w:color="000000"/>
            </w:tcBorders>
          </w:tcPr>
          <w:p>
            <w:pPr/>
          </w:p>
        </w:tc>
        <w:tc>
          <w:tcPr>
            <w:tcW w:w="1045" w:type="dxa"/>
            <w:tcBorders>
              <w:top w:val="single" w:sz="4" w:space="0" w:color="000000"/>
              <w:left w:val="single" w:sz="4" w:space="0" w:color="000000"/>
              <w:bottom w:val="nil" w:sz="6" w:space="0" w:color="auto"/>
              <w:right w:val="single" w:sz="4" w:space="0" w:color="000000"/>
            </w:tcBorders>
          </w:tcPr>
          <w:p>
            <w:pPr/>
          </w:p>
        </w:tc>
        <w:tc>
          <w:tcPr>
            <w:tcW w:w="1045" w:type="dxa"/>
            <w:tcBorders>
              <w:top w:val="single" w:sz="4" w:space="0" w:color="000000"/>
              <w:left w:val="single" w:sz="4" w:space="0" w:color="000000"/>
              <w:bottom w:val="nil" w:sz="6" w:space="0" w:color="auto"/>
              <w:right w:val="single" w:sz="4" w:space="0" w:color="000000"/>
            </w:tcBorders>
          </w:tcPr>
          <w:p>
            <w:pPr/>
          </w:p>
        </w:tc>
        <w:tc>
          <w:tcPr>
            <w:tcW w:w="1045" w:type="dxa"/>
            <w:tcBorders>
              <w:top w:val="single" w:sz="4" w:space="0" w:color="000000"/>
              <w:left w:val="single" w:sz="4" w:space="0" w:color="000000"/>
              <w:bottom w:val="nil" w:sz="6" w:space="0" w:color="auto"/>
              <w:right w:val="single" w:sz="4" w:space="0" w:color="000000"/>
            </w:tcBorders>
          </w:tcPr>
          <w:p>
            <w:pPr/>
          </w:p>
        </w:tc>
        <w:tc>
          <w:tcPr>
            <w:tcW w:w="1046"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1054" w:type="dxa"/>
            <w:tcBorders>
              <w:top w:val="nil" w:sz="6" w:space="0" w:color="auto"/>
              <w:left w:val="single" w:sz="4" w:space="0" w:color="000000"/>
              <w:bottom w:val="nil" w:sz="6" w:space="0" w:color="auto"/>
              <w:right w:val="single" w:sz="4" w:space="0" w:color="000000"/>
            </w:tcBorders>
          </w:tcPr>
          <w:p>
            <w:pPr/>
          </w:p>
        </w:tc>
        <w:tc>
          <w:tcPr>
            <w:tcW w:w="1196"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读写机具、</w:t>
            </w:r>
          </w:p>
        </w:tc>
        <w:tc>
          <w:tcPr>
            <w:tcW w:w="1045"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r>
      <w:tr>
        <w:trPr>
          <w:trHeight w:val="380" w:hRule="exact"/>
        </w:trPr>
        <w:tc>
          <w:tcPr>
            <w:tcW w:w="1054" w:type="dxa"/>
            <w:tcBorders>
              <w:top w:val="nil" w:sz="6" w:space="0" w:color="auto"/>
              <w:left w:val="single" w:sz="4" w:space="0" w:color="000000"/>
              <w:bottom w:val="nil" w:sz="6" w:space="0" w:color="auto"/>
              <w:right w:val="single" w:sz="4" w:space="0" w:color="000000"/>
            </w:tcBorders>
          </w:tcPr>
          <w:p>
            <w:pPr>
              <w:pStyle w:val="TableParagraph"/>
              <w:spacing w:line="240" w:lineRule="auto" w:before="146"/>
              <w:ind w:right="116"/>
              <w:jc w:val="center"/>
              <w:rPr>
                <w:rFonts w:ascii="宋体" w:hAnsi="宋体" w:cs="宋体" w:eastAsia="宋体" w:hint="default"/>
                <w:sz w:val="18"/>
                <w:szCs w:val="18"/>
              </w:rPr>
            </w:pPr>
            <w:r>
              <w:rPr>
                <w:rFonts w:ascii="宋体" w:hAnsi="宋体" w:cs="宋体" w:eastAsia="宋体" w:hint="default"/>
                <w:sz w:val="18"/>
                <w:szCs w:val="18"/>
              </w:rPr>
              <w:t>江苏恒宝</w:t>
            </w:r>
          </w:p>
        </w:tc>
        <w:tc>
          <w:tcPr>
            <w:tcW w:w="1196"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终端产品</w:t>
            </w:r>
          </w:p>
        </w:tc>
        <w:tc>
          <w:tcPr>
            <w:tcW w:w="1045"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r>
      <w:tr>
        <w:trPr>
          <w:trHeight w:val="936" w:hRule="exact"/>
        </w:trPr>
        <w:tc>
          <w:tcPr>
            <w:tcW w:w="1054" w:type="dxa"/>
            <w:tcBorders>
              <w:top w:val="nil" w:sz="6" w:space="0" w:color="auto"/>
              <w:left w:val="single" w:sz="4" w:space="0" w:color="000000"/>
              <w:bottom w:val="nil" w:sz="6" w:space="0" w:color="auto"/>
              <w:right w:val="single" w:sz="4" w:space="0" w:color="000000"/>
            </w:tcBorders>
          </w:tcPr>
          <w:p>
            <w:pPr>
              <w:pStyle w:val="TableParagraph"/>
              <w:spacing w:line="310" w:lineRule="atLeast" w:before="3"/>
              <w:ind w:left="102" w:right="219"/>
              <w:jc w:val="both"/>
              <w:rPr>
                <w:rFonts w:ascii="宋体" w:hAnsi="宋体" w:cs="宋体" w:eastAsia="宋体" w:hint="default"/>
                <w:sz w:val="18"/>
                <w:szCs w:val="18"/>
              </w:rPr>
            </w:pPr>
            <w:r>
              <w:rPr>
                <w:rFonts w:ascii="宋体" w:hAnsi="宋体" w:cs="宋体" w:eastAsia="宋体" w:hint="default"/>
                <w:sz w:val="18"/>
                <w:szCs w:val="18"/>
              </w:rPr>
              <w:t>智能系统 技术有限 公司</w:t>
            </w:r>
          </w:p>
        </w:tc>
        <w:tc>
          <w:tcPr>
            <w:tcW w:w="1196"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178" w:lineRule="exact"/>
              <w:ind w:left="102" w:right="0"/>
              <w:jc w:val="left"/>
              <w:rPr>
                <w:rFonts w:ascii="宋体" w:hAnsi="宋体" w:cs="宋体" w:eastAsia="宋体" w:hint="default"/>
                <w:sz w:val="18"/>
                <w:szCs w:val="18"/>
              </w:rPr>
            </w:pPr>
            <w:r>
              <w:rPr>
                <w:rFonts w:ascii="宋体" w:hAnsi="宋体" w:cs="宋体" w:eastAsia="宋体" w:hint="default"/>
                <w:spacing w:val="-15"/>
                <w:sz w:val="18"/>
                <w:szCs w:val="18"/>
              </w:rPr>
              <w:t>的研发、生</w:t>
            </w:r>
          </w:p>
          <w:p>
            <w:pPr>
              <w:pStyle w:val="TableParagraph"/>
              <w:spacing w:line="319" w:lineRule="auto" w:before="76"/>
              <w:ind w:left="102" w:right="101"/>
              <w:jc w:val="left"/>
              <w:rPr>
                <w:rFonts w:ascii="宋体" w:hAnsi="宋体" w:cs="宋体" w:eastAsia="宋体" w:hint="default"/>
                <w:sz w:val="18"/>
                <w:szCs w:val="18"/>
              </w:rPr>
            </w:pPr>
            <w:r>
              <w:rPr>
                <w:rFonts w:ascii="宋体" w:hAnsi="宋体" w:cs="宋体" w:eastAsia="宋体" w:hint="default"/>
                <w:spacing w:val="-15"/>
                <w:sz w:val="18"/>
                <w:szCs w:val="18"/>
              </w:rPr>
              <w:t>产、销售及</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15"/>
                <w:sz w:val="18"/>
                <w:szCs w:val="18"/>
              </w:rPr>
              <w:t>服务；电子</w:t>
            </w: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120"/>
              <w:ind w:left="103" w:right="0"/>
              <w:jc w:val="left"/>
              <w:rPr>
                <w:rFonts w:ascii="Times New Roman" w:hAnsi="Times New Roman" w:cs="Times New Roman" w:eastAsia="Times New Roman" w:hint="default"/>
                <w:sz w:val="18"/>
                <w:szCs w:val="18"/>
              </w:rPr>
            </w:pPr>
            <w:r>
              <w:rPr>
                <w:rFonts w:ascii="Times New Roman"/>
                <w:sz w:val="18"/>
              </w:rPr>
              <w:t>35,000.00</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1046" w:type="dxa"/>
            <w:tcBorders>
              <w:top w:val="nil" w:sz="6" w:space="0" w:color="auto"/>
              <w:left w:val="single" w:sz="4" w:space="0" w:color="000000"/>
              <w:bottom w:val="nil" w:sz="6" w:space="0" w:color="auto"/>
              <w:right w:val="single" w:sz="4" w:space="0" w:color="000000"/>
            </w:tcBorders>
          </w:tcPr>
          <w:p>
            <w:pPr>
              <w:pStyle w:val="TableParagraph"/>
              <w:spacing w:line="240" w:lineRule="auto" w:before="120"/>
              <w:ind w:left="123" w:right="0"/>
              <w:jc w:val="left"/>
              <w:rPr>
                <w:rFonts w:ascii="Times New Roman" w:hAnsi="Times New Roman" w:cs="Times New Roman" w:eastAsia="Times New Roman" w:hint="default"/>
                <w:sz w:val="18"/>
                <w:szCs w:val="18"/>
              </w:rPr>
            </w:pPr>
            <w:r>
              <w:rPr>
                <w:rFonts w:ascii="Times New Roman"/>
                <w:sz w:val="18"/>
              </w:rPr>
              <w:t>520,632,32</w:t>
            </w:r>
          </w:p>
          <w:p>
            <w:pPr>
              <w:pStyle w:val="TableParagraph"/>
              <w:spacing w:line="240" w:lineRule="auto" w:before="105"/>
              <w:ind w:left="618" w:right="0"/>
              <w:jc w:val="left"/>
              <w:rPr>
                <w:rFonts w:ascii="Times New Roman" w:hAnsi="Times New Roman" w:cs="Times New Roman" w:eastAsia="Times New Roman" w:hint="default"/>
                <w:sz w:val="18"/>
                <w:szCs w:val="18"/>
              </w:rPr>
            </w:pPr>
            <w:r>
              <w:rPr>
                <w:rFonts w:ascii="Times New Roman"/>
                <w:sz w:val="18"/>
              </w:rPr>
              <w:t>7.65</w:t>
            </w: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120"/>
              <w:ind w:left="122" w:right="0"/>
              <w:jc w:val="left"/>
              <w:rPr>
                <w:rFonts w:ascii="Times New Roman" w:hAnsi="Times New Roman" w:cs="Times New Roman" w:eastAsia="Times New Roman" w:hint="default"/>
                <w:sz w:val="18"/>
                <w:szCs w:val="18"/>
              </w:rPr>
            </w:pPr>
            <w:r>
              <w:rPr>
                <w:rFonts w:ascii="Times New Roman"/>
                <w:sz w:val="18"/>
              </w:rPr>
              <w:t>358,042,62</w:t>
            </w:r>
          </w:p>
          <w:p>
            <w:pPr>
              <w:pStyle w:val="TableParagraph"/>
              <w:spacing w:line="240" w:lineRule="auto" w:before="105"/>
              <w:ind w:left="617" w:right="0"/>
              <w:jc w:val="left"/>
              <w:rPr>
                <w:rFonts w:ascii="Times New Roman" w:hAnsi="Times New Roman" w:cs="Times New Roman" w:eastAsia="Times New Roman" w:hint="default"/>
                <w:sz w:val="18"/>
                <w:szCs w:val="18"/>
              </w:rPr>
            </w:pPr>
            <w:r>
              <w:rPr>
                <w:rFonts w:ascii="Times New Roman"/>
                <w:sz w:val="18"/>
              </w:rPr>
              <w:t>8.45</w:t>
            </w: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120"/>
              <w:ind w:left="121" w:right="0"/>
              <w:jc w:val="left"/>
              <w:rPr>
                <w:rFonts w:ascii="Times New Roman" w:hAnsi="Times New Roman" w:cs="Times New Roman" w:eastAsia="Times New Roman" w:hint="default"/>
                <w:sz w:val="18"/>
                <w:szCs w:val="18"/>
              </w:rPr>
            </w:pPr>
            <w:r>
              <w:rPr>
                <w:rFonts w:ascii="Times New Roman"/>
                <w:sz w:val="18"/>
              </w:rPr>
              <w:t>199,028,76</w:t>
            </w:r>
          </w:p>
          <w:p>
            <w:pPr>
              <w:pStyle w:val="TableParagraph"/>
              <w:spacing w:line="240" w:lineRule="auto" w:before="105"/>
              <w:ind w:left="624" w:right="0"/>
              <w:jc w:val="left"/>
              <w:rPr>
                <w:rFonts w:ascii="Times New Roman" w:hAnsi="Times New Roman" w:cs="Times New Roman" w:eastAsia="Times New Roman" w:hint="default"/>
                <w:sz w:val="18"/>
                <w:szCs w:val="18"/>
              </w:rPr>
            </w:pPr>
            <w:r>
              <w:rPr>
                <w:rFonts w:ascii="Times New Roman"/>
                <w:sz w:val="18"/>
              </w:rPr>
              <w:t>1.11</w:t>
            </w: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120"/>
              <w:ind w:right="101"/>
              <w:jc w:val="right"/>
              <w:rPr>
                <w:rFonts w:ascii="Times New Roman" w:hAnsi="Times New Roman" w:cs="Times New Roman" w:eastAsia="Times New Roman" w:hint="default"/>
                <w:sz w:val="18"/>
                <w:szCs w:val="18"/>
              </w:rPr>
            </w:pPr>
            <w:r>
              <w:rPr>
                <w:rFonts w:ascii="Times New Roman"/>
                <w:sz w:val="18"/>
              </w:rPr>
              <w:t>13,791,613</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.39</w:t>
            </w:r>
          </w:p>
        </w:tc>
        <w:tc>
          <w:tcPr>
            <w:tcW w:w="1046" w:type="dxa"/>
            <w:tcBorders>
              <w:top w:val="nil" w:sz="6" w:space="0" w:color="auto"/>
              <w:left w:val="single" w:sz="4" w:space="0" w:color="000000"/>
              <w:bottom w:val="nil" w:sz="6" w:space="0" w:color="auto"/>
              <w:right w:val="single" w:sz="4" w:space="0" w:color="000000"/>
            </w:tcBorders>
          </w:tcPr>
          <w:p>
            <w:pPr>
              <w:pStyle w:val="TableParagraph"/>
              <w:spacing w:line="240" w:lineRule="auto" w:before="120"/>
              <w:ind w:right="101"/>
              <w:jc w:val="right"/>
              <w:rPr>
                <w:rFonts w:ascii="Times New Roman" w:hAnsi="Times New Roman" w:cs="Times New Roman" w:eastAsia="Times New Roman" w:hint="default"/>
                <w:sz w:val="18"/>
                <w:szCs w:val="18"/>
              </w:rPr>
            </w:pPr>
            <w:r>
              <w:rPr>
                <w:rFonts w:ascii="Times New Roman"/>
                <w:spacing w:val="-1"/>
                <w:sz w:val="18"/>
              </w:rPr>
              <w:t>11,386,847</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.61</w:t>
            </w:r>
          </w:p>
        </w:tc>
      </w:tr>
      <w:tr>
        <w:trPr>
          <w:trHeight w:val="244" w:hRule="exact"/>
        </w:trPr>
        <w:tc>
          <w:tcPr>
            <w:tcW w:w="1054" w:type="dxa"/>
            <w:tcBorders>
              <w:top w:val="nil" w:sz="6" w:space="0" w:color="auto"/>
              <w:left w:val="single" w:sz="4" w:space="0" w:color="000000"/>
              <w:bottom w:val="nil" w:sz="6" w:space="0" w:color="auto"/>
              <w:right w:val="single" w:sz="4" w:space="0" w:color="000000"/>
            </w:tcBorders>
          </w:tcPr>
          <w:p>
            <w:pPr/>
          </w:p>
        </w:tc>
        <w:tc>
          <w:tcPr>
            <w:tcW w:w="1196"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178" w:lineRule="exact"/>
              <w:ind w:left="102" w:right="0"/>
              <w:jc w:val="left"/>
              <w:rPr>
                <w:rFonts w:ascii="宋体" w:hAnsi="宋体" w:cs="宋体" w:eastAsia="宋体" w:hint="default"/>
                <w:sz w:val="18"/>
                <w:szCs w:val="18"/>
              </w:rPr>
            </w:pPr>
            <w:r>
              <w:rPr>
                <w:rFonts w:ascii="宋体" w:hAnsi="宋体" w:cs="宋体" w:eastAsia="宋体" w:hint="default"/>
                <w:sz w:val="18"/>
                <w:szCs w:val="18"/>
              </w:rPr>
              <w:t>标签的行</w:t>
            </w:r>
          </w:p>
        </w:tc>
        <w:tc>
          <w:tcPr>
            <w:tcW w:w="1045"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054" w:type="dxa"/>
            <w:tcBorders>
              <w:top w:val="nil" w:sz="6" w:space="0" w:color="auto"/>
              <w:left w:val="single" w:sz="4" w:space="0" w:color="000000"/>
              <w:bottom w:val="nil" w:sz="6" w:space="0" w:color="auto"/>
              <w:right w:val="single" w:sz="4" w:space="0" w:color="000000"/>
            </w:tcBorders>
          </w:tcPr>
          <w:p>
            <w:pPr/>
          </w:p>
        </w:tc>
        <w:tc>
          <w:tcPr>
            <w:tcW w:w="1196"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业解决方</w:t>
            </w:r>
          </w:p>
        </w:tc>
        <w:tc>
          <w:tcPr>
            <w:tcW w:w="1045"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1054" w:type="dxa"/>
            <w:tcBorders>
              <w:top w:val="nil" w:sz="6" w:space="0" w:color="auto"/>
              <w:left w:val="single" w:sz="4" w:space="0" w:color="000000"/>
              <w:bottom w:val="single" w:sz="4" w:space="0" w:color="000000"/>
              <w:right w:val="single" w:sz="4" w:space="0" w:color="000000"/>
            </w:tcBorders>
          </w:tcPr>
          <w:p>
            <w:pPr/>
          </w:p>
        </w:tc>
        <w:tc>
          <w:tcPr>
            <w:tcW w:w="1196" w:type="dxa"/>
            <w:tcBorders>
              <w:top w:val="nil" w:sz="6" w:space="0" w:color="auto"/>
              <w:left w:val="single" w:sz="4" w:space="0" w:color="000000"/>
              <w:bottom w:val="single" w:sz="4" w:space="0" w:color="000000"/>
              <w:right w:val="single" w:sz="4" w:space="0" w:color="000000"/>
            </w:tcBorders>
          </w:tcPr>
          <w:p>
            <w:pPr/>
          </w:p>
        </w:tc>
        <w:tc>
          <w:tcPr>
            <w:tcW w:w="104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pacing w:val="-15"/>
                <w:sz w:val="18"/>
                <w:szCs w:val="18"/>
              </w:rPr>
              <w:t>案、软件开</w:t>
            </w:r>
          </w:p>
        </w:tc>
        <w:tc>
          <w:tcPr>
            <w:tcW w:w="1045" w:type="dxa"/>
            <w:tcBorders>
              <w:top w:val="nil" w:sz="6" w:space="0" w:color="auto"/>
              <w:left w:val="single" w:sz="4" w:space="0" w:color="000000"/>
              <w:bottom w:val="single" w:sz="4" w:space="0" w:color="000000"/>
              <w:right w:val="single" w:sz="4" w:space="0" w:color="000000"/>
            </w:tcBorders>
          </w:tcPr>
          <w:p>
            <w:pPr/>
          </w:p>
        </w:tc>
        <w:tc>
          <w:tcPr>
            <w:tcW w:w="1046" w:type="dxa"/>
            <w:tcBorders>
              <w:top w:val="nil" w:sz="6" w:space="0" w:color="auto"/>
              <w:left w:val="single" w:sz="4" w:space="0" w:color="000000"/>
              <w:bottom w:val="single" w:sz="4" w:space="0" w:color="000000"/>
              <w:right w:val="single" w:sz="4" w:space="0" w:color="000000"/>
            </w:tcBorders>
          </w:tcPr>
          <w:p>
            <w:pPr/>
          </w:p>
        </w:tc>
        <w:tc>
          <w:tcPr>
            <w:tcW w:w="1045" w:type="dxa"/>
            <w:tcBorders>
              <w:top w:val="nil" w:sz="6" w:space="0" w:color="auto"/>
              <w:left w:val="single" w:sz="4" w:space="0" w:color="000000"/>
              <w:bottom w:val="single" w:sz="4" w:space="0" w:color="000000"/>
              <w:right w:val="single" w:sz="4" w:space="0" w:color="000000"/>
            </w:tcBorders>
          </w:tcPr>
          <w:p>
            <w:pPr/>
          </w:p>
        </w:tc>
        <w:tc>
          <w:tcPr>
            <w:tcW w:w="1045" w:type="dxa"/>
            <w:tcBorders>
              <w:top w:val="nil" w:sz="6" w:space="0" w:color="auto"/>
              <w:left w:val="single" w:sz="4" w:space="0" w:color="000000"/>
              <w:bottom w:val="single" w:sz="4" w:space="0" w:color="000000"/>
              <w:right w:val="single" w:sz="4" w:space="0" w:color="000000"/>
            </w:tcBorders>
          </w:tcPr>
          <w:p>
            <w:pPr/>
          </w:p>
        </w:tc>
        <w:tc>
          <w:tcPr>
            <w:tcW w:w="1045" w:type="dxa"/>
            <w:tcBorders>
              <w:top w:val="nil" w:sz="6" w:space="0" w:color="auto"/>
              <w:left w:val="single" w:sz="4" w:space="0" w:color="000000"/>
              <w:bottom w:val="single" w:sz="4" w:space="0" w:color="000000"/>
              <w:right w:val="single" w:sz="4" w:space="0" w:color="000000"/>
            </w:tcBorders>
          </w:tcPr>
          <w:p>
            <w:pPr/>
          </w:p>
        </w:tc>
        <w:tc>
          <w:tcPr>
            <w:tcW w:w="1046" w:type="dxa"/>
            <w:tcBorders>
              <w:top w:val="nil" w:sz="6" w:space="0" w:color="auto"/>
              <w:left w:val="single" w:sz="4" w:space="0" w:color="000000"/>
              <w:bottom w:val="single" w:sz="4" w:space="0" w:color="000000"/>
              <w:right w:val="single" w:sz="4" w:space="0" w:color="000000"/>
            </w:tcBorders>
          </w:tcPr>
          <w:p>
            <w:pPr/>
          </w:p>
        </w:tc>
      </w:tr>
    </w:tbl>
    <w:p>
      <w:pPr>
        <w:spacing w:after="0"/>
        <w:sectPr>
          <w:type w:val="continuous"/>
          <w:pgSz w:w="11910" w:h="16840"/>
          <w:pgMar w:top="1100" w:bottom="1200" w:left="1020" w:right="0"/>
        </w:sectPr>
      </w:pPr>
    </w:p>
    <w:p>
      <w:pPr>
        <w:spacing w:line="240" w:lineRule="auto" w:before="0"/>
        <w:rPr>
          <w:rFonts w:ascii="Times New Roman" w:hAnsi="Times New Roman" w:cs="Times New Roman" w:eastAsia="Times New Roman" w:hint="default"/>
          <w:sz w:val="29"/>
          <w:szCs w:val="29"/>
        </w:rPr>
      </w:pPr>
    </w:p>
    <w:tbl>
      <w:tblPr>
        <w:tblW w:w="0" w:type="auto"/>
        <w:jc w:val="left"/>
        <w:tblInd w:w="109" w:type="dxa"/>
        <w:tblLayout w:type="fixed"/>
        <w:tblCellMar>
          <w:top w:w="0" w:type="dxa"/>
          <w:left w:w="0" w:type="dxa"/>
          <w:bottom w:w="0" w:type="dxa"/>
          <w:right w:w="0" w:type="dxa"/>
        </w:tblCellMar>
        <w:tblLook w:val="01E0"/>
      </w:tblPr>
      <w:tblGrid>
        <w:gridCol w:w="1054"/>
        <w:gridCol w:w="1196"/>
        <w:gridCol w:w="1045"/>
        <w:gridCol w:w="1045"/>
        <w:gridCol w:w="1046"/>
        <w:gridCol w:w="1045"/>
        <w:gridCol w:w="1045"/>
        <w:gridCol w:w="1045"/>
        <w:gridCol w:w="1046"/>
      </w:tblGrid>
      <w:tr>
        <w:trPr>
          <w:trHeight w:val="316" w:hRule="exact"/>
        </w:trPr>
        <w:tc>
          <w:tcPr>
            <w:tcW w:w="1054" w:type="dxa"/>
            <w:vMerge w:val="restart"/>
            <w:tcBorders>
              <w:top w:val="single" w:sz="4" w:space="0" w:color="000000"/>
              <w:left w:val="single" w:sz="4" w:space="0" w:color="000000"/>
              <w:right w:val="single" w:sz="4" w:space="0" w:color="000000"/>
            </w:tcBorders>
          </w:tcPr>
          <w:p>
            <w:pPr/>
          </w:p>
        </w:tc>
        <w:tc>
          <w:tcPr>
            <w:tcW w:w="1196" w:type="dxa"/>
            <w:vMerge w:val="restart"/>
            <w:tcBorders>
              <w:top w:val="single" w:sz="4" w:space="0" w:color="000000"/>
              <w:left w:val="single" w:sz="4" w:space="0" w:color="000000"/>
              <w:right w:val="single" w:sz="4" w:space="0" w:color="000000"/>
            </w:tcBorders>
          </w:tcPr>
          <w:p>
            <w:pPr/>
          </w:p>
        </w:tc>
        <w:tc>
          <w:tcPr>
            <w:tcW w:w="104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发及系统</w:t>
            </w:r>
          </w:p>
        </w:tc>
        <w:tc>
          <w:tcPr>
            <w:tcW w:w="1045" w:type="dxa"/>
            <w:vMerge w:val="restart"/>
            <w:tcBorders>
              <w:top w:val="single" w:sz="4" w:space="0" w:color="000000"/>
              <w:left w:val="single" w:sz="4" w:space="0" w:color="000000"/>
              <w:right w:val="single" w:sz="4" w:space="0" w:color="000000"/>
            </w:tcBorders>
          </w:tcPr>
          <w:p>
            <w:pPr/>
          </w:p>
        </w:tc>
        <w:tc>
          <w:tcPr>
            <w:tcW w:w="1046" w:type="dxa"/>
            <w:vMerge w:val="restart"/>
            <w:tcBorders>
              <w:top w:val="single" w:sz="4" w:space="0" w:color="000000"/>
              <w:left w:val="single" w:sz="4" w:space="0" w:color="000000"/>
              <w:right w:val="single" w:sz="4" w:space="0" w:color="000000"/>
            </w:tcBorders>
          </w:tcPr>
          <w:p>
            <w:pPr/>
          </w:p>
        </w:tc>
        <w:tc>
          <w:tcPr>
            <w:tcW w:w="1045" w:type="dxa"/>
            <w:vMerge w:val="restart"/>
            <w:tcBorders>
              <w:top w:val="single" w:sz="4" w:space="0" w:color="000000"/>
              <w:left w:val="single" w:sz="4" w:space="0" w:color="000000"/>
              <w:right w:val="single" w:sz="4" w:space="0" w:color="000000"/>
            </w:tcBorders>
          </w:tcPr>
          <w:p>
            <w:pPr/>
          </w:p>
        </w:tc>
        <w:tc>
          <w:tcPr>
            <w:tcW w:w="1045" w:type="dxa"/>
            <w:vMerge w:val="restart"/>
            <w:tcBorders>
              <w:top w:val="single" w:sz="4" w:space="0" w:color="000000"/>
              <w:left w:val="single" w:sz="4" w:space="0" w:color="000000"/>
              <w:right w:val="single" w:sz="4" w:space="0" w:color="000000"/>
            </w:tcBorders>
          </w:tcPr>
          <w:p>
            <w:pPr/>
          </w:p>
        </w:tc>
        <w:tc>
          <w:tcPr>
            <w:tcW w:w="1045" w:type="dxa"/>
            <w:vMerge w:val="restart"/>
            <w:tcBorders>
              <w:top w:val="single" w:sz="4" w:space="0" w:color="000000"/>
              <w:left w:val="single" w:sz="4" w:space="0" w:color="000000"/>
              <w:right w:val="single" w:sz="4" w:space="0" w:color="000000"/>
            </w:tcBorders>
          </w:tcPr>
          <w:p>
            <w:pPr/>
          </w:p>
        </w:tc>
        <w:tc>
          <w:tcPr>
            <w:tcW w:w="1046" w:type="dxa"/>
            <w:vMerge w:val="restart"/>
            <w:tcBorders>
              <w:top w:val="single" w:sz="4" w:space="0" w:color="000000"/>
              <w:left w:val="single" w:sz="4" w:space="0" w:color="000000"/>
              <w:right w:val="single" w:sz="4" w:space="0" w:color="000000"/>
            </w:tcBorders>
          </w:tcPr>
          <w:p>
            <w:pPr/>
          </w:p>
        </w:tc>
      </w:tr>
      <w:tr>
        <w:trPr>
          <w:trHeight w:val="312" w:hRule="exact"/>
        </w:trPr>
        <w:tc>
          <w:tcPr>
            <w:tcW w:w="1054" w:type="dxa"/>
            <w:vMerge/>
            <w:tcBorders>
              <w:left w:val="single" w:sz="4" w:space="0" w:color="000000"/>
              <w:right w:val="single" w:sz="4" w:space="0" w:color="000000"/>
            </w:tcBorders>
          </w:tcPr>
          <w:p>
            <w:pPr/>
          </w:p>
        </w:tc>
        <w:tc>
          <w:tcPr>
            <w:tcW w:w="1196" w:type="dxa"/>
            <w:vMerge/>
            <w:tcBorders>
              <w:left w:val="single" w:sz="4" w:space="0" w:color="000000"/>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pacing w:val="-15"/>
                <w:sz w:val="18"/>
                <w:szCs w:val="18"/>
              </w:rPr>
              <w:t>集成；上述</w:t>
            </w:r>
          </w:p>
        </w:tc>
        <w:tc>
          <w:tcPr>
            <w:tcW w:w="1045"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c>
          <w:tcPr>
            <w:tcW w:w="1045" w:type="dxa"/>
            <w:vMerge/>
            <w:tcBorders>
              <w:left w:val="single" w:sz="4" w:space="0" w:color="000000"/>
              <w:right w:val="single" w:sz="4" w:space="0" w:color="000000"/>
            </w:tcBorders>
          </w:tcPr>
          <w:p>
            <w:pPr/>
          </w:p>
        </w:tc>
        <w:tc>
          <w:tcPr>
            <w:tcW w:w="1045" w:type="dxa"/>
            <w:vMerge/>
            <w:tcBorders>
              <w:left w:val="single" w:sz="4" w:space="0" w:color="000000"/>
              <w:right w:val="single" w:sz="4" w:space="0" w:color="000000"/>
            </w:tcBorders>
          </w:tcPr>
          <w:p>
            <w:pPr/>
          </w:p>
        </w:tc>
        <w:tc>
          <w:tcPr>
            <w:tcW w:w="1045"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r>
      <w:tr>
        <w:trPr>
          <w:trHeight w:val="312" w:hRule="exact"/>
        </w:trPr>
        <w:tc>
          <w:tcPr>
            <w:tcW w:w="1054" w:type="dxa"/>
            <w:vMerge/>
            <w:tcBorders>
              <w:left w:val="single" w:sz="4" w:space="0" w:color="000000"/>
              <w:right w:val="single" w:sz="4" w:space="0" w:color="000000"/>
            </w:tcBorders>
          </w:tcPr>
          <w:p>
            <w:pPr/>
          </w:p>
        </w:tc>
        <w:tc>
          <w:tcPr>
            <w:tcW w:w="1196" w:type="dxa"/>
            <w:vMerge/>
            <w:tcBorders>
              <w:left w:val="single" w:sz="4" w:space="0" w:color="000000"/>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相关产业</w:t>
            </w:r>
          </w:p>
        </w:tc>
        <w:tc>
          <w:tcPr>
            <w:tcW w:w="1045"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c>
          <w:tcPr>
            <w:tcW w:w="1045" w:type="dxa"/>
            <w:vMerge/>
            <w:tcBorders>
              <w:left w:val="single" w:sz="4" w:space="0" w:color="000000"/>
              <w:right w:val="single" w:sz="4" w:space="0" w:color="000000"/>
            </w:tcBorders>
          </w:tcPr>
          <w:p>
            <w:pPr/>
          </w:p>
        </w:tc>
        <w:tc>
          <w:tcPr>
            <w:tcW w:w="1045" w:type="dxa"/>
            <w:vMerge/>
            <w:tcBorders>
              <w:left w:val="single" w:sz="4" w:space="0" w:color="000000"/>
              <w:right w:val="single" w:sz="4" w:space="0" w:color="000000"/>
            </w:tcBorders>
          </w:tcPr>
          <w:p>
            <w:pPr/>
          </w:p>
        </w:tc>
        <w:tc>
          <w:tcPr>
            <w:tcW w:w="1045"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r>
      <w:tr>
        <w:trPr>
          <w:trHeight w:val="312" w:hRule="exact"/>
        </w:trPr>
        <w:tc>
          <w:tcPr>
            <w:tcW w:w="1054" w:type="dxa"/>
            <w:vMerge/>
            <w:tcBorders>
              <w:left w:val="single" w:sz="4" w:space="0" w:color="000000"/>
              <w:right w:val="single" w:sz="4" w:space="0" w:color="000000"/>
            </w:tcBorders>
          </w:tcPr>
          <w:p>
            <w:pPr/>
          </w:p>
        </w:tc>
        <w:tc>
          <w:tcPr>
            <w:tcW w:w="1196" w:type="dxa"/>
            <w:vMerge/>
            <w:tcBorders>
              <w:left w:val="single" w:sz="4" w:space="0" w:color="000000"/>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的信息咨</w:t>
            </w:r>
          </w:p>
        </w:tc>
        <w:tc>
          <w:tcPr>
            <w:tcW w:w="1045"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c>
          <w:tcPr>
            <w:tcW w:w="1045" w:type="dxa"/>
            <w:vMerge/>
            <w:tcBorders>
              <w:left w:val="single" w:sz="4" w:space="0" w:color="000000"/>
              <w:right w:val="single" w:sz="4" w:space="0" w:color="000000"/>
            </w:tcBorders>
          </w:tcPr>
          <w:p>
            <w:pPr/>
          </w:p>
        </w:tc>
        <w:tc>
          <w:tcPr>
            <w:tcW w:w="1045" w:type="dxa"/>
            <w:vMerge/>
            <w:tcBorders>
              <w:left w:val="single" w:sz="4" w:space="0" w:color="000000"/>
              <w:right w:val="single" w:sz="4" w:space="0" w:color="000000"/>
            </w:tcBorders>
          </w:tcPr>
          <w:p>
            <w:pPr/>
          </w:p>
        </w:tc>
        <w:tc>
          <w:tcPr>
            <w:tcW w:w="1045"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r>
      <w:tr>
        <w:trPr>
          <w:trHeight w:val="312" w:hRule="exact"/>
        </w:trPr>
        <w:tc>
          <w:tcPr>
            <w:tcW w:w="1054" w:type="dxa"/>
            <w:vMerge/>
            <w:tcBorders>
              <w:left w:val="single" w:sz="4" w:space="0" w:color="000000"/>
              <w:right w:val="single" w:sz="4" w:space="0" w:color="000000"/>
            </w:tcBorders>
          </w:tcPr>
          <w:p>
            <w:pPr/>
          </w:p>
        </w:tc>
        <w:tc>
          <w:tcPr>
            <w:tcW w:w="1196" w:type="dxa"/>
            <w:vMerge/>
            <w:tcBorders>
              <w:left w:val="single" w:sz="4" w:space="0" w:color="000000"/>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pacing w:val="-15"/>
                <w:sz w:val="18"/>
                <w:szCs w:val="18"/>
              </w:rPr>
              <w:t>询服务；磁</w:t>
            </w:r>
          </w:p>
        </w:tc>
        <w:tc>
          <w:tcPr>
            <w:tcW w:w="1045"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c>
          <w:tcPr>
            <w:tcW w:w="1045" w:type="dxa"/>
            <w:vMerge/>
            <w:tcBorders>
              <w:left w:val="single" w:sz="4" w:space="0" w:color="000000"/>
              <w:right w:val="single" w:sz="4" w:space="0" w:color="000000"/>
            </w:tcBorders>
          </w:tcPr>
          <w:p>
            <w:pPr/>
          </w:p>
        </w:tc>
        <w:tc>
          <w:tcPr>
            <w:tcW w:w="1045" w:type="dxa"/>
            <w:vMerge/>
            <w:tcBorders>
              <w:left w:val="single" w:sz="4" w:space="0" w:color="000000"/>
              <w:right w:val="single" w:sz="4" w:space="0" w:color="000000"/>
            </w:tcBorders>
          </w:tcPr>
          <w:p>
            <w:pPr/>
          </w:p>
        </w:tc>
        <w:tc>
          <w:tcPr>
            <w:tcW w:w="1045"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r>
      <w:tr>
        <w:trPr>
          <w:trHeight w:val="317" w:hRule="exact"/>
        </w:trPr>
        <w:tc>
          <w:tcPr>
            <w:tcW w:w="1054" w:type="dxa"/>
            <w:vMerge/>
            <w:tcBorders>
              <w:left w:val="single" w:sz="4" w:space="0" w:color="000000"/>
              <w:right w:val="single" w:sz="4" w:space="0" w:color="000000"/>
            </w:tcBorders>
          </w:tcPr>
          <w:p>
            <w:pPr/>
          </w:p>
        </w:tc>
        <w:tc>
          <w:tcPr>
            <w:tcW w:w="1196" w:type="dxa"/>
            <w:vMerge/>
            <w:tcBorders>
              <w:left w:val="single" w:sz="4" w:space="0" w:color="000000"/>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pacing w:val="-7"/>
                <w:sz w:val="18"/>
                <w:szCs w:val="18"/>
              </w:rPr>
              <w:t>卡、</w:t>
            </w:r>
            <w:r>
              <w:rPr>
                <w:rFonts w:ascii="Times New Roman" w:hAnsi="Times New Roman" w:cs="Times New Roman" w:eastAsia="Times New Roman" w:hint="default"/>
                <w:spacing w:val="-7"/>
                <w:sz w:val="18"/>
                <w:szCs w:val="18"/>
              </w:rPr>
              <w:t>IC</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卡、</w:t>
            </w:r>
          </w:p>
        </w:tc>
        <w:tc>
          <w:tcPr>
            <w:tcW w:w="1045"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c>
          <w:tcPr>
            <w:tcW w:w="1045" w:type="dxa"/>
            <w:vMerge/>
            <w:tcBorders>
              <w:left w:val="single" w:sz="4" w:space="0" w:color="000000"/>
              <w:right w:val="single" w:sz="4" w:space="0" w:color="000000"/>
            </w:tcBorders>
          </w:tcPr>
          <w:p>
            <w:pPr/>
          </w:p>
        </w:tc>
        <w:tc>
          <w:tcPr>
            <w:tcW w:w="1045" w:type="dxa"/>
            <w:vMerge/>
            <w:tcBorders>
              <w:left w:val="single" w:sz="4" w:space="0" w:color="000000"/>
              <w:right w:val="single" w:sz="4" w:space="0" w:color="000000"/>
            </w:tcBorders>
          </w:tcPr>
          <w:p>
            <w:pPr/>
          </w:p>
        </w:tc>
        <w:tc>
          <w:tcPr>
            <w:tcW w:w="1045"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r>
      <w:tr>
        <w:trPr>
          <w:trHeight w:val="307" w:hRule="exact"/>
        </w:trPr>
        <w:tc>
          <w:tcPr>
            <w:tcW w:w="1054" w:type="dxa"/>
            <w:vMerge/>
            <w:tcBorders>
              <w:left w:val="single" w:sz="4" w:space="0" w:color="000000"/>
              <w:right w:val="single" w:sz="4" w:space="0" w:color="000000"/>
            </w:tcBorders>
          </w:tcPr>
          <w:p>
            <w:pPr/>
          </w:p>
        </w:tc>
        <w:tc>
          <w:tcPr>
            <w:tcW w:w="1196" w:type="dxa"/>
            <w:vMerge/>
            <w:tcBorders>
              <w:left w:val="single" w:sz="4" w:space="0" w:color="000000"/>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2" w:right="0"/>
              <w:jc w:val="left"/>
              <w:rPr>
                <w:rFonts w:ascii="宋体" w:hAnsi="宋体" w:cs="宋体" w:eastAsia="宋体" w:hint="default"/>
                <w:sz w:val="18"/>
                <w:szCs w:val="18"/>
              </w:rPr>
            </w:pPr>
            <w:r>
              <w:rPr>
                <w:rFonts w:ascii="宋体" w:hAnsi="宋体" w:cs="宋体" w:eastAsia="宋体" w:hint="default"/>
                <w:sz w:val="18"/>
                <w:szCs w:val="18"/>
              </w:rPr>
              <w:t>文化用品、</w:t>
            </w:r>
          </w:p>
        </w:tc>
        <w:tc>
          <w:tcPr>
            <w:tcW w:w="1045"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c>
          <w:tcPr>
            <w:tcW w:w="1045" w:type="dxa"/>
            <w:vMerge/>
            <w:tcBorders>
              <w:left w:val="single" w:sz="4" w:space="0" w:color="000000"/>
              <w:right w:val="single" w:sz="4" w:space="0" w:color="000000"/>
            </w:tcBorders>
          </w:tcPr>
          <w:p>
            <w:pPr/>
          </w:p>
        </w:tc>
        <w:tc>
          <w:tcPr>
            <w:tcW w:w="1045" w:type="dxa"/>
            <w:vMerge/>
            <w:tcBorders>
              <w:left w:val="single" w:sz="4" w:space="0" w:color="000000"/>
              <w:right w:val="single" w:sz="4" w:space="0" w:color="000000"/>
            </w:tcBorders>
          </w:tcPr>
          <w:p>
            <w:pPr/>
          </w:p>
        </w:tc>
        <w:tc>
          <w:tcPr>
            <w:tcW w:w="1045"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r>
      <w:tr>
        <w:trPr>
          <w:trHeight w:val="312" w:hRule="exact"/>
        </w:trPr>
        <w:tc>
          <w:tcPr>
            <w:tcW w:w="1054" w:type="dxa"/>
            <w:vMerge/>
            <w:tcBorders>
              <w:left w:val="single" w:sz="4" w:space="0" w:color="000000"/>
              <w:right w:val="single" w:sz="4" w:space="0" w:color="000000"/>
            </w:tcBorders>
          </w:tcPr>
          <w:p>
            <w:pPr/>
          </w:p>
        </w:tc>
        <w:tc>
          <w:tcPr>
            <w:tcW w:w="1196" w:type="dxa"/>
            <w:vMerge/>
            <w:tcBorders>
              <w:left w:val="single" w:sz="4" w:space="0" w:color="000000"/>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信封的销</w:t>
            </w:r>
          </w:p>
        </w:tc>
        <w:tc>
          <w:tcPr>
            <w:tcW w:w="1045"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c>
          <w:tcPr>
            <w:tcW w:w="1045" w:type="dxa"/>
            <w:vMerge/>
            <w:tcBorders>
              <w:left w:val="single" w:sz="4" w:space="0" w:color="000000"/>
              <w:right w:val="single" w:sz="4" w:space="0" w:color="000000"/>
            </w:tcBorders>
          </w:tcPr>
          <w:p>
            <w:pPr/>
          </w:p>
        </w:tc>
        <w:tc>
          <w:tcPr>
            <w:tcW w:w="1045" w:type="dxa"/>
            <w:vMerge/>
            <w:tcBorders>
              <w:left w:val="single" w:sz="4" w:space="0" w:color="000000"/>
              <w:right w:val="single" w:sz="4" w:space="0" w:color="000000"/>
            </w:tcBorders>
          </w:tcPr>
          <w:p>
            <w:pPr/>
          </w:p>
        </w:tc>
        <w:tc>
          <w:tcPr>
            <w:tcW w:w="1045" w:type="dxa"/>
            <w:vMerge/>
            <w:tcBorders>
              <w:left w:val="single" w:sz="4" w:space="0" w:color="000000"/>
              <w:right w:val="single" w:sz="4" w:space="0" w:color="000000"/>
            </w:tcBorders>
          </w:tcPr>
          <w:p>
            <w:pPr/>
          </w:p>
        </w:tc>
        <w:tc>
          <w:tcPr>
            <w:tcW w:w="1046" w:type="dxa"/>
            <w:vMerge/>
            <w:tcBorders>
              <w:left w:val="single" w:sz="4" w:space="0" w:color="000000"/>
              <w:right w:val="single" w:sz="4" w:space="0" w:color="000000"/>
            </w:tcBorders>
          </w:tcPr>
          <w:p>
            <w:pPr/>
          </w:p>
        </w:tc>
      </w:tr>
      <w:tr>
        <w:trPr>
          <w:trHeight w:val="358" w:hRule="exact"/>
        </w:trPr>
        <w:tc>
          <w:tcPr>
            <w:tcW w:w="1054" w:type="dxa"/>
            <w:vMerge/>
            <w:tcBorders>
              <w:left w:val="single" w:sz="4" w:space="0" w:color="000000"/>
              <w:bottom w:val="single" w:sz="4" w:space="0" w:color="000000"/>
              <w:right w:val="single" w:sz="4" w:space="0" w:color="000000"/>
            </w:tcBorders>
          </w:tcPr>
          <w:p>
            <w:pPr/>
          </w:p>
        </w:tc>
        <w:tc>
          <w:tcPr>
            <w:tcW w:w="1196" w:type="dxa"/>
            <w:vMerge/>
            <w:tcBorders>
              <w:left w:val="single" w:sz="4" w:space="0" w:color="000000"/>
              <w:bottom w:val="single" w:sz="4" w:space="0" w:color="000000"/>
              <w:right w:val="single" w:sz="4" w:space="0" w:color="000000"/>
            </w:tcBorders>
          </w:tcPr>
          <w:p>
            <w:pPr/>
          </w:p>
        </w:tc>
        <w:tc>
          <w:tcPr>
            <w:tcW w:w="104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售</w:t>
            </w:r>
          </w:p>
        </w:tc>
        <w:tc>
          <w:tcPr>
            <w:tcW w:w="1045" w:type="dxa"/>
            <w:vMerge/>
            <w:tcBorders>
              <w:left w:val="single" w:sz="4" w:space="0" w:color="000000"/>
              <w:bottom w:val="single" w:sz="4" w:space="0" w:color="000000"/>
              <w:right w:val="single" w:sz="4" w:space="0" w:color="000000"/>
            </w:tcBorders>
          </w:tcPr>
          <w:p>
            <w:pPr/>
          </w:p>
        </w:tc>
        <w:tc>
          <w:tcPr>
            <w:tcW w:w="1046" w:type="dxa"/>
            <w:vMerge/>
            <w:tcBorders>
              <w:left w:val="single" w:sz="4" w:space="0" w:color="000000"/>
              <w:bottom w:val="single" w:sz="4" w:space="0" w:color="000000"/>
              <w:right w:val="single" w:sz="4" w:space="0" w:color="000000"/>
            </w:tcBorders>
          </w:tcPr>
          <w:p>
            <w:pPr/>
          </w:p>
        </w:tc>
        <w:tc>
          <w:tcPr>
            <w:tcW w:w="1045" w:type="dxa"/>
            <w:vMerge/>
            <w:tcBorders>
              <w:left w:val="single" w:sz="4" w:space="0" w:color="000000"/>
              <w:bottom w:val="single" w:sz="4" w:space="0" w:color="000000"/>
              <w:right w:val="single" w:sz="4" w:space="0" w:color="000000"/>
            </w:tcBorders>
          </w:tcPr>
          <w:p>
            <w:pPr/>
          </w:p>
        </w:tc>
        <w:tc>
          <w:tcPr>
            <w:tcW w:w="1045" w:type="dxa"/>
            <w:vMerge/>
            <w:tcBorders>
              <w:left w:val="single" w:sz="4" w:space="0" w:color="000000"/>
              <w:bottom w:val="single" w:sz="4" w:space="0" w:color="000000"/>
              <w:right w:val="single" w:sz="4" w:space="0" w:color="000000"/>
            </w:tcBorders>
          </w:tcPr>
          <w:p>
            <w:pPr/>
          </w:p>
        </w:tc>
        <w:tc>
          <w:tcPr>
            <w:tcW w:w="1045" w:type="dxa"/>
            <w:vMerge/>
            <w:tcBorders>
              <w:left w:val="single" w:sz="4" w:space="0" w:color="000000"/>
              <w:bottom w:val="single" w:sz="4" w:space="0" w:color="000000"/>
              <w:right w:val="single" w:sz="4" w:space="0" w:color="000000"/>
            </w:tcBorders>
          </w:tcPr>
          <w:p>
            <w:pPr/>
          </w:p>
        </w:tc>
        <w:tc>
          <w:tcPr>
            <w:tcW w:w="1046" w:type="dxa"/>
            <w:vMerge/>
            <w:tcBorders>
              <w:left w:val="single" w:sz="4" w:space="0" w:color="000000"/>
              <w:bottom w:val="single" w:sz="4" w:space="0" w:color="000000"/>
              <w:right w:val="single" w:sz="4" w:space="0" w:color="000000"/>
            </w:tcBorders>
          </w:tcPr>
          <w:p>
            <w:pPr/>
          </w:p>
        </w:tc>
      </w:tr>
      <w:tr>
        <w:trPr>
          <w:trHeight w:val="1650"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4"/>
              <w:ind w:left="102" w:right="219"/>
              <w:jc w:val="both"/>
              <w:rPr>
                <w:rFonts w:ascii="宋体" w:hAnsi="宋体" w:cs="宋体" w:eastAsia="宋体" w:hint="default"/>
                <w:sz w:val="18"/>
                <w:szCs w:val="18"/>
              </w:rPr>
            </w:pPr>
            <w:r>
              <w:rPr>
                <w:rFonts w:ascii="宋体" w:hAnsi="宋体" w:cs="宋体" w:eastAsia="宋体" w:hint="default"/>
                <w:sz w:val="18"/>
                <w:szCs w:val="18"/>
              </w:rPr>
              <w:t>恒宝国际 有限责任 公司</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316" w:lineRule="auto"/>
              <w:ind w:left="102" w:right="101"/>
              <w:jc w:val="left"/>
              <w:rPr>
                <w:rFonts w:ascii="宋体" w:hAnsi="宋体" w:cs="宋体" w:eastAsia="宋体" w:hint="default"/>
                <w:sz w:val="18"/>
                <w:szCs w:val="18"/>
              </w:rPr>
            </w:pPr>
            <w:r>
              <w:rPr>
                <w:rFonts w:ascii="宋体" w:hAnsi="宋体" w:cs="宋体" w:eastAsia="宋体" w:hint="default"/>
                <w:spacing w:val="-15"/>
                <w:sz w:val="18"/>
                <w:szCs w:val="18"/>
              </w:rPr>
              <w:t>研发、提供</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智能卡及 相关解决 方案</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新加坡元</w:t>
            </w:r>
          </w:p>
          <w:p>
            <w:pPr>
              <w:pStyle w:val="TableParagraph"/>
              <w:spacing w:line="240" w:lineRule="auto" w:before="118"/>
              <w:ind w:left="103" w:right="0"/>
              <w:jc w:val="left"/>
              <w:rPr>
                <w:rFonts w:ascii="Times New Roman" w:hAnsi="Times New Roman" w:cs="Times New Roman" w:eastAsia="Times New Roman" w:hint="default"/>
                <w:sz w:val="18"/>
                <w:szCs w:val="18"/>
              </w:rPr>
            </w:pPr>
            <w:r>
              <w:rPr>
                <w:rFonts w:ascii="Times New Roman"/>
                <w:sz w:val="18"/>
              </w:rPr>
              <w:t>1,980,000.</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00 </w:t>
            </w:r>
            <w:r>
              <w:rPr>
                <w:rFonts w:ascii="宋体" w:hAnsi="宋体" w:cs="宋体" w:eastAsia="宋体" w:hint="default"/>
                <w:sz w:val="18"/>
                <w:szCs w:val="18"/>
              </w:rPr>
              <w:t>美元</w:t>
            </w:r>
          </w:p>
          <w:p>
            <w:pPr>
              <w:pStyle w:val="TableParagraph"/>
              <w:spacing w:line="240" w:lineRule="auto" w:before="104"/>
              <w:ind w:left="103" w:right="0"/>
              <w:jc w:val="left"/>
              <w:rPr>
                <w:rFonts w:ascii="Times New Roman" w:hAnsi="Times New Roman" w:cs="Times New Roman" w:eastAsia="Times New Roman" w:hint="default"/>
                <w:sz w:val="18"/>
                <w:szCs w:val="18"/>
              </w:rPr>
            </w:pPr>
            <w:r>
              <w:rPr>
                <w:rFonts w:ascii="Times New Roman"/>
                <w:sz w:val="18"/>
              </w:rPr>
              <w:t>3,983,527.</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00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1"/>
              <w:jc w:val="right"/>
              <w:rPr>
                <w:rFonts w:ascii="Times New Roman" w:hAnsi="Times New Roman" w:cs="Times New Roman" w:eastAsia="Times New Roman" w:hint="default"/>
                <w:sz w:val="18"/>
                <w:szCs w:val="18"/>
              </w:rPr>
            </w:pPr>
            <w:r>
              <w:rPr>
                <w:rFonts w:ascii="Times New Roman"/>
                <w:sz w:val="18"/>
              </w:rPr>
              <w:t>48,501,025</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.89</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1"/>
              <w:jc w:val="right"/>
              <w:rPr>
                <w:rFonts w:ascii="Times New Roman" w:hAnsi="Times New Roman" w:cs="Times New Roman" w:eastAsia="Times New Roman" w:hint="default"/>
                <w:sz w:val="18"/>
                <w:szCs w:val="18"/>
              </w:rPr>
            </w:pPr>
            <w:r>
              <w:rPr>
                <w:rFonts w:ascii="Times New Roman"/>
                <w:sz w:val="18"/>
              </w:rPr>
              <w:t>27,394,247</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.69</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1"/>
              <w:jc w:val="right"/>
              <w:rPr>
                <w:rFonts w:ascii="Times New Roman" w:hAnsi="Times New Roman" w:cs="Times New Roman" w:eastAsia="Times New Roman" w:hint="default"/>
                <w:sz w:val="18"/>
                <w:szCs w:val="18"/>
              </w:rPr>
            </w:pPr>
            <w:r>
              <w:rPr>
                <w:rFonts w:ascii="Times New Roman"/>
                <w:sz w:val="18"/>
              </w:rPr>
              <w:t>44,710,768</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.76</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0"/>
              <w:jc w:val="right"/>
              <w:rPr>
                <w:rFonts w:ascii="Times New Roman" w:hAnsi="Times New Roman" w:cs="Times New Roman" w:eastAsia="Times New Roman" w:hint="default"/>
                <w:sz w:val="18"/>
                <w:szCs w:val="18"/>
              </w:rPr>
            </w:pPr>
            <w:r>
              <w:rPr>
                <w:rFonts w:ascii="Times New Roman"/>
                <w:w w:val="95"/>
                <w:sz w:val="18"/>
              </w:rPr>
              <w:t>-6,401,951.</w:t>
            </w:r>
            <w:r>
              <w:rPr>
                <w:rFonts w:ascii="Times New Roman"/>
                <w:sz w:val="18"/>
              </w:rPr>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26</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0"/>
              <w:jc w:val="right"/>
              <w:rPr>
                <w:rFonts w:ascii="Times New Roman" w:hAnsi="Times New Roman" w:cs="Times New Roman" w:eastAsia="Times New Roman" w:hint="default"/>
                <w:sz w:val="18"/>
                <w:szCs w:val="18"/>
              </w:rPr>
            </w:pPr>
            <w:r>
              <w:rPr>
                <w:rFonts w:ascii="Times New Roman"/>
                <w:w w:val="95"/>
                <w:sz w:val="18"/>
              </w:rPr>
              <w:t>-6,426,232.</w:t>
            </w:r>
            <w:r>
              <w:rPr>
                <w:rFonts w:ascii="Times New Roman"/>
                <w:sz w:val="18"/>
              </w:rPr>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68</w:t>
            </w:r>
          </w:p>
        </w:tc>
      </w:tr>
      <w:tr>
        <w:trPr>
          <w:trHeight w:val="356" w:hRule="exact"/>
        </w:trPr>
        <w:tc>
          <w:tcPr>
            <w:tcW w:w="1054" w:type="dxa"/>
            <w:tcBorders>
              <w:top w:val="single" w:sz="4" w:space="0" w:color="000000"/>
              <w:left w:val="single" w:sz="4" w:space="0" w:color="000000"/>
              <w:bottom w:val="nil" w:sz="6" w:space="0" w:color="auto"/>
              <w:right w:val="single" w:sz="4" w:space="0" w:color="000000"/>
            </w:tcBorders>
          </w:tcPr>
          <w:p>
            <w:pPr/>
          </w:p>
        </w:tc>
        <w:tc>
          <w:tcPr>
            <w:tcW w:w="1196" w:type="dxa"/>
            <w:tcBorders>
              <w:top w:val="single" w:sz="4" w:space="0" w:color="000000"/>
              <w:left w:val="single" w:sz="4" w:space="0" w:color="000000"/>
              <w:bottom w:val="nil" w:sz="6" w:space="0" w:color="auto"/>
              <w:right w:val="single" w:sz="4" w:space="0" w:color="000000"/>
            </w:tcBorders>
          </w:tcPr>
          <w:p>
            <w:pPr/>
          </w:p>
        </w:tc>
        <w:tc>
          <w:tcPr>
            <w:tcW w:w="104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生产智能</w:t>
            </w:r>
          </w:p>
        </w:tc>
        <w:tc>
          <w:tcPr>
            <w:tcW w:w="1045" w:type="dxa"/>
            <w:tcBorders>
              <w:top w:val="single" w:sz="4" w:space="0" w:color="000000"/>
              <w:left w:val="single" w:sz="4" w:space="0" w:color="000000"/>
              <w:bottom w:val="nil" w:sz="6" w:space="0" w:color="auto"/>
              <w:right w:val="single" w:sz="4" w:space="0" w:color="000000"/>
            </w:tcBorders>
          </w:tcPr>
          <w:p>
            <w:pPr/>
          </w:p>
        </w:tc>
        <w:tc>
          <w:tcPr>
            <w:tcW w:w="1046" w:type="dxa"/>
            <w:tcBorders>
              <w:top w:val="single" w:sz="4" w:space="0" w:color="000000"/>
              <w:left w:val="single" w:sz="4" w:space="0" w:color="000000"/>
              <w:bottom w:val="nil" w:sz="6" w:space="0" w:color="auto"/>
              <w:right w:val="single" w:sz="4" w:space="0" w:color="000000"/>
            </w:tcBorders>
          </w:tcPr>
          <w:p>
            <w:pPr/>
          </w:p>
        </w:tc>
        <w:tc>
          <w:tcPr>
            <w:tcW w:w="1045" w:type="dxa"/>
            <w:tcBorders>
              <w:top w:val="single" w:sz="4" w:space="0" w:color="000000"/>
              <w:left w:val="single" w:sz="4" w:space="0" w:color="000000"/>
              <w:bottom w:val="nil" w:sz="6" w:space="0" w:color="auto"/>
              <w:right w:val="single" w:sz="4" w:space="0" w:color="000000"/>
            </w:tcBorders>
          </w:tcPr>
          <w:p>
            <w:pPr/>
          </w:p>
        </w:tc>
        <w:tc>
          <w:tcPr>
            <w:tcW w:w="1045" w:type="dxa"/>
            <w:tcBorders>
              <w:top w:val="single" w:sz="4" w:space="0" w:color="000000"/>
              <w:left w:val="single" w:sz="4" w:space="0" w:color="000000"/>
              <w:bottom w:val="nil" w:sz="6" w:space="0" w:color="auto"/>
              <w:right w:val="single" w:sz="4" w:space="0" w:color="000000"/>
            </w:tcBorders>
          </w:tcPr>
          <w:p>
            <w:pPr/>
          </w:p>
        </w:tc>
        <w:tc>
          <w:tcPr>
            <w:tcW w:w="1045" w:type="dxa"/>
            <w:tcBorders>
              <w:top w:val="single" w:sz="4" w:space="0" w:color="000000"/>
              <w:left w:val="single" w:sz="4" w:space="0" w:color="000000"/>
              <w:bottom w:val="nil" w:sz="6" w:space="0" w:color="auto"/>
              <w:right w:val="single" w:sz="4" w:space="0" w:color="000000"/>
            </w:tcBorders>
          </w:tcPr>
          <w:p>
            <w:pPr/>
          </w:p>
        </w:tc>
        <w:tc>
          <w:tcPr>
            <w:tcW w:w="1046"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1054" w:type="dxa"/>
            <w:tcBorders>
              <w:top w:val="nil" w:sz="6" w:space="0" w:color="auto"/>
              <w:left w:val="single" w:sz="4" w:space="0" w:color="000000"/>
              <w:bottom w:val="nil" w:sz="6" w:space="0" w:color="auto"/>
              <w:right w:val="single" w:sz="4" w:space="0" w:color="000000"/>
            </w:tcBorders>
          </w:tcPr>
          <w:p>
            <w:pPr/>
          </w:p>
        </w:tc>
        <w:tc>
          <w:tcPr>
            <w:tcW w:w="1196"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pacing w:val="-15"/>
                <w:sz w:val="18"/>
                <w:szCs w:val="18"/>
              </w:rPr>
              <w:t>卡（限分支</w:t>
            </w:r>
          </w:p>
        </w:tc>
        <w:tc>
          <w:tcPr>
            <w:tcW w:w="1045"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054" w:type="dxa"/>
            <w:tcBorders>
              <w:top w:val="nil" w:sz="6" w:space="0" w:color="auto"/>
              <w:left w:val="single" w:sz="4" w:space="0" w:color="000000"/>
              <w:bottom w:val="nil" w:sz="6" w:space="0" w:color="auto"/>
              <w:right w:val="single" w:sz="4" w:space="0" w:color="000000"/>
            </w:tcBorders>
          </w:tcPr>
          <w:p>
            <w:pPr/>
          </w:p>
        </w:tc>
        <w:tc>
          <w:tcPr>
            <w:tcW w:w="1196"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机构经</w:t>
            </w:r>
          </w:p>
        </w:tc>
        <w:tc>
          <w:tcPr>
            <w:tcW w:w="1045"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05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北京东方</w:t>
            </w:r>
          </w:p>
        </w:tc>
        <w:tc>
          <w:tcPr>
            <w:tcW w:w="1196"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营</w:t>
            </w:r>
            <w:r>
              <w:rPr>
                <w:rFonts w:ascii="宋体" w:hAnsi="宋体" w:cs="宋体" w:eastAsia="宋体" w:hint="default"/>
                <w:spacing w:val="-90"/>
                <w:sz w:val="18"/>
                <w:szCs w:val="18"/>
              </w:rPr>
              <w:t>）</w:t>
            </w:r>
            <w:r>
              <w:rPr>
                <w:rFonts w:ascii="宋体" w:hAnsi="宋体" w:cs="宋体" w:eastAsia="宋体" w:hint="default"/>
                <w:sz w:val="18"/>
                <w:szCs w:val="18"/>
              </w:rPr>
              <w:t>；货物</w:t>
            </w:r>
          </w:p>
        </w:tc>
        <w:tc>
          <w:tcPr>
            <w:tcW w:w="1045"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r>
      <w:tr>
        <w:trPr>
          <w:trHeight w:val="629" w:hRule="exact"/>
        </w:trPr>
        <w:tc>
          <w:tcPr>
            <w:tcW w:w="1054" w:type="dxa"/>
            <w:tcBorders>
              <w:top w:val="nil" w:sz="6" w:space="0" w:color="auto"/>
              <w:left w:val="single" w:sz="4" w:space="0" w:color="000000"/>
              <w:bottom w:val="nil" w:sz="6" w:space="0" w:color="auto"/>
              <w:right w:val="single" w:sz="4" w:space="0" w:color="000000"/>
            </w:tcBorders>
          </w:tcPr>
          <w:p>
            <w:pPr>
              <w:pStyle w:val="TableParagraph"/>
              <w:spacing w:line="319" w:lineRule="auto" w:before="10"/>
              <w:ind w:left="102" w:right="219"/>
              <w:jc w:val="left"/>
              <w:rPr>
                <w:rFonts w:ascii="宋体" w:hAnsi="宋体" w:cs="宋体" w:eastAsia="宋体" w:hint="default"/>
                <w:sz w:val="18"/>
                <w:szCs w:val="18"/>
              </w:rPr>
            </w:pPr>
            <w:r>
              <w:rPr>
                <w:rFonts w:ascii="宋体" w:hAnsi="宋体" w:cs="宋体" w:eastAsia="宋体" w:hint="default"/>
                <w:sz w:val="18"/>
                <w:szCs w:val="18"/>
              </w:rPr>
              <w:t>英卡数字 信息技术</w:t>
            </w:r>
          </w:p>
        </w:tc>
        <w:tc>
          <w:tcPr>
            <w:tcW w:w="119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319" w:lineRule="auto" w:before="10"/>
              <w:ind w:left="102" w:right="30"/>
              <w:jc w:val="left"/>
              <w:rPr>
                <w:rFonts w:ascii="宋体" w:hAnsi="宋体" w:cs="宋体" w:eastAsia="宋体" w:hint="default"/>
                <w:sz w:val="18"/>
                <w:szCs w:val="18"/>
              </w:rPr>
            </w:pPr>
            <w:r>
              <w:rPr>
                <w:rFonts w:ascii="宋体" w:hAnsi="宋体" w:cs="宋体" w:eastAsia="宋体" w:hint="default"/>
                <w:spacing w:val="-15"/>
                <w:sz w:val="18"/>
                <w:szCs w:val="18"/>
              </w:rPr>
              <w:t>进出口、技</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术进出口、</w:t>
            </w: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Times New Roman"/>
                <w:sz w:val="18"/>
              </w:rPr>
              <w:t>5,000.00</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104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z w:val="18"/>
              </w:rPr>
              <w:t>14,512,319</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.65</w:t>
            </w: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z w:val="18"/>
              </w:rPr>
              <w:t>14,489,996</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.37</w:t>
            </w: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0.00</w:t>
            </w: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w w:val="95"/>
                <w:sz w:val="18"/>
              </w:rPr>
              <w:t>-3,289,212.</w:t>
            </w:r>
            <w:r>
              <w:rPr>
                <w:rFonts w:ascii="Times New Roman"/>
                <w:sz w:val="18"/>
              </w:rPr>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44</w:t>
            </w:r>
          </w:p>
        </w:tc>
        <w:tc>
          <w:tcPr>
            <w:tcW w:w="104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w w:val="95"/>
                <w:sz w:val="18"/>
              </w:rPr>
              <w:t>-3,289,212.</w:t>
            </w:r>
            <w:r>
              <w:rPr>
                <w:rFonts w:ascii="Times New Roman"/>
                <w:sz w:val="18"/>
              </w:rPr>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44</w:t>
            </w:r>
          </w:p>
        </w:tc>
      </w:tr>
      <w:tr>
        <w:trPr>
          <w:trHeight w:val="307" w:hRule="exact"/>
        </w:trPr>
        <w:tc>
          <w:tcPr>
            <w:tcW w:w="1054"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196"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代理进出</w:t>
            </w:r>
          </w:p>
        </w:tc>
        <w:tc>
          <w:tcPr>
            <w:tcW w:w="1045"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054" w:type="dxa"/>
            <w:tcBorders>
              <w:top w:val="nil" w:sz="6" w:space="0" w:color="auto"/>
              <w:left w:val="single" w:sz="4" w:space="0" w:color="000000"/>
              <w:bottom w:val="nil" w:sz="6" w:space="0" w:color="auto"/>
              <w:right w:val="single" w:sz="4" w:space="0" w:color="000000"/>
            </w:tcBorders>
          </w:tcPr>
          <w:p>
            <w:pPr/>
          </w:p>
        </w:tc>
        <w:tc>
          <w:tcPr>
            <w:tcW w:w="1196"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pacing w:val="-15"/>
                <w:sz w:val="18"/>
                <w:szCs w:val="18"/>
              </w:rPr>
              <w:t>口；技术检</w:t>
            </w:r>
          </w:p>
        </w:tc>
        <w:tc>
          <w:tcPr>
            <w:tcW w:w="1045"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054" w:type="dxa"/>
            <w:tcBorders>
              <w:top w:val="nil" w:sz="6" w:space="0" w:color="auto"/>
              <w:left w:val="single" w:sz="4" w:space="0" w:color="000000"/>
              <w:bottom w:val="nil" w:sz="6" w:space="0" w:color="auto"/>
              <w:right w:val="single" w:sz="4" w:space="0" w:color="000000"/>
            </w:tcBorders>
          </w:tcPr>
          <w:p>
            <w:pPr/>
          </w:p>
        </w:tc>
        <w:tc>
          <w:tcPr>
            <w:tcW w:w="1196"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pacing w:val="-15"/>
                <w:sz w:val="18"/>
                <w:szCs w:val="18"/>
              </w:rPr>
              <w:t>测；技术服</w:t>
            </w:r>
          </w:p>
        </w:tc>
        <w:tc>
          <w:tcPr>
            <w:tcW w:w="1045"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r>
      <w:tr>
        <w:trPr>
          <w:trHeight w:val="358" w:hRule="exact"/>
        </w:trPr>
        <w:tc>
          <w:tcPr>
            <w:tcW w:w="1054" w:type="dxa"/>
            <w:tcBorders>
              <w:top w:val="nil" w:sz="6" w:space="0" w:color="auto"/>
              <w:left w:val="single" w:sz="4" w:space="0" w:color="000000"/>
              <w:bottom w:val="single" w:sz="4" w:space="0" w:color="000000"/>
              <w:right w:val="single" w:sz="4" w:space="0" w:color="000000"/>
            </w:tcBorders>
          </w:tcPr>
          <w:p>
            <w:pPr/>
          </w:p>
        </w:tc>
        <w:tc>
          <w:tcPr>
            <w:tcW w:w="1196" w:type="dxa"/>
            <w:tcBorders>
              <w:top w:val="nil" w:sz="6" w:space="0" w:color="auto"/>
              <w:left w:val="single" w:sz="4" w:space="0" w:color="000000"/>
              <w:bottom w:val="single" w:sz="4" w:space="0" w:color="000000"/>
              <w:right w:val="single" w:sz="4" w:space="0" w:color="000000"/>
            </w:tcBorders>
          </w:tcPr>
          <w:p>
            <w:pPr/>
          </w:p>
        </w:tc>
        <w:tc>
          <w:tcPr>
            <w:tcW w:w="104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务。</w:t>
            </w:r>
          </w:p>
        </w:tc>
        <w:tc>
          <w:tcPr>
            <w:tcW w:w="1045" w:type="dxa"/>
            <w:tcBorders>
              <w:top w:val="nil" w:sz="6" w:space="0" w:color="auto"/>
              <w:left w:val="single" w:sz="4" w:space="0" w:color="000000"/>
              <w:bottom w:val="single" w:sz="4" w:space="0" w:color="000000"/>
              <w:right w:val="single" w:sz="4" w:space="0" w:color="000000"/>
            </w:tcBorders>
          </w:tcPr>
          <w:p>
            <w:pPr/>
          </w:p>
        </w:tc>
        <w:tc>
          <w:tcPr>
            <w:tcW w:w="1046" w:type="dxa"/>
            <w:tcBorders>
              <w:top w:val="nil" w:sz="6" w:space="0" w:color="auto"/>
              <w:left w:val="single" w:sz="4" w:space="0" w:color="000000"/>
              <w:bottom w:val="single" w:sz="4" w:space="0" w:color="000000"/>
              <w:right w:val="single" w:sz="4" w:space="0" w:color="000000"/>
            </w:tcBorders>
          </w:tcPr>
          <w:p>
            <w:pPr/>
          </w:p>
        </w:tc>
        <w:tc>
          <w:tcPr>
            <w:tcW w:w="1045" w:type="dxa"/>
            <w:tcBorders>
              <w:top w:val="nil" w:sz="6" w:space="0" w:color="auto"/>
              <w:left w:val="single" w:sz="4" w:space="0" w:color="000000"/>
              <w:bottom w:val="single" w:sz="4" w:space="0" w:color="000000"/>
              <w:right w:val="single" w:sz="4" w:space="0" w:color="000000"/>
            </w:tcBorders>
          </w:tcPr>
          <w:p>
            <w:pPr/>
          </w:p>
        </w:tc>
        <w:tc>
          <w:tcPr>
            <w:tcW w:w="1045" w:type="dxa"/>
            <w:tcBorders>
              <w:top w:val="nil" w:sz="6" w:space="0" w:color="auto"/>
              <w:left w:val="single" w:sz="4" w:space="0" w:color="000000"/>
              <w:bottom w:val="single" w:sz="4" w:space="0" w:color="000000"/>
              <w:right w:val="single" w:sz="4" w:space="0" w:color="000000"/>
            </w:tcBorders>
          </w:tcPr>
          <w:p>
            <w:pPr/>
          </w:p>
        </w:tc>
        <w:tc>
          <w:tcPr>
            <w:tcW w:w="1045" w:type="dxa"/>
            <w:tcBorders>
              <w:top w:val="nil" w:sz="6" w:space="0" w:color="auto"/>
              <w:left w:val="single" w:sz="4" w:space="0" w:color="000000"/>
              <w:bottom w:val="single" w:sz="4" w:space="0" w:color="000000"/>
              <w:right w:val="single" w:sz="4" w:space="0" w:color="000000"/>
            </w:tcBorders>
          </w:tcPr>
          <w:p>
            <w:pPr/>
          </w:p>
        </w:tc>
        <w:tc>
          <w:tcPr>
            <w:tcW w:w="1046" w:type="dxa"/>
            <w:tcBorders>
              <w:top w:val="nil" w:sz="6" w:space="0" w:color="auto"/>
              <w:left w:val="single" w:sz="4" w:space="0" w:color="000000"/>
              <w:bottom w:val="single" w:sz="4" w:space="0" w:color="000000"/>
              <w:right w:val="single" w:sz="4" w:space="0" w:color="000000"/>
            </w:tcBorders>
          </w:tcPr>
          <w:p>
            <w:pPr/>
          </w:p>
        </w:tc>
      </w:tr>
      <w:tr>
        <w:trPr>
          <w:trHeight w:val="356" w:hRule="exact"/>
        </w:trPr>
        <w:tc>
          <w:tcPr>
            <w:tcW w:w="1054" w:type="dxa"/>
            <w:tcBorders>
              <w:top w:val="single" w:sz="4" w:space="0" w:color="000000"/>
              <w:left w:val="single" w:sz="4" w:space="0" w:color="000000"/>
              <w:bottom w:val="nil" w:sz="6" w:space="0" w:color="auto"/>
              <w:right w:val="single" w:sz="4" w:space="0" w:color="000000"/>
            </w:tcBorders>
          </w:tcPr>
          <w:p>
            <w:pPr/>
          </w:p>
        </w:tc>
        <w:tc>
          <w:tcPr>
            <w:tcW w:w="1196" w:type="dxa"/>
            <w:tcBorders>
              <w:top w:val="single" w:sz="4" w:space="0" w:color="000000"/>
              <w:left w:val="single" w:sz="4" w:space="0" w:color="000000"/>
              <w:bottom w:val="nil" w:sz="6" w:space="0" w:color="auto"/>
              <w:right w:val="single" w:sz="4" w:space="0" w:color="000000"/>
            </w:tcBorders>
          </w:tcPr>
          <w:p>
            <w:pPr/>
          </w:p>
        </w:tc>
        <w:tc>
          <w:tcPr>
            <w:tcW w:w="104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计算机软</w:t>
            </w:r>
          </w:p>
        </w:tc>
        <w:tc>
          <w:tcPr>
            <w:tcW w:w="1045" w:type="dxa"/>
            <w:tcBorders>
              <w:top w:val="single" w:sz="4" w:space="0" w:color="000000"/>
              <w:left w:val="single" w:sz="4" w:space="0" w:color="000000"/>
              <w:bottom w:val="nil" w:sz="6" w:space="0" w:color="auto"/>
              <w:right w:val="single" w:sz="4" w:space="0" w:color="000000"/>
            </w:tcBorders>
          </w:tcPr>
          <w:p>
            <w:pPr/>
          </w:p>
        </w:tc>
        <w:tc>
          <w:tcPr>
            <w:tcW w:w="1046" w:type="dxa"/>
            <w:tcBorders>
              <w:top w:val="single" w:sz="4" w:space="0" w:color="000000"/>
              <w:left w:val="single" w:sz="4" w:space="0" w:color="000000"/>
              <w:bottom w:val="nil" w:sz="6" w:space="0" w:color="auto"/>
              <w:right w:val="single" w:sz="4" w:space="0" w:color="000000"/>
            </w:tcBorders>
          </w:tcPr>
          <w:p>
            <w:pPr/>
          </w:p>
        </w:tc>
        <w:tc>
          <w:tcPr>
            <w:tcW w:w="1045" w:type="dxa"/>
            <w:tcBorders>
              <w:top w:val="single" w:sz="4" w:space="0" w:color="000000"/>
              <w:left w:val="single" w:sz="4" w:space="0" w:color="000000"/>
              <w:bottom w:val="nil" w:sz="6" w:space="0" w:color="auto"/>
              <w:right w:val="single" w:sz="4" w:space="0" w:color="000000"/>
            </w:tcBorders>
          </w:tcPr>
          <w:p>
            <w:pPr/>
          </w:p>
        </w:tc>
        <w:tc>
          <w:tcPr>
            <w:tcW w:w="1045" w:type="dxa"/>
            <w:tcBorders>
              <w:top w:val="single" w:sz="4" w:space="0" w:color="000000"/>
              <w:left w:val="single" w:sz="4" w:space="0" w:color="000000"/>
              <w:bottom w:val="nil" w:sz="6" w:space="0" w:color="auto"/>
              <w:right w:val="single" w:sz="4" w:space="0" w:color="000000"/>
            </w:tcBorders>
          </w:tcPr>
          <w:p>
            <w:pPr/>
          </w:p>
        </w:tc>
        <w:tc>
          <w:tcPr>
            <w:tcW w:w="1045" w:type="dxa"/>
            <w:tcBorders>
              <w:top w:val="single" w:sz="4" w:space="0" w:color="000000"/>
              <w:left w:val="single" w:sz="4" w:space="0" w:color="000000"/>
              <w:bottom w:val="nil" w:sz="6" w:space="0" w:color="auto"/>
              <w:right w:val="single" w:sz="4" w:space="0" w:color="000000"/>
            </w:tcBorders>
          </w:tcPr>
          <w:p>
            <w:pPr/>
          </w:p>
        </w:tc>
        <w:tc>
          <w:tcPr>
            <w:tcW w:w="1046"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1054" w:type="dxa"/>
            <w:tcBorders>
              <w:top w:val="nil" w:sz="6" w:space="0" w:color="auto"/>
              <w:left w:val="single" w:sz="4" w:space="0" w:color="000000"/>
              <w:bottom w:val="nil" w:sz="6" w:space="0" w:color="auto"/>
              <w:right w:val="single" w:sz="4" w:space="0" w:color="000000"/>
            </w:tcBorders>
          </w:tcPr>
          <w:p>
            <w:pPr/>
          </w:p>
        </w:tc>
        <w:tc>
          <w:tcPr>
            <w:tcW w:w="1196"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硬件的技</w:t>
            </w:r>
          </w:p>
        </w:tc>
        <w:tc>
          <w:tcPr>
            <w:tcW w:w="1045"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05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深圳一卡</w:t>
            </w:r>
          </w:p>
        </w:tc>
        <w:tc>
          <w:tcPr>
            <w:tcW w:w="1196"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术开发与</w:t>
            </w:r>
          </w:p>
        </w:tc>
        <w:tc>
          <w:tcPr>
            <w:tcW w:w="1045"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r>
      <w:tr>
        <w:trPr>
          <w:trHeight w:val="629" w:hRule="exact"/>
        </w:trPr>
        <w:tc>
          <w:tcPr>
            <w:tcW w:w="1054" w:type="dxa"/>
            <w:tcBorders>
              <w:top w:val="nil" w:sz="6" w:space="0" w:color="auto"/>
              <w:left w:val="single" w:sz="4" w:space="0" w:color="000000"/>
              <w:bottom w:val="nil" w:sz="6" w:space="0" w:color="auto"/>
              <w:right w:val="single" w:sz="4" w:space="0" w:color="000000"/>
            </w:tcBorders>
          </w:tcPr>
          <w:p>
            <w:pPr>
              <w:pStyle w:val="TableParagraph"/>
              <w:spacing w:line="319" w:lineRule="auto" w:before="10"/>
              <w:ind w:left="102" w:right="219"/>
              <w:jc w:val="left"/>
              <w:rPr>
                <w:rFonts w:ascii="宋体" w:hAnsi="宋体" w:cs="宋体" w:eastAsia="宋体" w:hint="default"/>
                <w:sz w:val="18"/>
                <w:szCs w:val="18"/>
              </w:rPr>
            </w:pPr>
            <w:r>
              <w:rPr>
                <w:rFonts w:ascii="宋体" w:hAnsi="宋体" w:cs="宋体" w:eastAsia="宋体" w:hint="default"/>
                <w:sz w:val="18"/>
                <w:szCs w:val="18"/>
              </w:rPr>
              <w:t>易科技股 份有限公</w:t>
            </w:r>
          </w:p>
        </w:tc>
        <w:tc>
          <w:tcPr>
            <w:tcW w:w="119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319" w:lineRule="auto" w:before="10"/>
              <w:ind w:left="102" w:right="101"/>
              <w:jc w:val="left"/>
              <w:rPr>
                <w:rFonts w:ascii="宋体" w:hAnsi="宋体" w:cs="宋体" w:eastAsia="宋体" w:hint="default"/>
                <w:sz w:val="18"/>
                <w:szCs w:val="18"/>
              </w:rPr>
            </w:pPr>
            <w:r>
              <w:rPr>
                <w:rFonts w:ascii="宋体" w:hAnsi="宋体" w:cs="宋体" w:eastAsia="宋体" w:hint="default"/>
                <w:spacing w:val="-15"/>
                <w:sz w:val="18"/>
                <w:szCs w:val="18"/>
              </w:rPr>
              <w:t>销售（不含</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专营、专</w:t>
            </w: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Times New Roman"/>
                <w:sz w:val="18"/>
              </w:rPr>
              <w:t>3,000.00</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104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123" w:right="0"/>
              <w:jc w:val="left"/>
              <w:rPr>
                <w:rFonts w:ascii="Times New Roman" w:hAnsi="Times New Roman" w:cs="Times New Roman" w:eastAsia="Times New Roman" w:hint="default"/>
                <w:sz w:val="18"/>
                <w:szCs w:val="18"/>
              </w:rPr>
            </w:pPr>
            <w:r>
              <w:rPr>
                <w:rFonts w:ascii="Times New Roman"/>
                <w:sz w:val="18"/>
              </w:rPr>
              <w:t>219,155,75</w:t>
            </w:r>
          </w:p>
          <w:p>
            <w:pPr>
              <w:pStyle w:val="TableParagraph"/>
              <w:spacing w:line="240" w:lineRule="auto" w:before="105"/>
              <w:ind w:left="618" w:right="0"/>
              <w:jc w:val="left"/>
              <w:rPr>
                <w:rFonts w:ascii="Times New Roman" w:hAnsi="Times New Roman" w:cs="Times New Roman" w:eastAsia="Times New Roman" w:hint="default"/>
                <w:sz w:val="18"/>
                <w:szCs w:val="18"/>
              </w:rPr>
            </w:pPr>
            <w:r>
              <w:rPr>
                <w:rFonts w:ascii="Times New Roman"/>
                <w:sz w:val="18"/>
              </w:rPr>
              <w:t>0.81</w:t>
            </w: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122" w:right="0"/>
              <w:jc w:val="left"/>
              <w:rPr>
                <w:rFonts w:ascii="Times New Roman" w:hAnsi="Times New Roman" w:cs="Times New Roman" w:eastAsia="Times New Roman" w:hint="default"/>
                <w:sz w:val="18"/>
                <w:szCs w:val="18"/>
              </w:rPr>
            </w:pPr>
            <w:r>
              <w:rPr>
                <w:rFonts w:ascii="Times New Roman"/>
                <w:sz w:val="18"/>
              </w:rPr>
              <w:t>174,808,82</w:t>
            </w:r>
          </w:p>
          <w:p>
            <w:pPr>
              <w:pStyle w:val="TableParagraph"/>
              <w:spacing w:line="240" w:lineRule="auto" w:before="105"/>
              <w:ind w:left="617" w:right="0"/>
              <w:jc w:val="left"/>
              <w:rPr>
                <w:rFonts w:ascii="Times New Roman" w:hAnsi="Times New Roman" w:cs="Times New Roman" w:eastAsia="Times New Roman" w:hint="default"/>
                <w:sz w:val="18"/>
                <w:szCs w:val="18"/>
              </w:rPr>
            </w:pPr>
            <w:r>
              <w:rPr>
                <w:rFonts w:ascii="Times New Roman"/>
                <w:sz w:val="18"/>
              </w:rPr>
              <w:t>6.20</w:t>
            </w: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z w:val="18"/>
              </w:rPr>
              <w:t>75,525,990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.57</w:t>
            </w: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z w:val="18"/>
              </w:rPr>
              <w:t>1,394,984.</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21</w:t>
            </w:r>
          </w:p>
        </w:tc>
        <w:tc>
          <w:tcPr>
            <w:tcW w:w="104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z w:val="18"/>
              </w:rPr>
              <w:t>2,185,765.</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55</w:t>
            </w:r>
          </w:p>
        </w:tc>
      </w:tr>
      <w:tr>
        <w:trPr>
          <w:trHeight w:val="307" w:hRule="exact"/>
        </w:trPr>
        <w:tc>
          <w:tcPr>
            <w:tcW w:w="1054"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司</w:t>
            </w:r>
          </w:p>
        </w:tc>
        <w:tc>
          <w:tcPr>
            <w:tcW w:w="1196"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pacing w:val="-15"/>
                <w:sz w:val="18"/>
                <w:szCs w:val="18"/>
              </w:rPr>
              <w:t>控、专卖商</w:t>
            </w:r>
          </w:p>
        </w:tc>
        <w:tc>
          <w:tcPr>
            <w:tcW w:w="1045"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054" w:type="dxa"/>
            <w:tcBorders>
              <w:top w:val="nil" w:sz="6" w:space="0" w:color="auto"/>
              <w:left w:val="single" w:sz="4" w:space="0" w:color="000000"/>
              <w:bottom w:val="nil" w:sz="6" w:space="0" w:color="auto"/>
              <w:right w:val="single" w:sz="4" w:space="0" w:color="000000"/>
            </w:tcBorders>
          </w:tcPr>
          <w:p>
            <w:pPr/>
          </w:p>
        </w:tc>
        <w:tc>
          <w:tcPr>
            <w:tcW w:w="1196"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品及限制</w:t>
            </w:r>
          </w:p>
        </w:tc>
        <w:tc>
          <w:tcPr>
            <w:tcW w:w="1045"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r>
      <w:tr>
        <w:trPr>
          <w:trHeight w:val="358" w:hRule="exact"/>
        </w:trPr>
        <w:tc>
          <w:tcPr>
            <w:tcW w:w="1054" w:type="dxa"/>
            <w:tcBorders>
              <w:top w:val="nil" w:sz="6" w:space="0" w:color="auto"/>
              <w:left w:val="single" w:sz="4" w:space="0" w:color="000000"/>
              <w:bottom w:val="single" w:sz="4" w:space="0" w:color="000000"/>
              <w:right w:val="single" w:sz="4" w:space="0" w:color="000000"/>
            </w:tcBorders>
          </w:tcPr>
          <w:p>
            <w:pPr/>
          </w:p>
        </w:tc>
        <w:tc>
          <w:tcPr>
            <w:tcW w:w="1196" w:type="dxa"/>
            <w:tcBorders>
              <w:top w:val="nil" w:sz="6" w:space="0" w:color="auto"/>
              <w:left w:val="single" w:sz="4" w:space="0" w:color="000000"/>
              <w:bottom w:val="single" w:sz="4" w:space="0" w:color="000000"/>
              <w:right w:val="single" w:sz="4" w:space="0" w:color="000000"/>
            </w:tcBorders>
          </w:tcPr>
          <w:p>
            <w:pPr/>
          </w:p>
        </w:tc>
        <w:tc>
          <w:tcPr>
            <w:tcW w:w="104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pacing w:val="-90"/>
                <w:sz w:val="18"/>
                <w:szCs w:val="18"/>
              </w:rPr>
              <w:t>）</w:t>
            </w:r>
            <w:r>
              <w:rPr>
                <w:rFonts w:ascii="宋体" w:hAnsi="宋体" w:cs="宋体" w:eastAsia="宋体" w:hint="default"/>
                <w:sz w:val="18"/>
                <w:szCs w:val="18"/>
              </w:rPr>
              <w:t>。</w:t>
            </w:r>
          </w:p>
        </w:tc>
        <w:tc>
          <w:tcPr>
            <w:tcW w:w="1045" w:type="dxa"/>
            <w:tcBorders>
              <w:top w:val="nil" w:sz="6" w:space="0" w:color="auto"/>
              <w:left w:val="single" w:sz="4" w:space="0" w:color="000000"/>
              <w:bottom w:val="single" w:sz="4" w:space="0" w:color="000000"/>
              <w:right w:val="single" w:sz="4" w:space="0" w:color="000000"/>
            </w:tcBorders>
          </w:tcPr>
          <w:p>
            <w:pPr/>
          </w:p>
        </w:tc>
        <w:tc>
          <w:tcPr>
            <w:tcW w:w="1046" w:type="dxa"/>
            <w:tcBorders>
              <w:top w:val="nil" w:sz="6" w:space="0" w:color="auto"/>
              <w:left w:val="single" w:sz="4" w:space="0" w:color="000000"/>
              <w:bottom w:val="single" w:sz="4" w:space="0" w:color="000000"/>
              <w:right w:val="single" w:sz="4" w:space="0" w:color="000000"/>
            </w:tcBorders>
          </w:tcPr>
          <w:p>
            <w:pPr/>
          </w:p>
        </w:tc>
        <w:tc>
          <w:tcPr>
            <w:tcW w:w="1045" w:type="dxa"/>
            <w:tcBorders>
              <w:top w:val="nil" w:sz="6" w:space="0" w:color="auto"/>
              <w:left w:val="single" w:sz="4" w:space="0" w:color="000000"/>
              <w:bottom w:val="single" w:sz="4" w:space="0" w:color="000000"/>
              <w:right w:val="single" w:sz="4" w:space="0" w:color="000000"/>
            </w:tcBorders>
          </w:tcPr>
          <w:p>
            <w:pPr/>
          </w:p>
        </w:tc>
        <w:tc>
          <w:tcPr>
            <w:tcW w:w="1045" w:type="dxa"/>
            <w:tcBorders>
              <w:top w:val="nil" w:sz="6" w:space="0" w:color="auto"/>
              <w:left w:val="single" w:sz="4" w:space="0" w:color="000000"/>
              <w:bottom w:val="single" w:sz="4" w:space="0" w:color="000000"/>
              <w:right w:val="single" w:sz="4" w:space="0" w:color="000000"/>
            </w:tcBorders>
          </w:tcPr>
          <w:p>
            <w:pPr/>
          </w:p>
        </w:tc>
        <w:tc>
          <w:tcPr>
            <w:tcW w:w="1045" w:type="dxa"/>
            <w:tcBorders>
              <w:top w:val="nil" w:sz="6" w:space="0" w:color="auto"/>
              <w:left w:val="single" w:sz="4" w:space="0" w:color="000000"/>
              <w:bottom w:val="single" w:sz="4" w:space="0" w:color="000000"/>
              <w:right w:val="single" w:sz="4" w:space="0" w:color="000000"/>
            </w:tcBorders>
          </w:tcPr>
          <w:p>
            <w:pPr/>
          </w:p>
        </w:tc>
        <w:tc>
          <w:tcPr>
            <w:tcW w:w="1046" w:type="dxa"/>
            <w:tcBorders>
              <w:top w:val="nil" w:sz="6" w:space="0" w:color="auto"/>
              <w:left w:val="single" w:sz="4" w:space="0" w:color="000000"/>
              <w:bottom w:val="single" w:sz="4" w:space="0" w:color="000000"/>
              <w:right w:val="single" w:sz="4" w:space="0" w:color="000000"/>
            </w:tcBorders>
          </w:tcPr>
          <w:p>
            <w:pPr/>
          </w:p>
        </w:tc>
      </w:tr>
      <w:tr>
        <w:trPr>
          <w:trHeight w:val="356" w:hRule="exact"/>
        </w:trPr>
        <w:tc>
          <w:tcPr>
            <w:tcW w:w="1054" w:type="dxa"/>
            <w:tcBorders>
              <w:top w:val="single" w:sz="4" w:space="0" w:color="000000"/>
              <w:left w:val="single" w:sz="4" w:space="0" w:color="000000"/>
              <w:bottom w:val="nil" w:sz="6" w:space="0" w:color="auto"/>
              <w:right w:val="single" w:sz="4" w:space="0" w:color="000000"/>
            </w:tcBorders>
          </w:tcPr>
          <w:p>
            <w:pPr/>
          </w:p>
        </w:tc>
        <w:tc>
          <w:tcPr>
            <w:tcW w:w="1196" w:type="dxa"/>
            <w:tcBorders>
              <w:top w:val="single" w:sz="4" w:space="0" w:color="000000"/>
              <w:left w:val="single" w:sz="4" w:space="0" w:color="000000"/>
              <w:bottom w:val="nil" w:sz="6" w:space="0" w:color="auto"/>
              <w:right w:val="single" w:sz="4" w:space="0" w:color="000000"/>
            </w:tcBorders>
          </w:tcPr>
          <w:p>
            <w:pPr/>
          </w:p>
        </w:tc>
        <w:tc>
          <w:tcPr>
            <w:tcW w:w="104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技术开发、</w:t>
            </w:r>
          </w:p>
        </w:tc>
        <w:tc>
          <w:tcPr>
            <w:tcW w:w="1045" w:type="dxa"/>
            <w:tcBorders>
              <w:top w:val="single" w:sz="4" w:space="0" w:color="000000"/>
              <w:left w:val="single" w:sz="4" w:space="0" w:color="000000"/>
              <w:bottom w:val="nil" w:sz="6" w:space="0" w:color="auto"/>
              <w:right w:val="single" w:sz="4" w:space="0" w:color="000000"/>
            </w:tcBorders>
          </w:tcPr>
          <w:p>
            <w:pPr/>
          </w:p>
        </w:tc>
        <w:tc>
          <w:tcPr>
            <w:tcW w:w="1046" w:type="dxa"/>
            <w:tcBorders>
              <w:top w:val="single" w:sz="4" w:space="0" w:color="000000"/>
              <w:left w:val="single" w:sz="4" w:space="0" w:color="000000"/>
              <w:bottom w:val="nil" w:sz="6" w:space="0" w:color="auto"/>
              <w:right w:val="single" w:sz="4" w:space="0" w:color="000000"/>
            </w:tcBorders>
          </w:tcPr>
          <w:p>
            <w:pPr/>
          </w:p>
        </w:tc>
        <w:tc>
          <w:tcPr>
            <w:tcW w:w="1045" w:type="dxa"/>
            <w:tcBorders>
              <w:top w:val="single" w:sz="4" w:space="0" w:color="000000"/>
              <w:left w:val="single" w:sz="4" w:space="0" w:color="000000"/>
              <w:bottom w:val="nil" w:sz="6" w:space="0" w:color="auto"/>
              <w:right w:val="single" w:sz="4" w:space="0" w:color="000000"/>
            </w:tcBorders>
          </w:tcPr>
          <w:p>
            <w:pPr/>
          </w:p>
        </w:tc>
        <w:tc>
          <w:tcPr>
            <w:tcW w:w="1045" w:type="dxa"/>
            <w:tcBorders>
              <w:top w:val="single" w:sz="4" w:space="0" w:color="000000"/>
              <w:left w:val="single" w:sz="4" w:space="0" w:color="000000"/>
              <w:bottom w:val="nil" w:sz="6" w:space="0" w:color="auto"/>
              <w:right w:val="single" w:sz="4" w:space="0" w:color="000000"/>
            </w:tcBorders>
          </w:tcPr>
          <w:p>
            <w:pPr/>
          </w:p>
        </w:tc>
        <w:tc>
          <w:tcPr>
            <w:tcW w:w="1045" w:type="dxa"/>
            <w:tcBorders>
              <w:top w:val="single" w:sz="4" w:space="0" w:color="000000"/>
              <w:left w:val="single" w:sz="4" w:space="0" w:color="000000"/>
              <w:bottom w:val="nil" w:sz="6" w:space="0" w:color="auto"/>
              <w:right w:val="single" w:sz="4" w:space="0" w:color="000000"/>
            </w:tcBorders>
          </w:tcPr>
          <w:p>
            <w:pPr/>
          </w:p>
        </w:tc>
        <w:tc>
          <w:tcPr>
            <w:tcW w:w="1046"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1054" w:type="dxa"/>
            <w:tcBorders>
              <w:top w:val="nil" w:sz="6" w:space="0" w:color="auto"/>
              <w:left w:val="single" w:sz="4" w:space="0" w:color="000000"/>
              <w:bottom w:val="nil" w:sz="6" w:space="0" w:color="auto"/>
              <w:right w:val="single" w:sz="4" w:space="0" w:color="000000"/>
            </w:tcBorders>
          </w:tcPr>
          <w:p>
            <w:pPr/>
          </w:p>
        </w:tc>
        <w:tc>
          <w:tcPr>
            <w:tcW w:w="1196"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技术服务；</w:t>
            </w:r>
          </w:p>
        </w:tc>
        <w:tc>
          <w:tcPr>
            <w:tcW w:w="1045"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054" w:type="dxa"/>
            <w:tcBorders>
              <w:top w:val="nil" w:sz="6" w:space="0" w:color="auto"/>
              <w:left w:val="single" w:sz="4" w:space="0" w:color="000000"/>
              <w:bottom w:val="nil" w:sz="6" w:space="0" w:color="auto"/>
              <w:right w:val="single" w:sz="4" w:space="0" w:color="000000"/>
            </w:tcBorders>
          </w:tcPr>
          <w:p>
            <w:pPr/>
          </w:p>
        </w:tc>
        <w:tc>
          <w:tcPr>
            <w:tcW w:w="1196"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软化开发；</w:t>
            </w:r>
          </w:p>
        </w:tc>
        <w:tc>
          <w:tcPr>
            <w:tcW w:w="1045"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r>
      <w:tr>
        <w:trPr>
          <w:trHeight w:val="1560" w:hRule="exact"/>
        </w:trPr>
        <w:tc>
          <w:tcPr>
            <w:tcW w:w="1054" w:type="dxa"/>
            <w:tcBorders>
              <w:top w:val="nil" w:sz="6" w:space="0" w:color="auto"/>
              <w:left w:val="single" w:sz="4" w:space="0" w:color="000000"/>
              <w:bottom w:val="nil" w:sz="6" w:space="0" w:color="auto"/>
              <w:right w:val="single" w:sz="4" w:space="0" w:color="000000"/>
            </w:tcBorders>
          </w:tcPr>
          <w:p>
            <w:pPr>
              <w:pStyle w:val="TableParagraph"/>
              <w:spacing w:line="240" w:lineRule="auto" w:before="146"/>
              <w:ind w:left="102" w:right="0"/>
              <w:jc w:val="left"/>
              <w:rPr>
                <w:rFonts w:ascii="宋体" w:hAnsi="宋体" w:cs="宋体" w:eastAsia="宋体" w:hint="default"/>
                <w:sz w:val="18"/>
                <w:szCs w:val="18"/>
              </w:rPr>
            </w:pPr>
            <w:r>
              <w:rPr>
                <w:rFonts w:ascii="宋体" w:hAnsi="宋体" w:cs="宋体" w:eastAsia="宋体" w:hint="default"/>
                <w:sz w:val="18"/>
                <w:szCs w:val="18"/>
              </w:rPr>
              <w:t>云宝金服</w:t>
            </w:r>
          </w:p>
          <w:p>
            <w:pPr>
              <w:pStyle w:val="TableParagraph"/>
              <w:spacing w:line="316" w:lineRule="auto" w:before="76"/>
              <w:ind w:left="102" w:right="101"/>
              <w:jc w:val="left"/>
              <w:rPr>
                <w:rFonts w:ascii="宋体" w:hAnsi="宋体" w:cs="宋体" w:eastAsia="宋体" w:hint="default"/>
                <w:sz w:val="18"/>
                <w:szCs w:val="18"/>
              </w:rPr>
            </w:pPr>
            <w:r>
              <w:rPr>
                <w:rFonts w:ascii="宋体" w:hAnsi="宋体" w:cs="宋体" w:eastAsia="宋体" w:hint="default"/>
                <w:spacing w:val="-13"/>
                <w:sz w:val="18"/>
                <w:szCs w:val="18"/>
              </w:rPr>
              <w:t>（北京）科</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技有限公 司</w:t>
            </w:r>
          </w:p>
        </w:tc>
        <w:tc>
          <w:tcPr>
            <w:tcW w:w="119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2" w:right="30"/>
              <w:jc w:val="left"/>
              <w:rPr>
                <w:rFonts w:ascii="宋体" w:hAnsi="宋体" w:cs="宋体" w:eastAsia="宋体" w:hint="default"/>
                <w:sz w:val="18"/>
                <w:szCs w:val="18"/>
              </w:rPr>
            </w:pPr>
            <w:r>
              <w:rPr>
                <w:rFonts w:ascii="宋体" w:hAnsi="宋体" w:cs="宋体" w:eastAsia="宋体" w:hint="default"/>
                <w:sz w:val="18"/>
                <w:szCs w:val="18"/>
              </w:rPr>
              <w:t>接受金融 机构委托 从事金融 信息技术 服务外包；</w:t>
            </w: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5"/>
                <w:szCs w:val="25"/>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5,000.00</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104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21"/>
                <w:szCs w:val="21"/>
              </w:rPr>
            </w:pPr>
          </w:p>
          <w:p>
            <w:pPr>
              <w:pStyle w:val="TableParagraph"/>
              <w:spacing w:line="240" w:lineRule="auto"/>
              <w:ind w:left="123" w:right="0"/>
              <w:jc w:val="left"/>
              <w:rPr>
                <w:rFonts w:ascii="Times New Roman" w:hAnsi="Times New Roman" w:cs="Times New Roman" w:eastAsia="Times New Roman" w:hint="default"/>
                <w:sz w:val="18"/>
                <w:szCs w:val="18"/>
              </w:rPr>
            </w:pPr>
            <w:r>
              <w:rPr>
                <w:rFonts w:ascii="Times New Roman"/>
                <w:sz w:val="18"/>
              </w:rPr>
              <w:t>732,637.76</w:t>
            </w: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21"/>
                <w:szCs w:val="21"/>
              </w:rPr>
            </w:pPr>
          </w:p>
          <w:p>
            <w:pPr>
              <w:pStyle w:val="TableParagraph"/>
              <w:spacing w:line="240" w:lineRule="auto"/>
              <w:ind w:left="122" w:right="0"/>
              <w:jc w:val="left"/>
              <w:rPr>
                <w:rFonts w:ascii="Times New Roman" w:hAnsi="Times New Roman" w:cs="Times New Roman" w:eastAsia="Times New Roman" w:hint="default"/>
                <w:sz w:val="18"/>
                <w:szCs w:val="18"/>
              </w:rPr>
            </w:pPr>
            <w:r>
              <w:rPr>
                <w:rFonts w:ascii="Times New Roman"/>
                <w:sz w:val="18"/>
              </w:rPr>
              <w:t>589,883.65</w:t>
            </w: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0.00</w:t>
            </w: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5"/>
                <w:szCs w:val="2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-429,905.0</w:t>
            </w:r>
            <w:r>
              <w:rPr>
                <w:rFonts w:ascii="Times New Roman"/>
                <w:sz w:val="18"/>
              </w:rPr>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2</w:t>
            </w:r>
          </w:p>
        </w:tc>
        <w:tc>
          <w:tcPr>
            <w:tcW w:w="104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5"/>
                <w:szCs w:val="2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-429,904.8</w:t>
            </w:r>
            <w:r>
              <w:rPr>
                <w:rFonts w:ascii="Times New Roman"/>
                <w:sz w:val="18"/>
              </w:rPr>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2</w:t>
            </w:r>
          </w:p>
        </w:tc>
      </w:tr>
      <w:tr>
        <w:trPr>
          <w:trHeight w:val="312" w:hRule="exact"/>
        </w:trPr>
        <w:tc>
          <w:tcPr>
            <w:tcW w:w="1054" w:type="dxa"/>
            <w:tcBorders>
              <w:top w:val="nil" w:sz="6" w:space="0" w:color="auto"/>
              <w:left w:val="single" w:sz="4" w:space="0" w:color="000000"/>
              <w:bottom w:val="nil" w:sz="6" w:space="0" w:color="auto"/>
              <w:right w:val="single" w:sz="4" w:space="0" w:color="000000"/>
            </w:tcBorders>
          </w:tcPr>
          <w:p>
            <w:pPr/>
          </w:p>
        </w:tc>
        <w:tc>
          <w:tcPr>
            <w:tcW w:w="1196"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投资管理；</w:t>
            </w:r>
          </w:p>
        </w:tc>
        <w:tc>
          <w:tcPr>
            <w:tcW w:w="1045"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054" w:type="dxa"/>
            <w:tcBorders>
              <w:top w:val="nil" w:sz="6" w:space="0" w:color="auto"/>
              <w:left w:val="single" w:sz="4" w:space="0" w:color="000000"/>
              <w:bottom w:val="nil" w:sz="6" w:space="0" w:color="auto"/>
              <w:right w:val="single" w:sz="4" w:space="0" w:color="000000"/>
            </w:tcBorders>
          </w:tcPr>
          <w:p>
            <w:pPr/>
          </w:p>
        </w:tc>
        <w:tc>
          <w:tcPr>
            <w:tcW w:w="1196"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数据处理；</w:t>
            </w:r>
          </w:p>
        </w:tc>
        <w:tc>
          <w:tcPr>
            <w:tcW w:w="1045"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1054" w:type="dxa"/>
            <w:tcBorders>
              <w:top w:val="nil" w:sz="6" w:space="0" w:color="auto"/>
              <w:left w:val="single" w:sz="4" w:space="0" w:color="000000"/>
              <w:bottom w:val="single" w:sz="4" w:space="0" w:color="000000"/>
              <w:right w:val="single" w:sz="4" w:space="0" w:color="000000"/>
            </w:tcBorders>
          </w:tcPr>
          <w:p>
            <w:pPr/>
          </w:p>
        </w:tc>
        <w:tc>
          <w:tcPr>
            <w:tcW w:w="1196" w:type="dxa"/>
            <w:tcBorders>
              <w:top w:val="nil" w:sz="6" w:space="0" w:color="auto"/>
              <w:left w:val="single" w:sz="4" w:space="0" w:color="000000"/>
              <w:bottom w:val="single" w:sz="4" w:space="0" w:color="000000"/>
              <w:right w:val="single" w:sz="4" w:space="0" w:color="000000"/>
            </w:tcBorders>
          </w:tcPr>
          <w:p>
            <w:pPr/>
          </w:p>
        </w:tc>
        <w:tc>
          <w:tcPr>
            <w:tcW w:w="104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互联网信</w:t>
            </w:r>
          </w:p>
        </w:tc>
        <w:tc>
          <w:tcPr>
            <w:tcW w:w="1045" w:type="dxa"/>
            <w:tcBorders>
              <w:top w:val="nil" w:sz="6" w:space="0" w:color="auto"/>
              <w:left w:val="single" w:sz="4" w:space="0" w:color="000000"/>
              <w:bottom w:val="single" w:sz="4" w:space="0" w:color="000000"/>
              <w:right w:val="single" w:sz="4" w:space="0" w:color="000000"/>
            </w:tcBorders>
          </w:tcPr>
          <w:p>
            <w:pPr/>
          </w:p>
        </w:tc>
        <w:tc>
          <w:tcPr>
            <w:tcW w:w="1046" w:type="dxa"/>
            <w:tcBorders>
              <w:top w:val="nil" w:sz="6" w:space="0" w:color="auto"/>
              <w:left w:val="single" w:sz="4" w:space="0" w:color="000000"/>
              <w:bottom w:val="single" w:sz="4" w:space="0" w:color="000000"/>
              <w:right w:val="single" w:sz="4" w:space="0" w:color="000000"/>
            </w:tcBorders>
          </w:tcPr>
          <w:p>
            <w:pPr/>
          </w:p>
        </w:tc>
        <w:tc>
          <w:tcPr>
            <w:tcW w:w="1045" w:type="dxa"/>
            <w:tcBorders>
              <w:top w:val="nil" w:sz="6" w:space="0" w:color="auto"/>
              <w:left w:val="single" w:sz="4" w:space="0" w:color="000000"/>
              <w:bottom w:val="single" w:sz="4" w:space="0" w:color="000000"/>
              <w:right w:val="single" w:sz="4" w:space="0" w:color="000000"/>
            </w:tcBorders>
          </w:tcPr>
          <w:p>
            <w:pPr/>
          </w:p>
        </w:tc>
        <w:tc>
          <w:tcPr>
            <w:tcW w:w="1045" w:type="dxa"/>
            <w:tcBorders>
              <w:top w:val="nil" w:sz="6" w:space="0" w:color="auto"/>
              <w:left w:val="single" w:sz="4" w:space="0" w:color="000000"/>
              <w:bottom w:val="single" w:sz="4" w:space="0" w:color="000000"/>
              <w:right w:val="single" w:sz="4" w:space="0" w:color="000000"/>
            </w:tcBorders>
          </w:tcPr>
          <w:p>
            <w:pPr/>
          </w:p>
        </w:tc>
        <w:tc>
          <w:tcPr>
            <w:tcW w:w="1045" w:type="dxa"/>
            <w:tcBorders>
              <w:top w:val="nil" w:sz="6" w:space="0" w:color="auto"/>
              <w:left w:val="single" w:sz="4" w:space="0" w:color="000000"/>
              <w:bottom w:val="single" w:sz="4" w:space="0" w:color="000000"/>
              <w:right w:val="single" w:sz="4" w:space="0" w:color="000000"/>
            </w:tcBorders>
          </w:tcPr>
          <w:p>
            <w:pPr/>
          </w:p>
        </w:tc>
        <w:tc>
          <w:tcPr>
            <w:tcW w:w="1046" w:type="dxa"/>
            <w:tcBorders>
              <w:top w:val="nil" w:sz="6" w:space="0" w:color="auto"/>
              <w:left w:val="single" w:sz="4" w:space="0" w:color="000000"/>
              <w:bottom w:val="single" w:sz="4" w:space="0" w:color="000000"/>
              <w:right w:val="single" w:sz="4" w:space="0" w:color="000000"/>
            </w:tcBorders>
          </w:tcPr>
          <w:p>
            <w:pPr/>
          </w:p>
        </w:tc>
      </w:tr>
    </w:tbl>
    <w:p>
      <w:pPr>
        <w:spacing w:after="0"/>
        <w:sectPr>
          <w:pgSz w:w="11910" w:h="16840"/>
          <w:pgMar w:header="906" w:footer="1018" w:top="1100" w:bottom="1200" w:left="1020" w:right="0"/>
        </w:sectPr>
      </w:pPr>
    </w:p>
    <w:p>
      <w:pPr>
        <w:spacing w:line="240" w:lineRule="auto" w:before="0"/>
        <w:rPr>
          <w:rFonts w:ascii="Times New Roman" w:hAnsi="Times New Roman" w:cs="Times New Roman" w:eastAsia="Times New Roman" w:hint="default"/>
          <w:sz w:val="29"/>
          <w:szCs w:val="29"/>
        </w:rPr>
      </w:pPr>
    </w:p>
    <w:tbl>
      <w:tblPr>
        <w:tblW w:w="0" w:type="auto"/>
        <w:jc w:val="left"/>
        <w:tblInd w:w="109" w:type="dxa"/>
        <w:tblLayout w:type="fixed"/>
        <w:tblCellMar>
          <w:top w:w="0" w:type="dxa"/>
          <w:left w:w="0" w:type="dxa"/>
          <w:bottom w:w="0" w:type="dxa"/>
          <w:right w:w="0" w:type="dxa"/>
        </w:tblCellMar>
        <w:tblLook w:val="01E0"/>
      </w:tblPr>
      <w:tblGrid>
        <w:gridCol w:w="1054"/>
        <w:gridCol w:w="1196"/>
        <w:gridCol w:w="1045"/>
        <w:gridCol w:w="1045"/>
        <w:gridCol w:w="1046"/>
        <w:gridCol w:w="1045"/>
        <w:gridCol w:w="1045"/>
        <w:gridCol w:w="1045"/>
        <w:gridCol w:w="1046"/>
      </w:tblGrid>
      <w:tr>
        <w:trPr>
          <w:trHeight w:val="362" w:hRule="exact"/>
        </w:trPr>
        <w:tc>
          <w:tcPr>
            <w:tcW w:w="1054"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息服务。</w:t>
            </w:r>
          </w:p>
        </w:tc>
        <w:tc>
          <w:tcPr>
            <w:tcW w:w="1045"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5" w:type="dxa"/>
            <w:tcBorders>
              <w:top w:val="single" w:sz="4" w:space="0" w:color="000000"/>
              <w:left w:val="single" w:sz="4" w:space="0" w:color="000000"/>
              <w:bottom w:val="single" w:sz="4" w:space="0" w:color="000000"/>
              <w:right w:val="single" w:sz="4" w:space="0" w:color="000000"/>
            </w:tcBorders>
          </w:tcPr>
          <w:p>
            <w:pPr/>
          </w:p>
        </w:tc>
        <w:tc>
          <w:tcPr>
            <w:tcW w:w="1045" w:type="dxa"/>
            <w:tcBorders>
              <w:top w:val="single" w:sz="4" w:space="0" w:color="000000"/>
              <w:left w:val="single" w:sz="4" w:space="0" w:color="000000"/>
              <w:bottom w:val="single" w:sz="4" w:space="0" w:color="000000"/>
              <w:right w:val="single" w:sz="4" w:space="0" w:color="000000"/>
            </w:tcBorders>
          </w:tcPr>
          <w:p>
            <w:pPr/>
          </w:p>
        </w:tc>
        <w:tc>
          <w:tcPr>
            <w:tcW w:w="1045"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r>
      <w:tr>
        <w:trPr>
          <w:trHeight w:val="356" w:hRule="exact"/>
        </w:trPr>
        <w:tc>
          <w:tcPr>
            <w:tcW w:w="1054" w:type="dxa"/>
            <w:tcBorders>
              <w:top w:val="single" w:sz="4" w:space="0" w:color="000000"/>
              <w:left w:val="single" w:sz="4" w:space="0" w:color="000000"/>
              <w:bottom w:val="nil" w:sz="6" w:space="0" w:color="auto"/>
              <w:right w:val="single" w:sz="4" w:space="0" w:color="000000"/>
            </w:tcBorders>
          </w:tcPr>
          <w:p>
            <w:pPr/>
          </w:p>
        </w:tc>
        <w:tc>
          <w:tcPr>
            <w:tcW w:w="1196" w:type="dxa"/>
            <w:tcBorders>
              <w:top w:val="single" w:sz="4" w:space="0" w:color="000000"/>
              <w:left w:val="single" w:sz="4" w:space="0" w:color="000000"/>
              <w:bottom w:val="nil" w:sz="6" w:space="0" w:color="auto"/>
              <w:right w:val="single" w:sz="4" w:space="0" w:color="000000"/>
            </w:tcBorders>
          </w:tcPr>
          <w:p>
            <w:pPr/>
          </w:p>
        </w:tc>
        <w:tc>
          <w:tcPr>
            <w:tcW w:w="104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研发、销</w:t>
            </w:r>
          </w:p>
        </w:tc>
        <w:tc>
          <w:tcPr>
            <w:tcW w:w="1045" w:type="dxa"/>
            <w:tcBorders>
              <w:top w:val="single" w:sz="4" w:space="0" w:color="000000"/>
              <w:left w:val="single" w:sz="4" w:space="0" w:color="000000"/>
              <w:bottom w:val="nil" w:sz="6" w:space="0" w:color="auto"/>
              <w:right w:val="single" w:sz="4" w:space="0" w:color="000000"/>
            </w:tcBorders>
          </w:tcPr>
          <w:p>
            <w:pPr/>
          </w:p>
        </w:tc>
        <w:tc>
          <w:tcPr>
            <w:tcW w:w="1046" w:type="dxa"/>
            <w:tcBorders>
              <w:top w:val="single" w:sz="4" w:space="0" w:color="000000"/>
              <w:left w:val="single" w:sz="4" w:space="0" w:color="000000"/>
              <w:bottom w:val="nil" w:sz="6" w:space="0" w:color="auto"/>
              <w:right w:val="single" w:sz="4" w:space="0" w:color="000000"/>
            </w:tcBorders>
          </w:tcPr>
          <w:p>
            <w:pPr/>
          </w:p>
        </w:tc>
        <w:tc>
          <w:tcPr>
            <w:tcW w:w="1045" w:type="dxa"/>
            <w:tcBorders>
              <w:top w:val="single" w:sz="4" w:space="0" w:color="000000"/>
              <w:left w:val="single" w:sz="4" w:space="0" w:color="000000"/>
              <w:bottom w:val="nil" w:sz="6" w:space="0" w:color="auto"/>
              <w:right w:val="single" w:sz="4" w:space="0" w:color="000000"/>
            </w:tcBorders>
          </w:tcPr>
          <w:p>
            <w:pPr/>
          </w:p>
        </w:tc>
        <w:tc>
          <w:tcPr>
            <w:tcW w:w="1045" w:type="dxa"/>
            <w:tcBorders>
              <w:top w:val="single" w:sz="4" w:space="0" w:color="000000"/>
              <w:left w:val="single" w:sz="4" w:space="0" w:color="000000"/>
              <w:bottom w:val="nil" w:sz="6" w:space="0" w:color="auto"/>
              <w:right w:val="single" w:sz="4" w:space="0" w:color="000000"/>
            </w:tcBorders>
          </w:tcPr>
          <w:p>
            <w:pPr/>
          </w:p>
        </w:tc>
        <w:tc>
          <w:tcPr>
            <w:tcW w:w="1045" w:type="dxa"/>
            <w:tcBorders>
              <w:top w:val="single" w:sz="4" w:space="0" w:color="000000"/>
              <w:left w:val="single" w:sz="4" w:space="0" w:color="000000"/>
              <w:bottom w:val="nil" w:sz="6" w:space="0" w:color="auto"/>
              <w:right w:val="single" w:sz="4" w:space="0" w:color="000000"/>
            </w:tcBorders>
          </w:tcPr>
          <w:p>
            <w:pPr/>
          </w:p>
        </w:tc>
        <w:tc>
          <w:tcPr>
            <w:tcW w:w="1046"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1054" w:type="dxa"/>
            <w:tcBorders>
              <w:top w:val="nil" w:sz="6" w:space="0" w:color="auto"/>
              <w:left w:val="single" w:sz="4" w:space="0" w:color="000000"/>
              <w:bottom w:val="nil" w:sz="6" w:space="0" w:color="auto"/>
              <w:right w:val="single" w:sz="4" w:space="0" w:color="000000"/>
            </w:tcBorders>
          </w:tcPr>
          <w:p>
            <w:pPr/>
          </w:p>
        </w:tc>
        <w:tc>
          <w:tcPr>
            <w:tcW w:w="1196"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pacing w:val="-15"/>
                <w:sz w:val="18"/>
                <w:szCs w:val="18"/>
              </w:rPr>
              <w:t>售、系统集</w:t>
            </w:r>
          </w:p>
        </w:tc>
        <w:tc>
          <w:tcPr>
            <w:tcW w:w="1045"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r>
      <w:tr>
        <w:trPr>
          <w:trHeight w:val="1248" w:hRule="exact"/>
        </w:trPr>
        <w:tc>
          <w:tcPr>
            <w:tcW w:w="105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316" w:lineRule="auto"/>
              <w:ind w:left="102" w:right="101"/>
              <w:jc w:val="both"/>
              <w:rPr>
                <w:rFonts w:ascii="宋体" w:hAnsi="宋体" w:cs="宋体" w:eastAsia="宋体" w:hint="default"/>
                <w:sz w:val="18"/>
                <w:szCs w:val="18"/>
              </w:rPr>
            </w:pPr>
            <w:r>
              <w:rPr>
                <w:rFonts w:ascii="宋体" w:hAnsi="宋体" w:cs="宋体" w:eastAsia="宋体" w:hint="default"/>
                <w:spacing w:val="-13"/>
                <w:sz w:val="18"/>
                <w:szCs w:val="18"/>
              </w:rPr>
              <w:t>恒宝（中东</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13"/>
                <w:sz w:val="18"/>
                <w:szCs w:val="18"/>
              </w:rPr>
              <w:t>非洲）有限</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责任公司</w:t>
            </w:r>
          </w:p>
        </w:tc>
        <w:tc>
          <w:tcPr>
            <w:tcW w:w="119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3"/>
                <w:szCs w:val="2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2" w:right="101"/>
              <w:jc w:val="both"/>
              <w:rPr>
                <w:rFonts w:ascii="宋体" w:hAnsi="宋体" w:cs="宋体" w:eastAsia="宋体" w:hint="default"/>
                <w:sz w:val="18"/>
                <w:szCs w:val="18"/>
              </w:rPr>
            </w:pPr>
            <w:r>
              <w:rPr>
                <w:rFonts w:ascii="宋体" w:hAnsi="宋体" w:cs="宋体" w:eastAsia="宋体" w:hint="default"/>
                <w:spacing w:val="-15"/>
                <w:sz w:val="18"/>
                <w:szCs w:val="18"/>
              </w:rPr>
              <w:t>成；提供智</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15"/>
                <w:sz w:val="18"/>
                <w:szCs w:val="18"/>
              </w:rPr>
              <w:t>能卡、金融</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15"/>
                <w:sz w:val="18"/>
                <w:szCs w:val="18"/>
              </w:rPr>
              <w:t>科技、物联</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15"/>
                <w:sz w:val="18"/>
                <w:szCs w:val="18"/>
              </w:rPr>
              <w:t>网、数据服</w:t>
            </w: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0" w:lineRule="auto" w:before="115"/>
              <w:ind w:left="103" w:right="165"/>
              <w:jc w:val="left"/>
              <w:rPr>
                <w:rFonts w:ascii="宋体" w:hAnsi="宋体" w:cs="宋体" w:eastAsia="宋体"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亿肯尼 亚先令</w:t>
            </w:r>
          </w:p>
        </w:tc>
        <w:tc>
          <w:tcPr>
            <w:tcW w:w="104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123" w:right="0"/>
              <w:jc w:val="left"/>
              <w:rPr>
                <w:rFonts w:ascii="Times New Roman" w:hAnsi="Times New Roman" w:cs="Times New Roman" w:eastAsia="Times New Roman" w:hint="default"/>
                <w:sz w:val="18"/>
                <w:szCs w:val="18"/>
              </w:rPr>
            </w:pPr>
            <w:r>
              <w:rPr>
                <w:rFonts w:ascii="Times New Roman"/>
                <w:sz w:val="18"/>
              </w:rPr>
              <w:t>553,731.25</w:t>
            </w: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122" w:right="0"/>
              <w:jc w:val="left"/>
              <w:rPr>
                <w:rFonts w:ascii="Times New Roman" w:hAnsi="Times New Roman" w:cs="Times New Roman" w:eastAsia="Times New Roman" w:hint="default"/>
                <w:sz w:val="18"/>
                <w:szCs w:val="18"/>
              </w:rPr>
            </w:pPr>
            <w:r>
              <w:rPr>
                <w:rFonts w:ascii="Times New Roman"/>
                <w:sz w:val="18"/>
              </w:rPr>
              <w:t>496,627.92</w:t>
            </w: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11" w:right="0"/>
              <w:jc w:val="left"/>
              <w:rPr>
                <w:rFonts w:ascii="Times New Roman" w:hAnsi="Times New Roman" w:cs="Times New Roman" w:eastAsia="Times New Roman" w:hint="default"/>
                <w:sz w:val="18"/>
                <w:szCs w:val="18"/>
              </w:rPr>
            </w:pPr>
            <w:r>
              <w:rPr>
                <w:rFonts w:ascii="Times New Roman"/>
                <w:sz w:val="18"/>
              </w:rPr>
              <w:t>19,378.17</w:t>
            </w: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7"/>
              <w:ind w:right="100"/>
              <w:jc w:val="right"/>
              <w:rPr>
                <w:rFonts w:ascii="Times New Roman" w:hAnsi="Times New Roman" w:cs="Times New Roman" w:eastAsia="Times New Roman" w:hint="default"/>
                <w:sz w:val="18"/>
                <w:szCs w:val="18"/>
              </w:rPr>
            </w:pPr>
            <w:r>
              <w:rPr>
                <w:rFonts w:ascii="Times New Roman"/>
                <w:w w:val="95"/>
                <w:sz w:val="18"/>
              </w:rPr>
              <w:t>-543,207.3</w:t>
            </w:r>
            <w:r>
              <w:rPr>
                <w:rFonts w:ascii="Times New Roman"/>
                <w:sz w:val="18"/>
              </w:rPr>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5</w:t>
            </w:r>
          </w:p>
        </w:tc>
        <w:tc>
          <w:tcPr>
            <w:tcW w:w="104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7"/>
              <w:ind w:right="100"/>
              <w:jc w:val="right"/>
              <w:rPr>
                <w:rFonts w:ascii="Times New Roman" w:hAnsi="Times New Roman" w:cs="Times New Roman" w:eastAsia="Times New Roman" w:hint="default"/>
                <w:sz w:val="18"/>
                <w:szCs w:val="18"/>
              </w:rPr>
            </w:pPr>
            <w:r>
              <w:rPr>
                <w:rFonts w:ascii="Times New Roman"/>
                <w:w w:val="95"/>
                <w:sz w:val="18"/>
              </w:rPr>
              <w:t>-543,207.3</w:t>
            </w:r>
            <w:r>
              <w:rPr>
                <w:rFonts w:ascii="Times New Roman"/>
                <w:sz w:val="18"/>
              </w:rPr>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5</w:t>
            </w:r>
          </w:p>
        </w:tc>
      </w:tr>
      <w:tr>
        <w:trPr>
          <w:trHeight w:val="312" w:hRule="exact"/>
        </w:trPr>
        <w:tc>
          <w:tcPr>
            <w:tcW w:w="1054" w:type="dxa"/>
            <w:tcBorders>
              <w:top w:val="nil" w:sz="6" w:space="0" w:color="auto"/>
              <w:left w:val="single" w:sz="4" w:space="0" w:color="000000"/>
              <w:bottom w:val="nil" w:sz="6" w:space="0" w:color="auto"/>
              <w:right w:val="single" w:sz="4" w:space="0" w:color="000000"/>
            </w:tcBorders>
          </w:tcPr>
          <w:p>
            <w:pPr/>
          </w:p>
        </w:tc>
        <w:tc>
          <w:tcPr>
            <w:tcW w:w="1196"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务及相关</w:t>
            </w:r>
          </w:p>
        </w:tc>
        <w:tc>
          <w:tcPr>
            <w:tcW w:w="1045"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46" w:type="dxa"/>
            <w:tcBorders>
              <w:top w:val="nil" w:sz="6" w:space="0" w:color="auto"/>
              <w:left w:val="single" w:sz="4" w:space="0" w:color="000000"/>
              <w:bottom w:val="nil" w:sz="6" w:space="0" w:color="auto"/>
              <w:right w:val="single" w:sz="4" w:space="0" w:color="000000"/>
            </w:tcBorders>
          </w:tcPr>
          <w:p>
            <w:pPr/>
          </w:p>
        </w:tc>
      </w:tr>
      <w:tr>
        <w:trPr>
          <w:trHeight w:val="358" w:hRule="exact"/>
        </w:trPr>
        <w:tc>
          <w:tcPr>
            <w:tcW w:w="1054" w:type="dxa"/>
            <w:tcBorders>
              <w:top w:val="nil" w:sz="6" w:space="0" w:color="auto"/>
              <w:left w:val="single" w:sz="4" w:space="0" w:color="000000"/>
              <w:bottom w:val="single" w:sz="4" w:space="0" w:color="000000"/>
              <w:right w:val="single" w:sz="4" w:space="0" w:color="000000"/>
            </w:tcBorders>
          </w:tcPr>
          <w:p>
            <w:pPr/>
          </w:p>
        </w:tc>
        <w:tc>
          <w:tcPr>
            <w:tcW w:w="1196" w:type="dxa"/>
            <w:tcBorders>
              <w:top w:val="nil" w:sz="6" w:space="0" w:color="auto"/>
              <w:left w:val="single" w:sz="4" w:space="0" w:color="000000"/>
              <w:bottom w:val="single" w:sz="4" w:space="0" w:color="000000"/>
              <w:right w:val="single" w:sz="4" w:space="0" w:color="000000"/>
            </w:tcBorders>
          </w:tcPr>
          <w:p>
            <w:pPr/>
          </w:p>
        </w:tc>
        <w:tc>
          <w:tcPr>
            <w:tcW w:w="104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解决方案。</w:t>
            </w:r>
          </w:p>
        </w:tc>
        <w:tc>
          <w:tcPr>
            <w:tcW w:w="1045" w:type="dxa"/>
            <w:tcBorders>
              <w:top w:val="nil" w:sz="6" w:space="0" w:color="auto"/>
              <w:left w:val="single" w:sz="4" w:space="0" w:color="000000"/>
              <w:bottom w:val="single" w:sz="4" w:space="0" w:color="000000"/>
              <w:right w:val="single" w:sz="4" w:space="0" w:color="000000"/>
            </w:tcBorders>
          </w:tcPr>
          <w:p>
            <w:pPr/>
          </w:p>
        </w:tc>
        <w:tc>
          <w:tcPr>
            <w:tcW w:w="1046" w:type="dxa"/>
            <w:tcBorders>
              <w:top w:val="nil" w:sz="6" w:space="0" w:color="auto"/>
              <w:left w:val="single" w:sz="4" w:space="0" w:color="000000"/>
              <w:bottom w:val="single" w:sz="4" w:space="0" w:color="000000"/>
              <w:right w:val="single" w:sz="4" w:space="0" w:color="000000"/>
            </w:tcBorders>
          </w:tcPr>
          <w:p>
            <w:pPr/>
          </w:p>
        </w:tc>
        <w:tc>
          <w:tcPr>
            <w:tcW w:w="1045" w:type="dxa"/>
            <w:tcBorders>
              <w:top w:val="nil" w:sz="6" w:space="0" w:color="auto"/>
              <w:left w:val="single" w:sz="4" w:space="0" w:color="000000"/>
              <w:bottom w:val="single" w:sz="4" w:space="0" w:color="000000"/>
              <w:right w:val="single" w:sz="4" w:space="0" w:color="000000"/>
            </w:tcBorders>
          </w:tcPr>
          <w:p>
            <w:pPr/>
          </w:p>
        </w:tc>
        <w:tc>
          <w:tcPr>
            <w:tcW w:w="1045" w:type="dxa"/>
            <w:tcBorders>
              <w:top w:val="nil" w:sz="6" w:space="0" w:color="auto"/>
              <w:left w:val="single" w:sz="4" w:space="0" w:color="000000"/>
              <w:bottom w:val="single" w:sz="4" w:space="0" w:color="000000"/>
              <w:right w:val="single" w:sz="4" w:space="0" w:color="000000"/>
            </w:tcBorders>
          </w:tcPr>
          <w:p>
            <w:pPr/>
          </w:p>
        </w:tc>
        <w:tc>
          <w:tcPr>
            <w:tcW w:w="1045" w:type="dxa"/>
            <w:tcBorders>
              <w:top w:val="nil" w:sz="6" w:space="0" w:color="auto"/>
              <w:left w:val="single" w:sz="4" w:space="0" w:color="000000"/>
              <w:bottom w:val="single" w:sz="4" w:space="0" w:color="000000"/>
              <w:right w:val="single" w:sz="4" w:space="0" w:color="000000"/>
            </w:tcBorders>
          </w:tcPr>
          <w:p>
            <w:pPr/>
          </w:p>
        </w:tc>
        <w:tc>
          <w:tcPr>
            <w:tcW w:w="1046" w:type="dxa"/>
            <w:tcBorders>
              <w:top w:val="nil" w:sz="6" w:space="0" w:color="auto"/>
              <w:left w:val="single" w:sz="4" w:space="0" w:color="000000"/>
              <w:bottom w:val="single" w:sz="4" w:space="0" w:color="000000"/>
              <w:right w:val="single" w:sz="4" w:space="0" w:color="000000"/>
            </w:tcBorders>
          </w:tcPr>
          <w:p>
            <w:pPr/>
          </w:p>
        </w:tc>
      </w:tr>
    </w:tbl>
    <w:p>
      <w:pPr>
        <w:pStyle w:val="BodyText"/>
        <w:spacing w:line="240" w:lineRule="auto" w:before="49"/>
        <w:ind w:right="0"/>
        <w:jc w:val="left"/>
      </w:pPr>
      <w:r>
        <w:rPr/>
        <w:t>报告期内取得和处置子公司的情况</w:t>
      </w:r>
    </w:p>
    <w:p>
      <w:pPr>
        <w:pStyle w:val="BodyText"/>
        <w:spacing w:line="240" w:lineRule="auto" w:before="116"/>
        <w:ind w:right="0"/>
        <w:jc w:val="left"/>
      </w:pPr>
      <w:r>
        <w:rPr/>
        <w:t>√ 适用 □ 不适用</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8"/>
        <w:gridCol w:w="3190"/>
        <w:gridCol w:w="3191"/>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公司名称</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330" w:right="0"/>
              <w:jc w:val="left"/>
              <w:rPr>
                <w:rFonts w:ascii="宋体" w:hAnsi="宋体" w:cs="宋体" w:eastAsia="宋体" w:hint="default"/>
                <w:sz w:val="18"/>
                <w:szCs w:val="18"/>
              </w:rPr>
            </w:pPr>
            <w:r>
              <w:rPr>
                <w:rFonts w:ascii="宋体" w:hAnsi="宋体" w:cs="宋体" w:eastAsia="宋体" w:hint="default"/>
                <w:sz w:val="18"/>
                <w:szCs w:val="18"/>
              </w:rPr>
              <w:t>报告期内取得和处置子公司方式</w:t>
            </w:r>
          </w:p>
        </w:tc>
        <w:tc>
          <w:tcPr>
            <w:tcW w:w="31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19" w:right="0"/>
              <w:jc w:val="left"/>
              <w:rPr>
                <w:rFonts w:ascii="宋体" w:hAnsi="宋体" w:cs="宋体" w:eastAsia="宋体" w:hint="default"/>
                <w:sz w:val="18"/>
                <w:szCs w:val="18"/>
              </w:rPr>
            </w:pPr>
            <w:r>
              <w:rPr>
                <w:rFonts w:ascii="宋体" w:hAnsi="宋体" w:cs="宋体" w:eastAsia="宋体" w:hint="default"/>
                <w:sz w:val="18"/>
                <w:szCs w:val="18"/>
              </w:rPr>
              <w:t>对整体生产经营和业绩的影响</w:t>
            </w:r>
          </w:p>
        </w:tc>
      </w:tr>
      <w:tr>
        <w:trPr>
          <w:trHeight w:val="714"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PT.Chipstone Technologies</w:t>
            </w:r>
            <w:r>
              <w:rPr>
                <w:rFonts w:ascii="Times New Roman"/>
                <w:spacing w:val="-35"/>
                <w:sz w:val="18"/>
              </w:rPr>
              <w:t> </w:t>
            </w:r>
            <w:r>
              <w:rPr>
                <w:rFonts w:ascii="Times New Roman"/>
                <w:sz w:val="18"/>
              </w:rPr>
              <w:t>Indonesia</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新设</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2" w:right="196"/>
              <w:jc w:val="left"/>
              <w:rPr>
                <w:rFonts w:ascii="宋体" w:hAnsi="宋体" w:cs="宋体" w:eastAsia="宋体" w:hint="default"/>
                <w:sz w:val="18"/>
                <w:szCs w:val="18"/>
              </w:rPr>
            </w:pPr>
            <w:r>
              <w:rPr>
                <w:rFonts w:ascii="宋体" w:hAnsi="宋体" w:cs="宋体" w:eastAsia="宋体" w:hint="default"/>
                <w:sz w:val="18"/>
                <w:szCs w:val="18"/>
              </w:rPr>
              <w:t>对报告期年度生产经营和业绩无重大 影响。</w:t>
            </w:r>
          </w:p>
        </w:tc>
      </w:tr>
      <w:tr>
        <w:trPr>
          <w:trHeight w:val="714"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Modularsoft Sdn.</w:t>
            </w:r>
            <w:r>
              <w:rPr>
                <w:rFonts w:ascii="Times New Roman"/>
                <w:spacing w:val="-2"/>
                <w:sz w:val="18"/>
              </w:rPr>
              <w:t> </w:t>
            </w:r>
            <w:r>
              <w:rPr>
                <w:rFonts w:ascii="Times New Roman"/>
                <w:sz w:val="18"/>
              </w:rPr>
              <w:t>Bhd.</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收购</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0"/>
              <w:ind w:left="102" w:right="196"/>
              <w:jc w:val="left"/>
              <w:rPr>
                <w:rFonts w:ascii="宋体" w:hAnsi="宋体" w:cs="宋体" w:eastAsia="宋体" w:hint="default"/>
                <w:sz w:val="18"/>
                <w:szCs w:val="18"/>
              </w:rPr>
            </w:pPr>
            <w:r>
              <w:rPr>
                <w:rFonts w:ascii="宋体" w:hAnsi="宋体" w:cs="宋体" w:eastAsia="宋体" w:hint="default"/>
                <w:sz w:val="18"/>
                <w:szCs w:val="18"/>
              </w:rPr>
              <w:t>对报告期年度生产经营和业绩无重大 影响。</w:t>
            </w:r>
          </w:p>
        </w:tc>
      </w:tr>
      <w:tr>
        <w:trPr>
          <w:trHeight w:val="714"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Asia Smart Cards Centre(M)</w:t>
            </w:r>
            <w:r>
              <w:rPr>
                <w:rFonts w:ascii="Times New Roman"/>
                <w:spacing w:val="-5"/>
                <w:sz w:val="18"/>
              </w:rPr>
              <w:t> </w:t>
            </w:r>
            <w:r>
              <w:rPr>
                <w:rFonts w:ascii="Times New Roman"/>
                <w:sz w:val="18"/>
              </w:rPr>
              <w:t>Sdn.Bhd.</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收购</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2" w:right="196"/>
              <w:jc w:val="left"/>
              <w:rPr>
                <w:rFonts w:ascii="宋体" w:hAnsi="宋体" w:cs="宋体" w:eastAsia="宋体" w:hint="default"/>
                <w:sz w:val="18"/>
                <w:szCs w:val="18"/>
              </w:rPr>
            </w:pPr>
            <w:r>
              <w:rPr>
                <w:rFonts w:ascii="宋体" w:hAnsi="宋体" w:cs="宋体" w:eastAsia="宋体" w:hint="default"/>
                <w:sz w:val="18"/>
                <w:szCs w:val="18"/>
              </w:rPr>
              <w:t>对报告期年度生产经营和业绩无重大 影响。</w:t>
            </w:r>
          </w:p>
        </w:tc>
      </w:tr>
    </w:tbl>
    <w:p>
      <w:pPr>
        <w:pStyle w:val="BodyText"/>
        <w:spacing w:line="240" w:lineRule="auto" w:before="50"/>
        <w:ind w:right="0"/>
        <w:jc w:val="left"/>
      </w:pPr>
      <w:r>
        <w:rPr/>
        <w:t>主要控股参股公司情况说明</w:t>
      </w:r>
    </w:p>
    <w:p>
      <w:pPr>
        <w:spacing w:line="240" w:lineRule="auto" w:before="1"/>
        <w:rPr>
          <w:rFonts w:ascii="宋体" w:hAnsi="宋体" w:cs="宋体" w:eastAsia="宋体" w:hint="default"/>
          <w:sz w:val="25"/>
          <w:szCs w:val="25"/>
        </w:rPr>
      </w:pPr>
    </w:p>
    <w:p>
      <w:pPr>
        <w:pStyle w:val="Heading2"/>
        <w:spacing w:line="240" w:lineRule="auto"/>
        <w:ind w:right="0"/>
        <w:jc w:val="left"/>
        <w:rPr>
          <w:b w:val="0"/>
          <w:bCs w:val="0"/>
        </w:rPr>
      </w:pPr>
      <w:r>
        <w:rPr/>
        <w:t>八、公司控制的结构化主体情况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
        <w:rPr>
          <w:rFonts w:ascii="宋体" w:hAnsi="宋体" w:cs="宋体" w:eastAsia="宋体" w:hint="default"/>
          <w:sz w:val="25"/>
          <w:szCs w:val="25"/>
        </w:rPr>
      </w:pPr>
    </w:p>
    <w:p>
      <w:pPr>
        <w:pStyle w:val="Heading2"/>
        <w:spacing w:line="240" w:lineRule="auto"/>
        <w:ind w:right="0"/>
        <w:jc w:val="left"/>
        <w:rPr>
          <w:b w:val="0"/>
          <w:bCs w:val="0"/>
        </w:rPr>
      </w:pPr>
      <w:r>
        <w:rPr/>
        <w:t>九、公司未来发展的展望</w:t>
      </w:r>
      <w:r>
        <w:rPr>
          <w:b w:val="0"/>
          <w:bCs w:val="0"/>
        </w:rPr>
      </w:r>
    </w:p>
    <w:p>
      <w:pPr>
        <w:spacing w:line="240" w:lineRule="auto" w:before="7"/>
        <w:rPr>
          <w:rFonts w:ascii="宋体" w:hAnsi="宋体" w:cs="宋体" w:eastAsia="宋体" w:hint="default"/>
          <w:b/>
          <w:bCs/>
          <w:sz w:val="26"/>
          <w:szCs w:val="26"/>
        </w:rPr>
      </w:pPr>
    </w:p>
    <w:p>
      <w:pPr>
        <w:pStyle w:val="Heading4"/>
        <w:spacing w:line="240" w:lineRule="auto"/>
        <w:ind w:right="0"/>
        <w:jc w:val="left"/>
        <w:rPr>
          <w:b w:val="0"/>
          <w:bCs w:val="0"/>
        </w:rPr>
      </w:pPr>
      <w:r>
        <w:rPr/>
        <w:t>1、背景</w:t>
      </w:r>
      <w:r>
        <w:rPr>
          <w:b w:val="0"/>
          <w:bCs w:val="0"/>
        </w:rPr>
      </w:r>
    </w:p>
    <w:p>
      <w:pPr>
        <w:pStyle w:val="BodyText"/>
        <w:spacing w:line="316" w:lineRule="auto" w:before="76"/>
        <w:ind w:right="1032" w:firstLine="360"/>
        <w:jc w:val="left"/>
      </w:pPr>
      <w:r>
        <w:rPr>
          <w:spacing w:val="-4"/>
        </w:rPr>
        <w:t>2020年3月份，工信部发布《工业和信息化部关于推动5G加快发展的通知》，通知从加快网络建设部署、丰富5G技术应用</w:t>
      </w:r>
      <w:r>
        <w:rPr/>
        <w:t> </w:t>
      </w:r>
      <w:r>
        <w:rPr>
          <w:spacing w:val="-2"/>
        </w:rPr>
        <w:t>场景、持续加大5G技术研发力度、着力构建5G安全保障体系、加强组织实施等五大方面来推动5G加快发展。按照工信部的部</w:t>
      </w:r>
      <w:r>
        <w:rPr>
          <w:spacing w:val="-61"/>
        </w:rPr>
        <w:t> </w:t>
      </w:r>
      <w:r>
        <w:rPr>
          <w:spacing w:val="-61"/>
        </w:rPr>
      </w:r>
      <w:r>
        <w:rPr>
          <w:spacing w:val="-3"/>
        </w:rPr>
        <w:t>署，我国将于2020年实现5G商用，新的迁移需求将为移动通信智能安全芯片在通信领域的应用带来新的增长机遇。</w:t>
      </w:r>
      <w:r>
        <w:rPr>
          <w:color w:val="333333"/>
          <w:spacing w:val="-3"/>
        </w:rPr>
        <w:t>GSMA预测，</w:t>
      </w:r>
      <w:r>
        <w:rPr>
          <w:color w:val="333333"/>
          <w:spacing w:val="-84"/>
        </w:rPr>
        <w:t> </w:t>
      </w:r>
      <w:r>
        <w:rPr>
          <w:color w:val="333333"/>
          <w:spacing w:val="-84"/>
        </w:rPr>
      </w:r>
      <w:r>
        <w:rPr>
          <w:color w:val="333333"/>
          <w:spacing w:val="-2"/>
        </w:rPr>
        <w:t>到2025年，中国5G用户的渗透率将增至近50％。预计2020至2025年间，中国运营商基于移动业务的资本支出将达到1800亿美</w:t>
      </w:r>
      <w:r>
        <w:rPr>
          <w:color w:val="333333"/>
          <w:spacing w:val="-45"/>
        </w:rPr>
        <w:t> </w:t>
      </w:r>
      <w:r>
        <w:rPr>
          <w:color w:val="333333"/>
          <w:spacing w:val="-45"/>
        </w:rPr>
      </w:r>
      <w:r>
        <w:rPr>
          <w:color w:val="333333"/>
        </w:rPr>
        <w:t>元，其中大约90%将被用于5G网络建设。</w:t>
      </w:r>
      <w:r>
        <w:rPr/>
      </w:r>
    </w:p>
    <w:p>
      <w:pPr>
        <w:pStyle w:val="BodyText"/>
        <w:spacing w:line="316" w:lineRule="auto" w:before="19"/>
        <w:ind w:right="1128" w:firstLine="360"/>
        <w:jc w:val="both"/>
      </w:pPr>
      <w:r>
        <w:rPr/>
        <w:t>根据中国人民银行统计数据显示，我国银行卡发卡量保持稳步增长，截至2019年末，全国银行卡在用发卡数量84.19亿 </w:t>
      </w:r>
      <w:r>
        <w:rPr>
          <w:spacing w:val="-3"/>
        </w:rPr>
        <w:t>张，同比增长10.82%。其中，借记卡在用发卡数量76.73亿张，同比增长11.02%；信用卡和借贷合一卡在用发卡数量共计7.46</w:t>
      </w:r>
      <w:r>
        <w:rPr>
          <w:spacing w:val="-70"/>
        </w:rPr>
        <w:t> </w:t>
      </w:r>
      <w:r>
        <w:rPr>
          <w:spacing w:val="-70"/>
        </w:rPr>
      </w:r>
      <w:r>
        <w:rPr>
          <w:spacing w:val="-3"/>
        </w:rPr>
        <w:t>亿张，同比增长8.78%。借记卡在用发卡数量占银行卡在用发卡数量的91.14%，较上年末有所上升。全国人均持有银行卡6.03</w:t>
      </w:r>
      <w:r>
        <w:rPr>
          <w:spacing w:val="-78"/>
        </w:rPr>
        <w:t> </w:t>
      </w:r>
      <w:r>
        <w:rPr>
          <w:spacing w:val="-78"/>
        </w:rPr>
      </w:r>
      <w:r>
        <w:rPr>
          <w:spacing w:val="-3"/>
        </w:rPr>
        <w:t>张，同比增长10.40%。其中</w:t>
      </w:r>
      <w:r>
        <w:rPr>
          <w:spacing w:val="-34"/>
        </w:rPr>
        <w:t> </w:t>
      </w:r>
      <w:r>
        <w:rPr/>
        <w:t>，人均持有信用卡和借贷合一卡0.53张，同比增长8.36%。同时受银行自身经营战略以及终端消</w:t>
      </w:r>
      <w:r>
        <w:rPr/>
        <w:t> 费者偏好等因素影响，创新、时尚、高附加值的产品需求不断增长。</w:t>
      </w:r>
    </w:p>
    <w:p>
      <w:pPr>
        <w:spacing w:line="240" w:lineRule="auto" w:before="4"/>
        <w:rPr>
          <w:rFonts w:ascii="宋体" w:hAnsi="宋体" w:cs="宋体" w:eastAsia="宋体" w:hint="default"/>
          <w:sz w:val="25"/>
          <w:szCs w:val="25"/>
        </w:rPr>
      </w:pPr>
    </w:p>
    <w:p>
      <w:pPr>
        <w:pStyle w:val="Heading4"/>
        <w:spacing w:line="240" w:lineRule="auto"/>
        <w:ind w:left="113" w:right="0"/>
        <w:jc w:val="left"/>
        <w:rPr>
          <w:b w:val="0"/>
          <w:bCs w:val="0"/>
        </w:rPr>
      </w:pPr>
      <w:r>
        <w:rPr/>
        <w:t>公司未来将采取如下战略：</w:t>
      </w:r>
      <w:r>
        <w:rPr>
          <w:b w:val="0"/>
          <w:bCs w:val="0"/>
        </w:rPr>
      </w:r>
    </w:p>
    <w:p>
      <w:pPr>
        <w:pStyle w:val="BodyText"/>
        <w:spacing w:line="309" w:lineRule="auto" w:before="76"/>
        <w:ind w:right="1131" w:firstLine="270"/>
        <w:jc w:val="both"/>
      </w:pPr>
      <w:r>
        <w:rPr>
          <w:spacing w:val="-2"/>
        </w:rPr>
        <w:t>（</w:t>
      </w:r>
      <w:r>
        <w:rPr>
          <w:rFonts w:ascii="Times New Roman" w:hAnsi="Times New Roman" w:cs="Times New Roman" w:eastAsia="Times New Roman" w:hint="default"/>
          <w:spacing w:val="-2"/>
        </w:rPr>
        <w:t>1</w:t>
      </w:r>
      <w:r>
        <w:rPr>
          <w:spacing w:val="-2"/>
        </w:rPr>
        <w:t>）公司将整合优势资源，根据政府、金融业等行业要求及政策引导，积极调整发展战略，迅速应对行业新变化，整合</w:t>
      </w:r>
      <w:r>
        <w:rPr/>
        <w:t> </w:t>
      </w:r>
      <w:r>
        <w:rPr>
          <w:spacing w:val="-2"/>
        </w:rPr>
        <w:t>行业资源，结合消费者偏好，加大新材料、新工艺、新设计的投入，同时丰富应用场景、加强数据安全，为客户提供高附加</w:t>
      </w:r>
      <w:r>
        <w:rPr>
          <w:spacing w:val="-66"/>
        </w:rPr>
        <w:t> </w:t>
      </w:r>
      <w:r>
        <w:rPr>
          <w:spacing w:val="-66"/>
        </w:rPr>
      </w:r>
      <w:r>
        <w:rPr/>
        <w:t>值综合解决方案和产品，打造端到端合作新生态。</w:t>
      </w:r>
    </w:p>
    <w:p>
      <w:pPr>
        <w:spacing w:after="0" w:line="309" w:lineRule="auto"/>
        <w:jc w:val="both"/>
        <w:sectPr>
          <w:pgSz w:w="11910" w:h="16840"/>
          <w:pgMar w:header="906" w:footer="1018" w:top="1100" w:bottom="1200" w:left="1020" w:right="0"/>
        </w:sectPr>
      </w:pPr>
    </w:p>
    <w:p>
      <w:pPr>
        <w:spacing w:line="240" w:lineRule="auto" w:before="11"/>
        <w:rPr>
          <w:rFonts w:ascii="宋体" w:hAnsi="宋体" w:cs="宋体" w:eastAsia="宋体" w:hint="default"/>
          <w:sz w:val="22"/>
          <w:szCs w:val="22"/>
        </w:rPr>
      </w:pPr>
    </w:p>
    <w:p>
      <w:pPr>
        <w:pStyle w:val="BodyText"/>
        <w:spacing w:line="309" w:lineRule="auto" w:before="44"/>
        <w:ind w:right="1131" w:firstLine="270"/>
        <w:jc w:val="both"/>
      </w:pPr>
      <w:r>
        <w:rPr/>
        <w:t>（</w:t>
      </w:r>
      <w:r>
        <w:rPr>
          <w:rFonts w:ascii="Times New Roman" w:hAnsi="Times New Roman" w:cs="Times New Roman" w:eastAsia="Times New Roman" w:hint="default"/>
        </w:rPr>
        <w:t>2</w:t>
      </w:r>
      <w:r>
        <w:rPr/>
        <w:t>）面向物联网、</w:t>
      </w:r>
      <w:r>
        <w:rPr>
          <w:rFonts w:ascii="Times New Roman" w:hAnsi="Times New Roman" w:cs="Times New Roman" w:eastAsia="Times New Roman" w:hint="default"/>
        </w:rPr>
        <w:t>5G</w:t>
      </w:r>
      <w:r>
        <w:rPr/>
        <w:t>、区块链、金融科技、数据安全、大数据等新兴领域，公司将继续加大新产品、新技术投入，实 </w:t>
      </w:r>
      <w:r>
        <w:rPr>
          <w:spacing w:val="-2"/>
        </w:rPr>
        <w:t>现进一步的技术突破，并且定期与国内外标准组织技术交流，与产业伙伴分工协作，稳步推进行业持续良性发展，保持行业</w:t>
      </w:r>
      <w:r>
        <w:rPr>
          <w:spacing w:val="-69"/>
        </w:rPr>
        <w:t> </w:t>
      </w:r>
      <w:r>
        <w:rPr>
          <w:spacing w:val="-69"/>
        </w:rPr>
      </w:r>
      <w:r>
        <w:rPr/>
        <w:t>领先。</w:t>
      </w:r>
    </w:p>
    <w:p>
      <w:pPr>
        <w:pStyle w:val="BodyText"/>
        <w:spacing w:line="309" w:lineRule="auto" w:before="24"/>
        <w:ind w:right="1128" w:firstLine="270"/>
        <w:jc w:val="both"/>
      </w:pPr>
      <w:r>
        <w:rPr>
          <w:spacing w:val="-2"/>
        </w:rPr>
        <w:t>（</w:t>
      </w:r>
      <w:r>
        <w:rPr>
          <w:rFonts w:ascii="Times New Roman" w:hAnsi="Times New Roman" w:cs="Times New Roman" w:eastAsia="Times New Roman" w:hint="default"/>
          <w:spacing w:val="-2"/>
        </w:rPr>
        <w:t>3</w:t>
      </w:r>
      <w:r>
        <w:rPr>
          <w:spacing w:val="-2"/>
        </w:rPr>
        <w:t>）公司将抓住物联网发展的战略机遇，结合公司在金融支付，移动通信、信息安全等领域的技术优势，继续深耕特种</w:t>
      </w:r>
      <w:r>
        <w:rPr/>
        <w:t> </w:t>
      </w:r>
      <w:r>
        <w:rPr>
          <w:spacing w:val="-2"/>
        </w:rPr>
        <w:t>通信物联网业务，并积极在公安、消防、国防建设、国家安全等应用领域市场布局，积极培育物联网成为公司中长期新的业</w:t>
      </w:r>
      <w:r>
        <w:rPr>
          <w:spacing w:val="-66"/>
        </w:rPr>
        <w:t> </w:t>
      </w:r>
      <w:r>
        <w:rPr>
          <w:spacing w:val="-66"/>
        </w:rPr>
      </w:r>
      <w:r>
        <w:rPr/>
        <w:t>绩增长点，并促使公司业务收入在终端应用市场构成上更加平衡合理和稳定。</w:t>
      </w:r>
    </w:p>
    <w:p>
      <w:pPr>
        <w:pStyle w:val="BodyText"/>
        <w:spacing w:line="307" w:lineRule="auto" w:before="24"/>
        <w:ind w:right="1129" w:firstLine="270"/>
        <w:jc w:val="both"/>
      </w:pPr>
      <w:r>
        <w:rPr/>
        <w:t>（</w:t>
      </w:r>
      <w:r>
        <w:rPr>
          <w:rFonts w:ascii="Times New Roman" w:hAnsi="Times New Roman" w:cs="Times New Roman" w:eastAsia="Times New Roman" w:hint="default"/>
        </w:rPr>
        <w:t>4</w:t>
      </w:r>
      <w:r>
        <w:rPr/>
        <w:t>）公司将持续并加大在通讯模组、</w:t>
      </w:r>
      <w:r>
        <w:rPr>
          <w:rFonts w:ascii="Times New Roman" w:hAnsi="Times New Roman" w:cs="Times New Roman" w:eastAsia="Times New Roman" w:hint="default"/>
        </w:rPr>
        <w:t>RFID</w:t>
      </w:r>
      <w:r>
        <w:rPr/>
        <w:t>、移动智能终端和身份识别等安全产品领域的开发和创新投入；整合生物识 </w:t>
      </w:r>
      <w:r>
        <w:rPr>
          <w:spacing w:val="-2"/>
        </w:rPr>
        <w:t>别等技术，孵化手持终端、自助服务终端等卡类周边设备，提供多场景数据综合服务解决方案；探索和研究区块链等前沿技</w:t>
      </w:r>
      <w:r>
        <w:rPr>
          <w:spacing w:val="-66"/>
        </w:rPr>
        <w:t> </w:t>
      </w:r>
      <w:r>
        <w:rPr>
          <w:spacing w:val="-66"/>
        </w:rPr>
      </w:r>
      <w:r>
        <w:rPr/>
        <w:t>术，参与数字化社会运营，以丰富公司现有产品线，并进一步平衡产品结构，打造多层次产品结构。并且公司将加强</w:t>
      </w:r>
      <w:r>
        <w:rPr>
          <w:rFonts w:ascii="Times New Roman" w:hAnsi="Times New Roman" w:cs="Times New Roman" w:eastAsia="Times New Roman" w:hint="default"/>
        </w:rPr>
        <w:t>“</w:t>
      </w:r>
      <w:r>
        <w:rPr/>
        <w:t>智能</w:t>
      </w:r>
      <w:r>
        <w:rPr>
          <w:spacing w:val="-85"/>
        </w:rPr>
        <w:t> </w:t>
      </w:r>
      <w:r>
        <w:rPr/>
        <w:t>农业</w:t>
      </w:r>
      <w:r>
        <w:rPr>
          <w:rFonts w:ascii="Times New Roman" w:hAnsi="Times New Roman" w:cs="Times New Roman" w:eastAsia="Times New Roman" w:hint="default"/>
        </w:rPr>
        <w:t>”</w:t>
      </w:r>
      <w:r>
        <w:rPr/>
        <w:t>、</w:t>
      </w:r>
      <w:r>
        <w:rPr>
          <w:rFonts w:ascii="Times New Roman" w:hAnsi="Times New Roman" w:cs="Times New Roman" w:eastAsia="Times New Roman" w:hint="default"/>
        </w:rPr>
        <w:t>“</w:t>
      </w:r>
      <w:r>
        <w:rPr/>
        <w:t>智能仓储物流</w:t>
      </w:r>
      <w:r>
        <w:rPr>
          <w:rFonts w:ascii="Times New Roman" w:hAnsi="Times New Roman" w:cs="Times New Roman" w:eastAsia="Times New Roman" w:hint="default"/>
        </w:rPr>
        <w:t>”</w:t>
      </w:r>
      <w:r>
        <w:rPr/>
        <w:t>、</w:t>
      </w:r>
      <w:r>
        <w:rPr>
          <w:rFonts w:ascii="Times New Roman" w:hAnsi="Times New Roman" w:cs="Times New Roman" w:eastAsia="Times New Roman" w:hint="default"/>
        </w:rPr>
        <w:t>“</w:t>
      </w:r>
      <w:r>
        <w:rPr/>
        <w:t>智慧医疗</w:t>
      </w:r>
      <w:r>
        <w:rPr>
          <w:rFonts w:ascii="Times New Roman" w:hAnsi="Times New Roman" w:cs="Times New Roman" w:eastAsia="Times New Roman" w:hint="default"/>
        </w:rPr>
        <w:t>”</w:t>
      </w:r>
      <w:r>
        <w:rPr/>
        <w:t>等行业应用领域的研究与技术储备，积极寻找机会点，实现市场突破。</w:t>
      </w:r>
    </w:p>
    <w:p>
      <w:pPr>
        <w:pStyle w:val="BodyText"/>
        <w:spacing w:line="309" w:lineRule="auto" w:before="7"/>
        <w:ind w:right="1128" w:firstLine="270"/>
        <w:jc w:val="both"/>
      </w:pPr>
      <w:r>
        <w:rPr>
          <w:spacing w:val="-2"/>
        </w:rPr>
        <w:t>（</w:t>
      </w:r>
      <w:r>
        <w:rPr>
          <w:rFonts w:ascii="Times New Roman" w:hAnsi="Times New Roman" w:cs="Times New Roman" w:eastAsia="Times New Roman" w:hint="default"/>
          <w:spacing w:val="-2"/>
        </w:rPr>
        <w:t>5</w:t>
      </w:r>
      <w:r>
        <w:rPr>
          <w:spacing w:val="-2"/>
        </w:rPr>
        <w:t>）公司将积极响应国家</w:t>
      </w:r>
      <w:r>
        <w:rPr>
          <w:rFonts w:ascii="Times New Roman" w:hAnsi="Times New Roman" w:cs="Times New Roman" w:eastAsia="Times New Roman" w:hint="default"/>
          <w:spacing w:val="-2"/>
        </w:rPr>
        <w:t>“</w:t>
      </w:r>
      <w:r>
        <w:rPr>
          <w:spacing w:val="-2"/>
        </w:rPr>
        <w:t>一带一路</w:t>
      </w:r>
      <w:r>
        <w:rPr>
          <w:rFonts w:ascii="Times New Roman" w:hAnsi="Times New Roman" w:cs="Times New Roman" w:eastAsia="Times New Roman" w:hint="default"/>
          <w:spacing w:val="-2"/>
        </w:rPr>
        <w:t>”</w:t>
      </w:r>
      <w:r>
        <w:rPr>
          <w:spacing w:val="-2"/>
        </w:rPr>
        <w:t>的大战略，继续加大海外市场的开拓力度，努力推进海外市场成为公司整体市场的</w:t>
      </w:r>
      <w:r>
        <w:rPr/>
        <w:t> </w:t>
      </w:r>
      <w:r>
        <w:rPr>
          <w:spacing w:val="-2"/>
        </w:rPr>
        <w:t>重要组成部分，努力实现公司全球化的战略布局。公司目前正在积极加大在东南亚、西亚和中东西非等地区的部署，进一步</w:t>
      </w:r>
      <w:r>
        <w:rPr>
          <w:spacing w:val="-68"/>
        </w:rPr>
        <w:t> </w:t>
      </w:r>
      <w:r>
        <w:rPr>
          <w:spacing w:val="-68"/>
        </w:rPr>
      </w:r>
      <w:r>
        <w:rPr/>
        <w:t>提高海外地区的市场份额，使得公司的区域业务收入结构更加平衡、合理和稳定。</w:t>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3"/>
          <w:szCs w:val="13"/>
        </w:rPr>
      </w:pPr>
    </w:p>
    <w:p>
      <w:pPr>
        <w:pStyle w:val="Heading4"/>
        <w:spacing w:line="240" w:lineRule="auto"/>
        <w:ind w:right="0"/>
        <w:jc w:val="left"/>
        <w:rPr>
          <w:b w:val="0"/>
          <w:bCs w:val="0"/>
        </w:rPr>
      </w:pPr>
      <w:r>
        <w:rPr/>
        <w:t>2、公司可能可能面临的风险及对策</w:t>
      </w:r>
      <w:r>
        <w:rPr>
          <w:b w:val="0"/>
          <w:bCs w:val="0"/>
        </w:rPr>
      </w:r>
    </w:p>
    <w:p>
      <w:pPr>
        <w:pStyle w:val="BodyText"/>
        <w:spacing w:line="300" w:lineRule="auto" w:before="76"/>
        <w:ind w:left="533" w:right="0" w:hanging="60"/>
        <w:jc w:val="left"/>
      </w:pPr>
      <w:r>
        <w:rPr/>
        <w:t>（</w:t>
      </w:r>
      <w:r>
        <w:rPr>
          <w:rFonts w:ascii="Times New Roman" w:hAnsi="Times New Roman" w:cs="Times New Roman" w:eastAsia="Times New Roman" w:hint="default"/>
        </w:rPr>
        <w:t>1</w:t>
      </w:r>
      <w:r>
        <w:rPr/>
        <w:t>）新产品、新业务市场拓展带来的经营风险 公司正在积极调整产品结构和业务模式，产业战略布局已取得初步成果。从单纯硬件产品向系统平台服务、数字化解</w:t>
      </w:r>
    </w:p>
    <w:p>
      <w:pPr>
        <w:pStyle w:val="BodyText"/>
        <w:spacing w:line="316" w:lineRule="auto" w:before="31"/>
        <w:ind w:right="0"/>
        <w:jc w:val="left"/>
      </w:pPr>
      <w:r>
        <w:rPr>
          <w:spacing w:val="-2"/>
        </w:rPr>
        <w:t>决方案与服务运营模式转型。由于产品结构和业务模式变革，产品初期竞争力，可能仍受限于公司在初期业务支撑能力、市</w:t>
      </w:r>
      <w:r>
        <w:rPr>
          <w:spacing w:val="-67"/>
        </w:rPr>
        <w:t> </w:t>
      </w:r>
      <w:r>
        <w:rPr>
          <w:spacing w:val="-67"/>
        </w:rPr>
      </w:r>
      <w:r>
        <w:rPr/>
        <w:t>场拓展能力、落地商业模式等因素不够完善，在打开新市场会存在一定客观难度。</w:t>
      </w:r>
    </w:p>
    <w:p>
      <w:pPr>
        <w:pStyle w:val="BodyText"/>
        <w:spacing w:line="316" w:lineRule="auto" w:before="19"/>
        <w:ind w:left="533" w:right="1032"/>
        <w:jc w:val="left"/>
      </w:pPr>
      <w:r>
        <w:rPr/>
        <w:t>对策： 根据市场发展动态及时调整市场策略和行动计划，抓住重点机会实施突破，抢占市场窗口期，形成典型示范的效果。 </w:t>
      </w:r>
      <w:r>
        <w:rPr>
          <w:spacing w:val="-2"/>
        </w:rPr>
        <w:t>持续加强人才队伍建设，构筑人才高地，持续提升企业竞争力，加快新业务破冰能力和新产品上线速度，降低新业务、</w:t>
      </w:r>
    </w:p>
    <w:p>
      <w:pPr>
        <w:pStyle w:val="BodyText"/>
        <w:spacing w:line="316" w:lineRule="auto" w:before="19"/>
        <w:ind w:left="533" w:right="0" w:hanging="420"/>
        <w:jc w:val="left"/>
      </w:pPr>
      <w:r>
        <w:rPr/>
        <w:t>新市场拓展带来的风险；同时公司将完善薪酬管理体系建设，保障人才战略有效实施。 保持与产业链战略合作方紧密合作，采取资源共享和优势互补的方法，充分利用业务模式转型与战略布局的机会，发</w:t>
      </w:r>
    </w:p>
    <w:p>
      <w:pPr>
        <w:pStyle w:val="BodyText"/>
        <w:spacing w:line="319" w:lineRule="auto" w:before="18"/>
        <w:ind w:right="1032"/>
        <w:jc w:val="left"/>
      </w:pPr>
      <w:r>
        <w:rPr>
          <w:spacing w:val="-2"/>
        </w:rPr>
        <w:t>展多种关联新业务，提升竞争力和话语权，并通过整体业务来降低某个单一新业务的市场风险，为公司持续稳定的发展奠定</w:t>
      </w:r>
      <w:r>
        <w:rPr>
          <w:spacing w:val="-64"/>
        </w:rPr>
        <w:t> </w:t>
      </w:r>
      <w:r>
        <w:rPr>
          <w:spacing w:val="-64"/>
        </w:rPr>
      </w:r>
      <w:r>
        <w:rPr/>
        <w:t>基础。</w:t>
      </w:r>
    </w:p>
    <w:p>
      <w:pPr>
        <w:pStyle w:val="BodyText"/>
        <w:spacing w:line="300" w:lineRule="auto" w:before="17"/>
        <w:ind w:left="533" w:right="0"/>
        <w:jc w:val="left"/>
      </w:pPr>
      <w:r>
        <w:rPr/>
        <w:t>（</w:t>
      </w:r>
      <w:r>
        <w:rPr>
          <w:rFonts w:ascii="Times New Roman" w:hAnsi="Times New Roman" w:cs="Times New Roman" w:eastAsia="Times New Roman" w:hint="default"/>
        </w:rPr>
        <w:t>2</w:t>
      </w:r>
      <w:r>
        <w:rPr/>
        <w:t>）市场竞争加剧对公司主营业务和利润带来的风险 目前，公司主营业务的竞争能力主要体现在企业资金实力、设计开发能力、产品品质水平、产品成本控制能力，整体</w:t>
      </w:r>
    </w:p>
    <w:p>
      <w:pPr>
        <w:pStyle w:val="BodyText"/>
        <w:spacing w:line="316" w:lineRule="auto" w:before="31"/>
        <w:ind w:right="1032"/>
        <w:jc w:val="left"/>
      </w:pPr>
      <w:r>
        <w:rPr/>
        <w:t>解决方案能力和售后服务能力等环节。尤其最近几年，产业链内企业相互渗透，行业内投资并购和合作发展情况越来越多， 加剧了行业市场竞争的程度，产品价格成为后进企业最直接的竞争手段，有时会导致市场恶性竞争。</w:t>
      </w:r>
    </w:p>
    <w:p>
      <w:pPr>
        <w:pStyle w:val="BodyText"/>
        <w:spacing w:line="319" w:lineRule="auto" w:before="18"/>
        <w:ind w:left="533" w:right="1032"/>
        <w:jc w:val="left"/>
      </w:pPr>
      <w:r>
        <w:rPr/>
        <w:t>对策： 通过技术创新手段，供应链优化，提高生产效率，降低产品成本，保持产品价格竞争力。通过差异化产品和解决方案</w:t>
      </w:r>
    </w:p>
    <w:p>
      <w:pPr>
        <w:pStyle w:val="BodyText"/>
        <w:spacing w:line="316" w:lineRule="auto" w:before="17"/>
        <w:ind w:right="1032"/>
        <w:jc w:val="left"/>
      </w:pPr>
      <w:r>
        <w:rPr/>
        <w:t>规避同质化竞争风险，丰富和扩大产品家族，利用上市公司平台积极、灵活地开展行业资源整合。提高公司队伍</w:t>
      </w:r>
      <w:r>
        <w:rPr>
          <w:color w:val="6D6D6D"/>
        </w:rPr>
      </w:r>
      <w:r>
        <w:rPr>
          <w:color w:val="6D6D6D"/>
          <w:u w:val="single" w:color="6D6D6D"/>
        </w:rPr>
        <w:t>管理</w:t>
      </w:r>
      <w:r>
        <w:rPr>
          <w:color w:val="6D6D6D"/>
        </w:rPr>
      </w:r>
      <w:r>
        <w:rPr/>
        <w:t>水平，</w:t>
      </w:r>
      <w:r>
        <w:rPr/>
        <w:t> 全面提升公司核心竞争力。</w:t>
      </w:r>
    </w:p>
    <w:p>
      <w:pPr>
        <w:pStyle w:val="BodyText"/>
        <w:spacing w:line="240" w:lineRule="auto" w:before="59"/>
        <w:ind w:left="473" w:right="0"/>
        <w:jc w:val="left"/>
      </w:pPr>
      <w:r>
        <w:rPr/>
        <w:t>利用公司市场营销能力优势，确保公司关键盈利产品在主流市场领先地位，保证整体盈利水平领先地位。</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3"/>
        <w:rPr>
          <w:rFonts w:ascii="宋体" w:hAnsi="宋体" w:cs="宋体" w:eastAsia="宋体" w:hint="default"/>
          <w:sz w:val="15"/>
          <w:szCs w:val="15"/>
        </w:rPr>
      </w:pPr>
    </w:p>
    <w:p>
      <w:pPr>
        <w:pStyle w:val="Heading2"/>
        <w:spacing w:line="240" w:lineRule="auto"/>
        <w:ind w:right="0"/>
        <w:jc w:val="left"/>
        <w:rPr>
          <w:b w:val="0"/>
          <w:bCs w:val="0"/>
        </w:rPr>
      </w:pPr>
      <w:r>
        <w:rPr/>
        <w:t>十、接待调研、沟通、采访等活动</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r>
        <w:rPr>
          <w:rFonts w:ascii="Times New Roman" w:hAnsi="Times New Roman" w:cs="Times New Roman" w:eastAsia="Times New Roman" w:hint="default"/>
        </w:rPr>
        <w:t>1</w:t>
      </w:r>
      <w:r>
        <w:rPr/>
        <w:t>、报告期内接待调研、沟通、采访等活动登记表</w:t>
      </w:r>
      <w:r>
        <w:rPr>
          <w:b w:val="0"/>
          <w:bCs w:val="0"/>
        </w:rPr>
      </w:r>
    </w:p>
    <w:p>
      <w:pPr>
        <w:spacing w:line="240" w:lineRule="auto" w:before="7"/>
        <w:rPr>
          <w:rFonts w:ascii="宋体" w:hAnsi="宋体" w:cs="宋体" w:eastAsia="宋体" w:hint="default"/>
          <w:b/>
          <w:bCs/>
          <w:sz w:val="26"/>
          <w:szCs w:val="26"/>
        </w:rPr>
      </w:pPr>
    </w:p>
    <w:p>
      <w:pPr>
        <w:pStyle w:val="BodyText"/>
        <w:spacing w:line="357" w:lineRule="auto"/>
        <w:ind w:right="6612"/>
        <w:jc w:val="left"/>
      </w:pPr>
      <w:r>
        <w:rPr/>
        <w:t>□ 适用 √ 不适用 公司报告期内未发生接待调研、沟通、采访等活动。</w:t>
      </w:r>
    </w:p>
    <w:p>
      <w:pPr>
        <w:spacing w:after="0" w:line="357" w:lineRule="auto"/>
        <w:jc w:val="left"/>
        <w:sectPr>
          <w:pgSz w:w="11910" w:h="16840"/>
          <w:pgMar w:header="906" w:footer="1018" w:top="1100" w:bottom="1200" w:left="10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7"/>
          <w:szCs w:val="17"/>
        </w:rPr>
      </w:pPr>
    </w:p>
    <w:p>
      <w:pPr>
        <w:pStyle w:val="Heading1"/>
        <w:spacing w:line="240" w:lineRule="auto"/>
        <w:ind w:right="1018"/>
        <w:jc w:val="center"/>
        <w:rPr>
          <w:b w:val="0"/>
          <w:bCs w:val="0"/>
        </w:rPr>
      </w:pPr>
      <w:bookmarkStart w:name="_TOC_250008" w:id="5"/>
      <w:r>
        <w:rPr/>
        <w:t>第五节重要事项</w:t>
      </w:r>
      <w:bookmarkEnd w:id="5"/>
      <w:r>
        <w:rPr>
          <w:b w:val="0"/>
          <w:bCs w:val="0"/>
        </w:rPr>
      </w:r>
    </w:p>
    <w:p>
      <w:pPr>
        <w:spacing w:line="240" w:lineRule="auto" w:before="10"/>
        <w:rPr>
          <w:rFonts w:ascii="宋体" w:hAnsi="宋体" w:cs="宋体" w:eastAsia="宋体" w:hint="default"/>
          <w:b/>
          <w:bCs/>
          <w:sz w:val="38"/>
          <w:szCs w:val="38"/>
        </w:rPr>
      </w:pPr>
    </w:p>
    <w:p>
      <w:pPr>
        <w:pStyle w:val="Heading2"/>
        <w:spacing w:line="240" w:lineRule="auto"/>
        <w:ind w:right="0"/>
        <w:jc w:val="left"/>
        <w:rPr>
          <w:b w:val="0"/>
          <w:bCs w:val="0"/>
        </w:rPr>
      </w:pPr>
      <w:r>
        <w:rPr/>
        <w:t>一、公司普通股利润分配及资本公积金转增股本情况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报告期内普通股利润分配政策，特别是现金分红政策的制定、执行或调整情况</w:t>
      </w:r>
    </w:p>
    <w:p>
      <w:pPr>
        <w:pStyle w:val="BodyText"/>
        <w:spacing w:line="357" w:lineRule="auto" w:before="116"/>
        <w:ind w:right="4812"/>
        <w:jc w:val="left"/>
      </w:pPr>
      <w:r>
        <w:rPr/>
        <w:t>√ 适用 □ 不适用 报告期内，公司严格按照中国证监会及公司章程的规定执行利润分配政策。</w:t>
      </w:r>
    </w:p>
    <w:tbl>
      <w:tblPr>
        <w:tblW w:w="0" w:type="auto"/>
        <w:jc w:val="left"/>
        <w:tblInd w:w="109" w:type="dxa"/>
        <w:tblLayout w:type="fixed"/>
        <w:tblCellMar>
          <w:top w:w="0" w:type="dxa"/>
          <w:left w:w="0" w:type="dxa"/>
          <w:bottom w:w="0" w:type="dxa"/>
          <w:right w:w="0" w:type="dxa"/>
        </w:tblCellMar>
        <w:tblLook w:val="01E0"/>
      </w:tblPr>
      <w:tblGrid>
        <w:gridCol w:w="4784"/>
        <w:gridCol w:w="4784"/>
      </w:tblGrid>
      <w:tr>
        <w:trPr>
          <w:trHeight w:val="401" w:hRule="exact"/>
        </w:trPr>
        <w:tc>
          <w:tcPr>
            <w:tcW w:w="9568"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29"/>
              <w:ind w:right="0"/>
              <w:jc w:val="center"/>
              <w:rPr>
                <w:rFonts w:ascii="宋体" w:hAnsi="宋体" w:cs="宋体" w:eastAsia="宋体" w:hint="default"/>
                <w:sz w:val="18"/>
                <w:szCs w:val="18"/>
              </w:rPr>
            </w:pPr>
            <w:r>
              <w:rPr>
                <w:rFonts w:ascii="宋体" w:hAnsi="宋体" w:cs="宋体" w:eastAsia="宋体" w:hint="default"/>
                <w:sz w:val="18"/>
                <w:szCs w:val="18"/>
              </w:rPr>
              <w:t>现金分红政策的专项说明</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29"/>
              <w:ind w:left="102" w:right="0"/>
              <w:jc w:val="left"/>
              <w:rPr>
                <w:rFonts w:ascii="宋体" w:hAnsi="宋体" w:cs="宋体" w:eastAsia="宋体" w:hint="default"/>
                <w:sz w:val="18"/>
                <w:szCs w:val="18"/>
              </w:rPr>
            </w:pPr>
            <w:r>
              <w:rPr>
                <w:rFonts w:ascii="宋体" w:hAnsi="宋体" w:cs="宋体" w:eastAsia="宋体" w:hint="default"/>
                <w:sz w:val="18"/>
                <w:szCs w:val="18"/>
              </w:rPr>
              <w:t>是否符合公司章程的规定或股东大会决议的要求：</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29"/>
              <w:ind w:left="102" w:right="0"/>
              <w:jc w:val="left"/>
              <w:rPr>
                <w:rFonts w:ascii="宋体" w:hAnsi="宋体" w:cs="宋体" w:eastAsia="宋体" w:hint="default"/>
                <w:sz w:val="18"/>
                <w:szCs w:val="18"/>
              </w:rPr>
            </w:pPr>
            <w:r>
              <w:rPr>
                <w:rFonts w:ascii="宋体" w:hAnsi="宋体" w:cs="宋体" w:eastAsia="宋体" w:hint="default"/>
                <w:sz w:val="18"/>
                <w:szCs w:val="18"/>
              </w:rPr>
              <w:t>分红标准和比例是否明确和清晰：</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29"/>
              <w:ind w:left="102" w:right="0"/>
              <w:jc w:val="left"/>
              <w:rPr>
                <w:rFonts w:ascii="宋体" w:hAnsi="宋体" w:cs="宋体" w:eastAsia="宋体" w:hint="default"/>
                <w:sz w:val="18"/>
                <w:szCs w:val="18"/>
              </w:rPr>
            </w:pPr>
            <w:r>
              <w:rPr>
                <w:rFonts w:ascii="宋体" w:hAnsi="宋体" w:cs="宋体" w:eastAsia="宋体" w:hint="default"/>
                <w:sz w:val="18"/>
                <w:szCs w:val="18"/>
              </w:rPr>
              <w:t>相关的决策程序和机制是否完备：</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29"/>
              <w:ind w:left="102" w:right="0"/>
              <w:jc w:val="left"/>
              <w:rPr>
                <w:rFonts w:ascii="宋体" w:hAnsi="宋体" w:cs="宋体" w:eastAsia="宋体" w:hint="default"/>
                <w:sz w:val="18"/>
                <w:szCs w:val="18"/>
              </w:rPr>
            </w:pPr>
            <w:r>
              <w:rPr>
                <w:rFonts w:ascii="宋体" w:hAnsi="宋体" w:cs="宋体" w:eastAsia="宋体" w:hint="default"/>
                <w:sz w:val="18"/>
                <w:szCs w:val="18"/>
              </w:rPr>
              <w:t>独立董事是否履职尽责并发挥了应有的作用：</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29"/>
              <w:ind w:left="102" w:right="170"/>
              <w:jc w:val="left"/>
              <w:rPr>
                <w:rFonts w:ascii="宋体" w:hAnsi="宋体" w:cs="宋体" w:eastAsia="宋体" w:hint="default"/>
                <w:sz w:val="18"/>
                <w:szCs w:val="18"/>
              </w:rPr>
            </w:pPr>
            <w:r>
              <w:rPr>
                <w:rFonts w:ascii="宋体" w:hAnsi="宋体" w:cs="宋体" w:eastAsia="宋体" w:hint="default"/>
                <w:sz w:val="18"/>
                <w:szCs w:val="18"/>
              </w:rPr>
              <w:t>中小股东是否有充分表达意见和诉求的机会，其合法权益 是否得到了充分保护：</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29"/>
              <w:ind w:left="102" w:right="170"/>
              <w:jc w:val="left"/>
              <w:rPr>
                <w:rFonts w:ascii="宋体" w:hAnsi="宋体" w:cs="宋体" w:eastAsia="宋体" w:hint="default"/>
                <w:sz w:val="18"/>
                <w:szCs w:val="18"/>
              </w:rPr>
            </w:pPr>
            <w:r>
              <w:rPr>
                <w:rFonts w:ascii="宋体" w:hAnsi="宋体" w:cs="宋体" w:eastAsia="宋体" w:hint="default"/>
                <w:sz w:val="18"/>
                <w:szCs w:val="18"/>
              </w:rPr>
              <w:t>现金分红政策进行调整或变更的，条件及程序是否合规、 透明：</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bl>
    <w:p>
      <w:pPr>
        <w:spacing w:after="0" w:line="240" w:lineRule="auto"/>
        <w:jc w:val="left"/>
        <w:rPr>
          <w:rFonts w:ascii="宋体" w:hAnsi="宋体" w:cs="宋体" w:eastAsia="宋体" w:hint="default"/>
          <w:sz w:val="18"/>
          <w:szCs w:val="18"/>
        </w:rPr>
        <w:sectPr>
          <w:pgSz w:w="11910" w:h="16840"/>
          <w:pgMar w:header="906" w:footer="1018" w:top="1100" w:bottom="1200" w:left="1020" w:right="0"/>
        </w:sectPr>
      </w:pPr>
    </w:p>
    <w:p>
      <w:pPr>
        <w:pStyle w:val="BodyText"/>
        <w:spacing w:line="338" w:lineRule="auto" w:before="29"/>
        <w:ind w:right="-18"/>
        <w:jc w:val="left"/>
      </w:pPr>
      <w:r>
        <w:rPr/>
        <w:t>公司近 </w:t>
      </w:r>
      <w:r>
        <w:rPr>
          <w:rFonts w:ascii="Times New Roman" w:hAnsi="Times New Roman" w:cs="Times New Roman" w:eastAsia="Times New Roman" w:hint="default"/>
        </w:rPr>
        <w:t>3</w:t>
      </w:r>
      <w:r>
        <w:rPr>
          <w:rFonts w:ascii="Times New Roman" w:hAnsi="Times New Roman" w:cs="Times New Roman" w:eastAsia="Times New Roman" w:hint="default"/>
          <w:spacing w:val="-15"/>
        </w:rPr>
        <w:t> </w:t>
      </w:r>
      <w:r>
        <w:rPr>
          <w:spacing w:val="-3"/>
        </w:rPr>
        <w:t>年（包括本报告期）的普通股股利分配方案（预案）、资本公积金转增股本方案（预案）情况</w:t>
      </w:r>
      <w:r>
        <w:rPr/>
        <w:t> 2019年度权益分配方案：不进行现金分红和资本公积转增股本。</w:t>
      </w:r>
    </w:p>
    <w:p>
      <w:pPr>
        <w:pStyle w:val="BodyText"/>
        <w:spacing w:line="240" w:lineRule="auto" w:before="2"/>
        <w:ind w:right="-18"/>
        <w:jc w:val="left"/>
      </w:pPr>
      <w:r>
        <w:rPr/>
        <w:t>2018年度权益分配方案：不进行现金分红和资本公积转增股本。</w:t>
      </w:r>
    </w:p>
    <w:p>
      <w:pPr>
        <w:pStyle w:val="BodyText"/>
        <w:spacing w:line="360" w:lineRule="auto" w:before="76"/>
        <w:ind w:right="2949"/>
        <w:jc w:val="left"/>
      </w:pPr>
      <w:r>
        <w:rPr/>
        <w:t>2017年度权益分配方案：不进行现金分红和资本公积转增股本。 公司近三年（包括本报告期）普通股现金分红情况表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22"/>
          <w:szCs w:val="22"/>
        </w:rPr>
      </w:pPr>
    </w:p>
    <w:p>
      <w:pPr>
        <w:pStyle w:val="BodyText"/>
        <w:spacing w:line="240" w:lineRule="auto"/>
        <w:ind w:right="0"/>
        <w:jc w:val="left"/>
      </w:pPr>
      <w:r>
        <w:rPr/>
        <w:t>单位：元</w:t>
      </w:r>
    </w:p>
    <w:p>
      <w:pPr>
        <w:spacing w:after="0" w:line="240" w:lineRule="auto"/>
        <w:jc w:val="left"/>
        <w:sectPr>
          <w:type w:val="continuous"/>
          <w:pgSz w:w="11910" w:h="16840"/>
          <w:pgMar w:top="1100" w:bottom="1200" w:left="1020" w:right="0"/>
          <w:cols w:num="2" w:equalWidth="0">
            <w:col w:w="8123" w:space="795"/>
            <w:col w:w="1972"/>
          </w:cols>
        </w:sectPr>
      </w:pP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197"/>
        <w:gridCol w:w="1195"/>
        <w:gridCol w:w="1196"/>
        <w:gridCol w:w="1196"/>
        <w:gridCol w:w="1196"/>
        <w:gridCol w:w="1196"/>
        <w:gridCol w:w="1196"/>
        <w:gridCol w:w="1196"/>
      </w:tblGrid>
      <w:tr>
        <w:trPr>
          <w:trHeight w:val="2585" w:hRule="exact"/>
        </w:trPr>
        <w:tc>
          <w:tcPr>
            <w:tcW w:w="119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232" w:right="0"/>
              <w:jc w:val="left"/>
              <w:rPr>
                <w:rFonts w:ascii="宋体" w:hAnsi="宋体" w:cs="宋体" w:eastAsia="宋体" w:hint="default"/>
                <w:sz w:val="18"/>
                <w:szCs w:val="18"/>
              </w:rPr>
            </w:pPr>
            <w:r>
              <w:rPr>
                <w:rFonts w:ascii="宋体" w:hAnsi="宋体" w:cs="宋体" w:eastAsia="宋体" w:hint="default"/>
                <w:sz w:val="18"/>
                <w:szCs w:val="18"/>
              </w:rPr>
              <w:t>分红年度</w:t>
            </w:r>
          </w:p>
        </w:tc>
        <w:tc>
          <w:tcPr>
            <w:tcW w:w="11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316" w:lineRule="auto"/>
              <w:ind w:left="141" w:right="141"/>
              <w:jc w:val="left"/>
              <w:rPr>
                <w:rFonts w:ascii="宋体" w:hAnsi="宋体" w:cs="宋体" w:eastAsia="宋体" w:hint="default"/>
                <w:sz w:val="18"/>
                <w:szCs w:val="18"/>
              </w:rPr>
            </w:pPr>
            <w:r>
              <w:rPr>
                <w:rFonts w:ascii="宋体" w:hAnsi="宋体" w:cs="宋体" w:eastAsia="宋体" w:hint="default"/>
                <w:sz w:val="18"/>
                <w:szCs w:val="18"/>
              </w:rPr>
              <w:t>现金分红金 额（含税）</w:t>
            </w:r>
          </w:p>
        </w:tc>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143" w:right="141"/>
              <w:jc w:val="both"/>
              <w:rPr>
                <w:rFonts w:ascii="宋体" w:hAnsi="宋体" w:cs="宋体" w:eastAsia="宋体" w:hint="default"/>
                <w:sz w:val="18"/>
                <w:szCs w:val="18"/>
              </w:rPr>
            </w:pPr>
            <w:r>
              <w:rPr>
                <w:rFonts w:ascii="宋体" w:hAnsi="宋体" w:cs="宋体" w:eastAsia="宋体" w:hint="default"/>
                <w:sz w:val="18"/>
                <w:szCs w:val="18"/>
              </w:rPr>
              <w:t>分红年度合 并报表中归 属于上市公 司普通股股 东的净利润</w:t>
            </w:r>
          </w:p>
        </w:tc>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42" w:right="141"/>
              <w:jc w:val="center"/>
              <w:rPr>
                <w:rFonts w:ascii="宋体" w:hAnsi="宋体" w:cs="宋体" w:eastAsia="宋体" w:hint="default"/>
                <w:sz w:val="18"/>
                <w:szCs w:val="18"/>
              </w:rPr>
            </w:pPr>
            <w:r>
              <w:rPr>
                <w:rFonts w:ascii="宋体" w:hAnsi="宋体" w:cs="宋体" w:eastAsia="宋体" w:hint="default"/>
                <w:sz w:val="18"/>
                <w:szCs w:val="18"/>
              </w:rPr>
              <w:t>现金分红金 额占合并报 表中归属于 上市公司普 通股股东的 净利润的比 率</w:t>
            </w:r>
          </w:p>
        </w:tc>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42" w:right="0"/>
              <w:jc w:val="both"/>
              <w:rPr>
                <w:rFonts w:ascii="宋体" w:hAnsi="宋体" w:cs="宋体" w:eastAsia="宋体" w:hint="default"/>
                <w:sz w:val="18"/>
                <w:szCs w:val="18"/>
              </w:rPr>
            </w:pPr>
            <w:r>
              <w:rPr>
                <w:rFonts w:ascii="宋体" w:hAnsi="宋体" w:cs="宋体" w:eastAsia="宋体" w:hint="default"/>
                <w:sz w:val="18"/>
                <w:szCs w:val="18"/>
              </w:rPr>
              <w:t>以其他方式</w:t>
            </w:r>
          </w:p>
          <w:p>
            <w:pPr>
              <w:pStyle w:val="TableParagraph"/>
              <w:spacing w:line="316" w:lineRule="auto" w:before="76"/>
              <w:ind w:left="142" w:right="141"/>
              <w:jc w:val="both"/>
              <w:rPr>
                <w:rFonts w:ascii="宋体" w:hAnsi="宋体" w:cs="宋体" w:eastAsia="宋体" w:hint="default"/>
                <w:sz w:val="18"/>
                <w:szCs w:val="18"/>
              </w:rPr>
            </w:pPr>
            <w:r>
              <w:rPr>
                <w:rFonts w:ascii="宋体" w:hAnsi="宋体" w:cs="宋体" w:eastAsia="宋体" w:hint="default"/>
                <w:sz w:val="18"/>
                <w:szCs w:val="18"/>
              </w:rPr>
              <w:t>（如回购股 份）现金分 红的金额</w:t>
            </w:r>
          </w:p>
        </w:tc>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43" w:right="141"/>
              <w:jc w:val="center"/>
              <w:rPr>
                <w:rFonts w:ascii="宋体" w:hAnsi="宋体" w:cs="宋体" w:eastAsia="宋体" w:hint="default"/>
                <w:sz w:val="18"/>
                <w:szCs w:val="18"/>
              </w:rPr>
            </w:pPr>
            <w:r>
              <w:rPr>
                <w:rFonts w:ascii="宋体" w:hAnsi="宋体" w:cs="宋体" w:eastAsia="宋体" w:hint="default"/>
                <w:sz w:val="18"/>
                <w:szCs w:val="18"/>
              </w:rPr>
              <w:t>以其他方式 现金分红金 额占合并报 表中归属于 上市公司普 通股股东的 净利润的比 例</w:t>
            </w:r>
          </w:p>
        </w:tc>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2"/>
              <w:ind w:left="142" w:right="141"/>
              <w:jc w:val="center"/>
              <w:rPr>
                <w:rFonts w:ascii="宋体" w:hAnsi="宋体" w:cs="宋体" w:eastAsia="宋体" w:hint="default"/>
                <w:sz w:val="18"/>
                <w:szCs w:val="18"/>
              </w:rPr>
            </w:pPr>
            <w:r>
              <w:rPr>
                <w:rFonts w:ascii="宋体" w:hAnsi="宋体" w:cs="宋体" w:eastAsia="宋体" w:hint="default"/>
                <w:sz w:val="18"/>
                <w:szCs w:val="18"/>
              </w:rPr>
              <w:t>现金分红总 额（含其他 方式）</w:t>
            </w:r>
          </w:p>
        </w:tc>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42" w:right="141"/>
              <w:jc w:val="center"/>
              <w:rPr>
                <w:rFonts w:ascii="宋体" w:hAnsi="宋体" w:cs="宋体" w:eastAsia="宋体" w:hint="default"/>
                <w:sz w:val="18"/>
                <w:szCs w:val="18"/>
              </w:rPr>
            </w:pPr>
            <w:r>
              <w:rPr>
                <w:rFonts w:ascii="宋体" w:hAnsi="宋体" w:cs="宋体" w:eastAsia="宋体" w:hint="default"/>
                <w:sz w:val="18"/>
                <w:szCs w:val="18"/>
              </w:rPr>
              <w:t>现金分红总 额（含其他 方式）占合 并报表中归 属于上市公 司普通股股 东的净利润 的比率</w:t>
            </w:r>
          </w:p>
        </w:tc>
      </w:tr>
      <w:tr>
        <w:trPr>
          <w:trHeight w:val="715" w:hRule="exact"/>
        </w:trPr>
        <w:tc>
          <w:tcPr>
            <w:tcW w:w="119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86,769,193.4</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53,009,074.0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3</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61.09%</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53,009,074.0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3</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61.09%</w:t>
            </w: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145,493,021.</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3"/>
                <w:w w:val="95"/>
                <w:sz w:val="18"/>
              </w:rPr>
              <w:t>11</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46,010,428.7</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6</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31.62%</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46,010,428.7</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6</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31.62%</w:t>
            </w: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162,648,403.</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93</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768" w:right="0"/>
              <w:jc w:val="left"/>
              <w:rPr>
                <w:rFonts w:ascii="Times New Roman" w:hAnsi="Times New Roman" w:cs="Times New Roman" w:eastAsia="Times New Roman" w:hint="default"/>
                <w:sz w:val="18"/>
                <w:szCs w:val="18"/>
              </w:rPr>
            </w:pPr>
            <w:r>
              <w:rPr>
                <w:rFonts w:ascii="Times New Roman"/>
                <w:sz w:val="18"/>
              </w:rPr>
              <w:t>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768" w:right="0"/>
              <w:jc w:val="left"/>
              <w:rPr>
                <w:rFonts w:ascii="Times New Roman" w:hAnsi="Times New Roman" w:cs="Times New Roman" w:eastAsia="Times New Roman" w:hint="default"/>
                <w:sz w:val="18"/>
                <w:szCs w:val="18"/>
              </w:rPr>
            </w:pPr>
            <w:r>
              <w:rPr>
                <w:rFonts w:ascii="Times New Roman"/>
                <w:sz w:val="18"/>
              </w:rPr>
              <w:t>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r>
    </w:tbl>
    <w:p>
      <w:pPr>
        <w:pStyle w:val="BodyText"/>
        <w:spacing w:line="240" w:lineRule="auto" w:before="49"/>
        <w:ind w:right="0"/>
        <w:jc w:val="left"/>
      </w:pPr>
      <w:r>
        <w:rPr/>
        <w:t>公司报告期内盈利且母公司可供普通股股东分配利润为正但未提出普通股现金红利分配预案</w:t>
      </w:r>
    </w:p>
    <w:p>
      <w:pPr>
        <w:pStyle w:val="BodyText"/>
        <w:spacing w:line="240" w:lineRule="auto" w:before="116"/>
        <w:ind w:right="0"/>
        <w:jc w:val="left"/>
      </w:pPr>
      <w:r>
        <w:rPr/>
        <w:t>√ 适用 □ 不适用</w:t>
      </w:r>
    </w:p>
    <w:p>
      <w:pPr>
        <w:spacing w:after="0" w:line="240" w:lineRule="auto"/>
        <w:jc w:val="left"/>
        <w:sectPr>
          <w:type w:val="continuous"/>
          <w:pgSz w:w="11910" w:h="16840"/>
          <w:pgMar w:top="1100" w:bottom="1200" w:left="1020" w:right="0"/>
        </w:sectPr>
      </w:pPr>
    </w:p>
    <w:p>
      <w:pPr>
        <w:spacing w:line="240" w:lineRule="auto" w:before="0"/>
        <w:rPr>
          <w:rFonts w:ascii="Times New Roman" w:hAnsi="Times New Roman" w:cs="Times New Roman" w:eastAsia="Times New Roman" w:hint="default"/>
          <w:sz w:val="29"/>
          <w:szCs w:val="29"/>
        </w:rPr>
      </w:pPr>
    </w:p>
    <w:tbl>
      <w:tblPr>
        <w:tblW w:w="0" w:type="auto"/>
        <w:jc w:val="left"/>
        <w:tblInd w:w="109" w:type="dxa"/>
        <w:tblLayout w:type="fixed"/>
        <w:tblCellMar>
          <w:top w:w="0" w:type="dxa"/>
          <w:left w:w="0" w:type="dxa"/>
          <w:bottom w:w="0" w:type="dxa"/>
          <w:right w:w="0" w:type="dxa"/>
        </w:tblCellMar>
        <w:tblLook w:val="01E0"/>
      </w:tblPr>
      <w:tblGrid>
        <w:gridCol w:w="4784"/>
        <w:gridCol w:w="4784"/>
      </w:tblGrid>
      <w:tr>
        <w:trPr>
          <w:trHeight w:val="714"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946" w:right="135" w:hanging="810"/>
              <w:jc w:val="left"/>
              <w:rPr>
                <w:rFonts w:ascii="宋体" w:hAnsi="宋体" w:cs="宋体" w:eastAsia="宋体" w:hint="default"/>
                <w:sz w:val="18"/>
                <w:szCs w:val="18"/>
              </w:rPr>
            </w:pPr>
            <w:r>
              <w:rPr>
                <w:rFonts w:ascii="宋体" w:hAnsi="宋体" w:cs="宋体" w:eastAsia="宋体" w:hint="default"/>
                <w:sz w:val="18"/>
                <w:szCs w:val="18"/>
              </w:rPr>
              <w:t>报告期内盈利且母公司可供普通股股东分配利润为正但未 提出普通股现金红利分配预案的原因</w:t>
            </w:r>
          </w:p>
        </w:tc>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1036" w:right="0"/>
              <w:jc w:val="left"/>
              <w:rPr>
                <w:rFonts w:ascii="宋体" w:hAnsi="宋体" w:cs="宋体" w:eastAsia="宋体" w:hint="default"/>
                <w:sz w:val="18"/>
                <w:szCs w:val="18"/>
              </w:rPr>
            </w:pPr>
            <w:r>
              <w:rPr>
                <w:rFonts w:ascii="宋体" w:hAnsi="宋体" w:cs="宋体" w:eastAsia="宋体" w:hint="default"/>
                <w:sz w:val="18"/>
                <w:szCs w:val="18"/>
              </w:rPr>
              <w:t>公司未分配利润的用途和使用计划</w:t>
            </w:r>
          </w:p>
        </w:tc>
      </w:tr>
      <w:tr>
        <w:trPr>
          <w:trHeight w:val="377" w:hRule="exact"/>
        </w:trPr>
        <w:tc>
          <w:tcPr>
            <w:tcW w:w="478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根据《公司章程》第一百五十八条规定</w:t>
            </w:r>
            <w:r>
              <w:rPr>
                <w:rFonts w:ascii="宋体" w:hAnsi="宋体" w:cs="宋体" w:eastAsia="宋体" w:hint="default"/>
                <w:spacing w:val="-90"/>
                <w:sz w:val="18"/>
                <w:szCs w:val="18"/>
              </w:rPr>
              <w:t>：</w:t>
            </w:r>
            <w:r>
              <w:rPr>
                <w:rFonts w:ascii="宋体" w:hAnsi="宋体" w:cs="宋体" w:eastAsia="宋体" w:hint="default"/>
                <w:sz w:val="18"/>
                <w:szCs w:val="18"/>
              </w:rPr>
              <w:t>“</w:t>
            </w:r>
          </w:p>
        </w:tc>
        <w:tc>
          <w:tcPr>
            <w:tcW w:w="4784" w:type="dxa"/>
            <w:tcBorders>
              <w:top w:val="single" w:sz="4" w:space="0" w:color="000000"/>
              <w:left w:val="single" w:sz="4" w:space="0" w:color="000000"/>
              <w:bottom w:val="nil" w:sz="6" w:space="0" w:color="auto"/>
              <w:right w:val="single" w:sz="4" w:space="0" w:color="000000"/>
            </w:tcBorders>
          </w:tcPr>
          <w:p>
            <w:pPr/>
          </w:p>
        </w:tc>
      </w:tr>
      <w:tr>
        <w:trPr>
          <w:trHeight w:val="352" w:hRule="exact"/>
        </w:trPr>
        <w:tc>
          <w:tcPr>
            <w:tcW w:w="4784" w:type="dxa"/>
            <w:tcBorders>
              <w:top w:val="nil" w:sz="6" w:space="0" w:color="auto"/>
              <w:left w:val="single" w:sz="4" w:space="0" w:color="000000"/>
              <w:bottom w:val="nil" w:sz="6" w:space="0" w:color="auto"/>
              <w:right w:val="single" w:sz="4" w:space="0" w:color="000000"/>
            </w:tcBorders>
          </w:tcPr>
          <w:p>
            <w:pPr>
              <w:pStyle w:val="TableParagraph"/>
              <w:spacing w:line="240" w:lineRule="auto" w:before="30"/>
              <w:ind w:left="102" w:right="0"/>
              <w:jc w:val="left"/>
              <w:rPr>
                <w:rFonts w:ascii="宋体" w:hAnsi="宋体" w:cs="宋体" w:eastAsia="宋体" w:hint="default"/>
                <w:sz w:val="18"/>
                <w:szCs w:val="18"/>
              </w:rPr>
            </w:pPr>
            <w:r>
              <w:rPr>
                <w:rFonts w:ascii="宋体" w:hAnsi="宋体" w:cs="宋体" w:eastAsia="宋体" w:hint="default"/>
                <w:sz w:val="18"/>
                <w:szCs w:val="18"/>
              </w:rPr>
              <w:t>公司的利润分配：</w:t>
            </w:r>
          </w:p>
        </w:tc>
        <w:tc>
          <w:tcPr>
            <w:tcW w:w="4784" w:type="dxa"/>
            <w:tcBorders>
              <w:top w:val="nil" w:sz="6" w:space="0" w:color="auto"/>
              <w:left w:val="single" w:sz="4" w:space="0" w:color="000000"/>
              <w:bottom w:val="nil" w:sz="6" w:space="0" w:color="auto"/>
              <w:right w:val="single" w:sz="4" w:space="0" w:color="000000"/>
            </w:tcBorders>
          </w:tcPr>
          <w:p>
            <w:pPr/>
          </w:p>
        </w:tc>
      </w:tr>
      <w:tr>
        <w:trPr>
          <w:trHeight w:val="357" w:hRule="exact"/>
        </w:trPr>
        <w:tc>
          <w:tcPr>
            <w:tcW w:w="4784" w:type="dxa"/>
            <w:tcBorders>
              <w:top w:val="nil" w:sz="6" w:space="0" w:color="auto"/>
              <w:left w:val="single" w:sz="4" w:space="0" w:color="000000"/>
              <w:bottom w:val="nil" w:sz="6" w:space="0" w:color="auto"/>
              <w:right w:val="single" w:sz="4" w:space="0" w:color="000000"/>
            </w:tcBorders>
          </w:tcPr>
          <w:p>
            <w:pPr>
              <w:pStyle w:val="TableParagraph"/>
              <w:spacing w:line="240" w:lineRule="auto" w:before="3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一</w:t>
            </w:r>
            <w:r>
              <w:rPr>
                <w:rFonts w:ascii="Times New Roman" w:hAnsi="Times New Roman" w:cs="Times New Roman" w:eastAsia="Times New Roman" w:hint="default"/>
                <w:sz w:val="18"/>
                <w:szCs w:val="18"/>
              </w:rPr>
              <w:t>)</w:t>
            </w:r>
            <w:r>
              <w:rPr>
                <w:rFonts w:ascii="宋体" w:hAnsi="宋体" w:cs="宋体" w:eastAsia="宋体" w:hint="default"/>
                <w:sz w:val="18"/>
                <w:szCs w:val="18"/>
              </w:rPr>
              <w:t>公司利润分配政策的基本原则：</w:t>
            </w:r>
          </w:p>
        </w:tc>
        <w:tc>
          <w:tcPr>
            <w:tcW w:w="4784" w:type="dxa"/>
            <w:tcBorders>
              <w:top w:val="nil" w:sz="6" w:space="0" w:color="auto"/>
              <w:left w:val="single" w:sz="4" w:space="0" w:color="000000"/>
              <w:bottom w:val="nil" w:sz="6" w:space="0" w:color="auto"/>
              <w:right w:val="single" w:sz="4" w:space="0" w:color="000000"/>
            </w:tcBorders>
          </w:tcPr>
          <w:p>
            <w:pPr/>
          </w:p>
        </w:tc>
      </w:tr>
      <w:tr>
        <w:trPr>
          <w:trHeight w:val="332" w:hRule="exact"/>
        </w:trPr>
        <w:tc>
          <w:tcPr>
            <w:tcW w:w="4784"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、公司利润分配应有利于公司发展，并重视对投资者合理</w:t>
            </w:r>
          </w:p>
        </w:tc>
        <w:tc>
          <w:tcPr>
            <w:tcW w:w="4784" w:type="dxa"/>
            <w:tcBorders>
              <w:top w:val="nil" w:sz="6" w:space="0" w:color="auto"/>
              <w:left w:val="single" w:sz="4" w:space="0" w:color="000000"/>
              <w:bottom w:val="nil" w:sz="6" w:space="0" w:color="auto"/>
              <w:right w:val="single" w:sz="4" w:space="0" w:color="000000"/>
            </w:tcBorders>
          </w:tcPr>
          <w:p>
            <w:pPr/>
          </w:p>
        </w:tc>
      </w:tr>
      <w:tr>
        <w:trPr>
          <w:trHeight w:val="308" w:hRule="exact"/>
        </w:trPr>
        <w:tc>
          <w:tcPr>
            <w:tcW w:w="4784"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的投资回报，公司每年以当年合并报表实现归属母公司可</w:t>
            </w:r>
          </w:p>
        </w:tc>
        <w:tc>
          <w:tcPr>
            <w:tcW w:w="4784" w:type="dxa"/>
            <w:tcBorders>
              <w:top w:val="nil" w:sz="6" w:space="0" w:color="auto"/>
              <w:left w:val="single" w:sz="4" w:space="0" w:color="000000"/>
              <w:bottom w:val="nil" w:sz="6" w:space="0" w:color="auto"/>
              <w:right w:val="single" w:sz="4" w:space="0" w:color="000000"/>
            </w:tcBorders>
          </w:tcPr>
          <w:p>
            <w:pPr/>
          </w:p>
        </w:tc>
      </w:tr>
      <w:tr>
        <w:trPr>
          <w:trHeight w:val="332" w:hRule="exact"/>
        </w:trPr>
        <w:tc>
          <w:tcPr>
            <w:tcW w:w="478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供分配利润规定比例向股东分配股利。</w:t>
            </w:r>
          </w:p>
        </w:tc>
        <w:tc>
          <w:tcPr>
            <w:tcW w:w="4784" w:type="dxa"/>
            <w:tcBorders>
              <w:top w:val="nil" w:sz="6" w:space="0" w:color="auto"/>
              <w:left w:val="single" w:sz="4" w:space="0" w:color="000000"/>
              <w:bottom w:val="nil" w:sz="6" w:space="0" w:color="auto"/>
              <w:right w:val="single" w:sz="4" w:space="0" w:color="000000"/>
            </w:tcBorders>
          </w:tcPr>
          <w:p>
            <w:pPr/>
          </w:p>
        </w:tc>
      </w:tr>
      <w:tr>
        <w:trPr>
          <w:trHeight w:val="336" w:hRule="exact"/>
        </w:trPr>
        <w:tc>
          <w:tcPr>
            <w:tcW w:w="4784" w:type="dxa"/>
            <w:tcBorders>
              <w:top w:val="nil" w:sz="6" w:space="0" w:color="auto"/>
              <w:left w:val="single" w:sz="4" w:space="0" w:color="000000"/>
              <w:bottom w:val="nil" w:sz="6" w:space="0" w:color="auto"/>
              <w:right w:val="single" w:sz="4" w:space="0" w:color="000000"/>
            </w:tcBorders>
          </w:tcPr>
          <w:p>
            <w:pPr>
              <w:pStyle w:val="TableParagraph"/>
              <w:spacing w:line="240" w:lineRule="auto" w:before="3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、公司的利润分配政策保持连续性和稳定性，同时兼顾公</w:t>
            </w:r>
          </w:p>
        </w:tc>
        <w:tc>
          <w:tcPr>
            <w:tcW w:w="4784" w:type="dxa"/>
            <w:tcBorders>
              <w:top w:val="nil" w:sz="6" w:space="0" w:color="auto"/>
              <w:left w:val="single" w:sz="4" w:space="0" w:color="000000"/>
              <w:bottom w:val="nil" w:sz="6" w:space="0" w:color="auto"/>
              <w:right w:val="single" w:sz="4" w:space="0" w:color="000000"/>
            </w:tcBorders>
          </w:tcPr>
          <w:p>
            <w:pPr/>
          </w:p>
        </w:tc>
      </w:tr>
      <w:tr>
        <w:trPr>
          <w:trHeight w:val="327" w:hRule="exact"/>
        </w:trPr>
        <w:tc>
          <w:tcPr>
            <w:tcW w:w="4784"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pacing w:val="-1"/>
                <w:sz w:val="18"/>
                <w:szCs w:val="18"/>
              </w:rPr>
              <w:t>司的长远利益、全体股东的整体利益及公司的可持续发展。</w:t>
            </w:r>
          </w:p>
        </w:tc>
        <w:tc>
          <w:tcPr>
            <w:tcW w:w="4784" w:type="dxa"/>
            <w:tcBorders>
              <w:top w:val="nil" w:sz="6" w:space="0" w:color="auto"/>
              <w:left w:val="single" w:sz="4" w:space="0" w:color="000000"/>
              <w:bottom w:val="nil" w:sz="6" w:space="0" w:color="auto"/>
              <w:right w:val="single" w:sz="4" w:space="0" w:color="000000"/>
            </w:tcBorders>
          </w:tcPr>
          <w:p>
            <w:pPr/>
          </w:p>
        </w:tc>
      </w:tr>
      <w:tr>
        <w:trPr>
          <w:trHeight w:val="357" w:hRule="exact"/>
        </w:trPr>
        <w:tc>
          <w:tcPr>
            <w:tcW w:w="4784" w:type="dxa"/>
            <w:tcBorders>
              <w:top w:val="nil" w:sz="6" w:space="0" w:color="auto"/>
              <w:left w:val="single" w:sz="4" w:space="0" w:color="000000"/>
              <w:bottom w:val="nil" w:sz="6" w:space="0" w:color="auto"/>
              <w:right w:val="single" w:sz="4" w:space="0" w:color="000000"/>
            </w:tcBorders>
          </w:tcPr>
          <w:p>
            <w:pPr>
              <w:pStyle w:val="TableParagraph"/>
              <w:spacing w:line="240" w:lineRule="auto" w:before="3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、公司优先采用现金分红的利润分配方式。</w:t>
            </w:r>
          </w:p>
        </w:tc>
        <w:tc>
          <w:tcPr>
            <w:tcW w:w="4784" w:type="dxa"/>
            <w:tcBorders>
              <w:top w:val="nil" w:sz="6" w:space="0" w:color="auto"/>
              <w:left w:val="single" w:sz="4" w:space="0" w:color="000000"/>
              <w:bottom w:val="nil" w:sz="6" w:space="0" w:color="auto"/>
              <w:right w:val="single" w:sz="4" w:space="0" w:color="000000"/>
            </w:tcBorders>
          </w:tcPr>
          <w:p>
            <w:pPr/>
          </w:p>
        </w:tc>
      </w:tr>
      <w:tr>
        <w:trPr>
          <w:trHeight w:val="352" w:hRule="exact"/>
        </w:trPr>
        <w:tc>
          <w:tcPr>
            <w:tcW w:w="4784"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二</w:t>
            </w:r>
            <w:r>
              <w:rPr>
                <w:rFonts w:ascii="Times New Roman" w:hAnsi="Times New Roman" w:cs="Times New Roman" w:eastAsia="Times New Roman" w:hint="default"/>
                <w:sz w:val="18"/>
                <w:szCs w:val="18"/>
              </w:rPr>
              <w:t>)</w:t>
            </w:r>
            <w:r>
              <w:rPr>
                <w:rFonts w:ascii="宋体" w:hAnsi="宋体" w:cs="宋体" w:eastAsia="宋体" w:hint="default"/>
                <w:sz w:val="18"/>
                <w:szCs w:val="18"/>
              </w:rPr>
              <w:t>公司利润分配具体政策如下：</w:t>
            </w:r>
          </w:p>
        </w:tc>
        <w:tc>
          <w:tcPr>
            <w:tcW w:w="4784" w:type="dxa"/>
            <w:tcBorders>
              <w:top w:val="nil" w:sz="6" w:space="0" w:color="auto"/>
              <w:left w:val="single" w:sz="4" w:space="0" w:color="000000"/>
              <w:bottom w:val="nil" w:sz="6" w:space="0" w:color="auto"/>
              <w:right w:val="single" w:sz="4" w:space="0" w:color="000000"/>
            </w:tcBorders>
          </w:tcPr>
          <w:p>
            <w:pPr/>
          </w:p>
        </w:tc>
      </w:tr>
      <w:tr>
        <w:trPr>
          <w:trHeight w:val="332" w:hRule="exact"/>
        </w:trPr>
        <w:tc>
          <w:tcPr>
            <w:tcW w:w="4784"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、利润分配的形式：公司采用现金、股票或者现金与股票</w:t>
            </w:r>
          </w:p>
        </w:tc>
        <w:tc>
          <w:tcPr>
            <w:tcW w:w="4784" w:type="dxa"/>
            <w:tcBorders>
              <w:top w:val="nil" w:sz="6" w:space="0" w:color="auto"/>
              <w:left w:val="single" w:sz="4" w:space="0" w:color="000000"/>
              <w:bottom w:val="nil" w:sz="6" w:space="0" w:color="auto"/>
              <w:right w:val="single" w:sz="4" w:space="0" w:color="000000"/>
            </w:tcBorders>
          </w:tcPr>
          <w:p>
            <w:pPr/>
          </w:p>
        </w:tc>
      </w:tr>
      <w:tr>
        <w:trPr>
          <w:trHeight w:val="308" w:hRule="exact"/>
        </w:trPr>
        <w:tc>
          <w:tcPr>
            <w:tcW w:w="4784"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相结合的方式分配股利。在有条件的情况下，公司可以进</w:t>
            </w:r>
          </w:p>
        </w:tc>
        <w:tc>
          <w:tcPr>
            <w:tcW w:w="4784" w:type="dxa"/>
            <w:tcBorders>
              <w:top w:val="nil" w:sz="6" w:space="0" w:color="auto"/>
              <w:left w:val="single" w:sz="4" w:space="0" w:color="000000"/>
              <w:bottom w:val="nil" w:sz="6" w:space="0" w:color="auto"/>
              <w:right w:val="single" w:sz="4" w:space="0" w:color="000000"/>
            </w:tcBorders>
          </w:tcPr>
          <w:p>
            <w:pPr/>
          </w:p>
        </w:tc>
      </w:tr>
      <w:tr>
        <w:trPr>
          <w:trHeight w:val="332" w:hRule="exact"/>
        </w:trPr>
        <w:tc>
          <w:tcPr>
            <w:tcW w:w="478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行中期利润分配。</w:t>
            </w:r>
          </w:p>
        </w:tc>
        <w:tc>
          <w:tcPr>
            <w:tcW w:w="4784" w:type="dxa"/>
            <w:tcBorders>
              <w:top w:val="nil" w:sz="6" w:space="0" w:color="auto"/>
              <w:left w:val="single" w:sz="4" w:space="0" w:color="000000"/>
              <w:bottom w:val="nil" w:sz="6" w:space="0" w:color="auto"/>
              <w:right w:val="single" w:sz="4" w:space="0" w:color="000000"/>
            </w:tcBorders>
          </w:tcPr>
          <w:p>
            <w:pPr/>
          </w:p>
        </w:tc>
      </w:tr>
      <w:tr>
        <w:trPr>
          <w:trHeight w:val="357" w:hRule="exact"/>
        </w:trPr>
        <w:tc>
          <w:tcPr>
            <w:tcW w:w="4784" w:type="dxa"/>
            <w:tcBorders>
              <w:top w:val="nil" w:sz="6" w:space="0" w:color="auto"/>
              <w:left w:val="single" w:sz="4" w:space="0" w:color="000000"/>
              <w:bottom w:val="nil" w:sz="6" w:space="0" w:color="auto"/>
              <w:right w:val="single" w:sz="4" w:space="0" w:color="000000"/>
            </w:tcBorders>
          </w:tcPr>
          <w:p>
            <w:pPr>
              <w:pStyle w:val="TableParagraph"/>
              <w:spacing w:line="240" w:lineRule="auto" w:before="3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、公司现金分红的具体条件和比例：</w:t>
            </w:r>
          </w:p>
        </w:tc>
        <w:tc>
          <w:tcPr>
            <w:tcW w:w="4784" w:type="dxa"/>
            <w:tcBorders>
              <w:top w:val="nil" w:sz="6" w:space="0" w:color="auto"/>
              <w:left w:val="single" w:sz="4" w:space="0" w:color="000000"/>
              <w:bottom w:val="nil" w:sz="6" w:space="0" w:color="auto"/>
              <w:right w:val="single" w:sz="4" w:space="0" w:color="000000"/>
            </w:tcBorders>
          </w:tcPr>
          <w:p>
            <w:pPr/>
          </w:p>
        </w:tc>
      </w:tr>
      <w:tr>
        <w:trPr>
          <w:trHeight w:val="327" w:hRule="exact"/>
        </w:trPr>
        <w:tc>
          <w:tcPr>
            <w:tcW w:w="4784"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left="102" w:right="0"/>
              <w:jc w:val="left"/>
              <w:rPr>
                <w:rFonts w:ascii="宋体" w:hAnsi="宋体" w:cs="宋体" w:eastAsia="宋体" w:hint="default"/>
                <w:sz w:val="18"/>
                <w:szCs w:val="18"/>
              </w:rPr>
            </w:pPr>
            <w:r>
              <w:rPr>
                <w:rFonts w:ascii="宋体" w:hAnsi="宋体" w:cs="宋体" w:eastAsia="宋体" w:hint="default"/>
                <w:sz w:val="18"/>
                <w:szCs w:val="18"/>
              </w:rPr>
              <w:t>公司主要采取现金分红的利润分配政策，即公司在当年盈</w:t>
            </w:r>
          </w:p>
        </w:tc>
        <w:tc>
          <w:tcPr>
            <w:tcW w:w="478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78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利且累计未分配利润为正的情况下，采取现金方式分配股</w:t>
            </w:r>
          </w:p>
        </w:tc>
        <w:tc>
          <w:tcPr>
            <w:tcW w:w="478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78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利，如无重大投资计划或重大现金支出事项的发生，公司</w:t>
            </w:r>
          </w:p>
        </w:tc>
        <w:tc>
          <w:tcPr>
            <w:tcW w:w="478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78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必须进行现金分红，每年以现金方式分配的利润不少于当</w:t>
            </w:r>
          </w:p>
        </w:tc>
        <w:tc>
          <w:tcPr>
            <w:tcW w:w="4784" w:type="dxa"/>
            <w:tcBorders>
              <w:top w:val="nil" w:sz="6" w:space="0" w:color="auto"/>
              <w:left w:val="single" w:sz="4" w:space="0" w:color="000000"/>
              <w:bottom w:val="nil" w:sz="6" w:space="0" w:color="auto"/>
              <w:right w:val="single" w:sz="4" w:space="0" w:color="000000"/>
            </w:tcBorders>
          </w:tcPr>
          <w:p>
            <w:pPr/>
          </w:p>
        </w:tc>
      </w:tr>
      <w:tr>
        <w:trPr>
          <w:trHeight w:val="256" w:hRule="exact"/>
        </w:trPr>
        <w:tc>
          <w:tcPr>
            <w:tcW w:w="478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年实现的可供分配利润的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。且最近三年以现金方式累</w:t>
            </w:r>
          </w:p>
        </w:tc>
        <w:tc>
          <w:tcPr>
            <w:tcW w:w="4784" w:type="dxa"/>
            <w:tcBorders>
              <w:top w:val="nil" w:sz="6" w:space="0" w:color="auto"/>
              <w:left w:val="single" w:sz="4" w:space="0" w:color="000000"/>
              <w:bottom w:val="nil" w:sz="6" w:space="0" w:color="auto"/>
              <w:right w:val="single" w:sz="4" w:space="0" w:color="000000"/>
            </w:tcBorders>
          </w:tcPr>
          <w:p>
            <w:pPr/>
          </w:p>
        </w:tc>
      </w:tr>
      <w:tr>
        <w:trPr>
          <w:trHeight w:val="308" w:hRule="exact"/>
        </w:trPr>
        <w:tc>
          <w:tcPr>
            <w:tcW w:w="4784"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left="102" w:right="0"/>
              <w:jc w:val="left"/>
              <w:rPr>
                <w:rFonts w:ascii="宋体" w:hAnsi="宋体" w:cs="宋体" w:eastAsia="宋体" w:hint="default"/>
                <w:sz w:val="18"/>
                <w:szCs w:val="18"/>
              </w:rPr>
            </w:pPr>
            <w:r>
              <w:rPr>
                <w:rFonts w:ascii="宋体" w:hAnsi="宋体" w:cs="宋体" w:eastAsia="宋体" w:hint="default"/>
                <w:sz w:val="18"/>
                <w:szCs w:val="18"/>
              </w:rPr>
              <w:t>计分配的利润不少于最近三年实现的年均可分配利润的百</w:t>
            </w:r>
          </w:p>
        </w:tc>
        <w:tc>
          <w:tcPr>
            <w:tcW w:w="4784" w:type="dxa"/>
            <w:tcBorders>
              <w:top w:val="nil" w:sz="6" w:space="0" w:color="auto"/>
              <w:left w:val="single" w:sz="4" w:space="0" w:color="000000"/>
              <w:bottom w:val="nil" w:sz="6" w:space="0" w:color="auto"/>
              <w:right w:val="single" w:sz="4" w:space="0" w:color="000000"/>
            </w:tcBorders>
          </w:tcPr>
          <w:p>
            <w:pPr>
              <w:pStyle w:val="TableParagraph"/>
              <w:spacing w:line="195" w:lineRule="exact"/>
              <w:ind w:left="103" w:right="0"/>
              <w:jc w:val="left"/>
              <w:rPr>
                <w:rFonts w:ascii="宋体" w:hAnsi="宋体" w:cs="宋体" w:eastAsia="宋体" w:hint="default"/>
                <w:sz w:val="18"/>
                <w:szCs w:val="18"/>
              </w:rPr>
            </w:pPr>
            <w:r>
              <w:rPr>
                <w:rFonts w:ascii="宋体" w:hAnsi="宋体" w:cs="宋体" w:eastAsia="宋体" w:hint="default"/>
                <w:sz w:val="18"/>
                <w:szCs w:val="18"/>
              </w:rPr>
              <w:t>累计未分配利润</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1,022,055,351.76</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元继续用于补充流动资金</w:t>
            </w:r>
          </w:p>
        </w:tc>
      </w:tr>
      <w:tr>
        <w:trPr>
          <w:trHeight w:val="392" w:hRule="exact"/>
        </w:trPr>
        <w:tc>
          <w:tcPr>
            <w:tcW w:w="4784"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left="102" w:right="0"/>
              <w:jc w:val="left"/>
              <w:rPr>
                <w:rFonts w:ascii="宋体" w:hAnsi="宋体" w:cs="宋体" w:eastAsia="宋体" w:hint="default"/>
                <w:sz w:val="18"/>
                <w:szCs w:val="18"/>
              </w:rPr>
            </w:pPr>
            <w:r>
              <w:rPr>
                <w:rFonts w:ascii="宋体" w:hAnsi="宋体" w:cs="宋体" w:eastAsia="宋体" w:hint="default"/>
                <w:sz w:val="18"/>
                <w:szCs w:val="18"/>
              </w:rPr>
              <w:t>分之三十</w:t>
            </w:r>
            <w:r>
              <w:rPr>
                <w:rFonts w:ascii="宋体" w:hAnsi="宋体" w:cs="宋体" w:eastAsia="宋体" w:hint="default"/>
                <w:spacing w:val="-90"/>
                <w:sz w:val="18"/>
                <w:szCs w:val="18"/>
              </w:rPr>
              <w:t>。</w:t>
            </w:r>
            <w:r>
              <w:rPr>
                <w:rFonts w:ascii="宋体" w:hAnsi="宋体" w:cs="宋体" w:eastAsia="宋体" w:hint="default"/>
                <w:sz w:val="18"/>
                <w:szCs w:val="18"/>
              </w:rPr>
              <w:t>”</w:t>
            </w:r>
          </w:p>
        </w:tc>
        <w:tc>
          <w:tcPr>
            <w:tcW w:w="4784" w:type="dxa"/>
            <w:tcBorders>
              <w:top w:val="nil" w:sz="6" w:space="0" w:color="auto"/>
              <w:left w:val="single" w:sz="4" w:space="0" w:color="000000"/>
              <w:bottom w:val="nil" w:sz="6" w:space="0" w:color="auto"/>
              <w:right w:val="single" w:sz="4" w:space="0" w:color="000000"/>
            </w:tcBorders>
          </w:tcPr>
          <w:p>
            <w:pPr>
              <w:pStyle w:val="TableParagraph"/>
              <w:spacing w:line="186" w:lineRule="exact"/>
              <w:ind w:left="103" w:right="0"/>
              <w:jc w:val="left"/>
              <w:rPr>
                <w:rFonts w:ascii="宋体" w:hAnsi="宋体" w:cs="宋体" w:eastAsia="宋体" w:hint="default"/>
                <w:sz w:val="18"/>
                <w:szCs w:val="18"/>
              </w:rPr>
            </w:pPr>
            <w:r>
              <w:rPr>
                <w:rFonts w:ascii="宋体" w:hAnsi="宋体" w:cs="宋体" w:eastAsia="宋体" w:hint="default"/>
                <w:sz w:val="18"/>
                <w:szCs w:val="18"/>
              </w:rPr>
              <w:t>并转入以后年度分配。</w:t>
            </w:r>
          </w:p>
        </w:tc>
      </w:tr>
      <w:tr>
        <w:trPr>
          <w:trHeight w:val="336" w:hRule="exact"/>
        </w:trPr>
        <w:tc>
          <w:tcPr>
            <w:tcW w:w="4784" w:type="dxa"/>
            <w:tcBorders>
              <w:top w:val="nil" w:sz="6" w:space="0" w:color="auto"/>
              <w:left w:val="single" w:sz="4" w:space="0" w:color="000000"/>
              <w:bottom w:val="nil" w:sz="6" w:space="0" w:color="auto"/>
              <w:right w:val="single" w:sz="4" w:space="0" w:color="000000"/>
            </w:tcBorders>
          </w:tcPr>
          <w:p>
            <w:pPr>
              <w:pStyle w:val="TableParagraph"/>
              <w:spacing w:line="240" w:lineRule="auto" w:before="30"/>
              <w:ind w:left="102" w:right="0"/>
              <w:jc w:val="left"/>
              <w:rPr>
                <w:rFonts w:ascii="宋体" w:hAnsi="宋体" w:cs="宋体" w:eastAsia="宋体" w:hint="default"/>
                <w:sz w:val="18"/>
                <w:szCs w:val="18"/>
              </w:rPr>
            </w:pPr>
            <w:r>
              <w:rPr>
                <w:rFonts w:ascii="宋体" w:hAnsi="宋体" w:cs="宋体" w:eastAsia="宋体" w:hint="default"/>
                <w:sz w:val="18"/>
                <w:szCs w:val="18"/>
              </w:rPr>
              <w:t>公司于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19 </w:t>
            </w:r>
            <w:r>
              <w:rPr>
                <w:rFonts w:ascii="宋体" w:hAnsi="宋体" w:cs="宋体" w:eastAsia="宋体" w:hint="default"/>
                <w:sz w:val="18"/>
                <w:szCs w:val="18"/>
              </w:rPr>
              <w:t>日召开的第六届董事会第十二次临</w:t>
            </w:r>
          </w:p>
        </w:tc>
        <w:tc>
          <w:tcPr>
            <w:tcW w:w="478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784"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时会议以及</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7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 </w:t>
            </w:r>
            <w:r>
              <w:rPr>
                <w:rFonts w:ascii="宋体" w:hAnsi="宋体" w:cs="宋体" w:eastAsia="宋体" w:hint="default"/>
                <w:sz w:val="18"/>
                <w:szCs w:val="18"/>
              </w:rPr>
              <w:t>日召开的</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年第一次临时股</w:t>
            </w:r>
          </w:p>
        </w:tc>
        <w:tc>
          <w:tcPr>
            <w:tcW w:w="4784" w:type="dxa"/>
            <w:tcBorders>
              <w:top w:val="nil" w:sz="6" w:space="0" w:color="auto"/>
              <w:left w:val="single" w:sz="4" w:space="0" w:color="000000"/>
              <w:bottom w:val="nil" w:sz="6" w:space="0" w:color="auto"/>
              <w:right w:val="single" w:sz="4" w:space="0" w:color="000000"/>
            </w:tcBorders>
          </w:tcPr>
          <w:p>
            <w:pPr/>
          </w:p>
        </w:tc>
      </w:tr>
      <w:tr>
        <w:trPr>
          <w:trHeight w:val="308" w:hRule="exact"/>
        </w:trPr>
        <w:tc>
          <w:tcPr>
            <w:tcW w:w="4784"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东大会审议通过</w:t>
            </w:r>
            <w:r>
              <w:rPr>
                <w:rFonts w:ascii="宋体" w:hAnsi="宋体" w:cs="宋体" w:eastAsia="宋体" w:hint="default"/>
                <w:spacing w:val="-11"/>
                <w:sz w:val="18"/>
                <w:szCs w:val="18"/>
              </w:rPr>
              <w:t>了</w:t>
            </w:r>
            <w:r>
              <w:rPr>
                <w:rFonts w:ascii="宋体" w:hAnsi="宋体" w:cs="宋体" w:eastAsia="宋体" w:hint="default"/>
                <w:sz w:val="18"/>
                <w:szCs w:val="18"/>
              </w:rPr>
              <w:t>《关于公司回购股份的预案</w:t>
            </w:r>
            <w:r>
              <w:rPr>
                <w:rFonts w:ascii="宋体" w:hAnsi="宋体" w:cs="宋体" w:eastAsia="宋体" w:hint="default"/>
                <w:spacing w:val="-90"/>
                <w:sz w:val="18"/>
                <w:szCs w:val="18"/>
              </w:rPr>
              <w:t>》</w:t>
            </w:r>
            <w:r>
              <w:rPr>
                <w:rFonts w:ascii="宋体" w:hAnsi="宋体" w:cs="宋体" w:eastAsia="宋体" w:hint="default"/>
                <w:spacing w:val="-11"/>
                <w:sz w:val="18"/>
                <w:szCs w:val="18"/>
              </w:rPr>
              <w:t>，</w:t>
            </w:r>
            <w:r>
              <w:rPr>
                <w:rFonts w:ascii="宋体" w:hAnsi="宋体" w:cs="宋体" w:eastAsia="宋体" w:hint="default"/>
                <w:sz w:val="18"/>
                <w:szCs w:val="18"/>
              </w:rPr>
              <w:t>回购股份</w:t>
            </w:r>
          </w:p>
        </w:tc>
        <w:tc>
          <w:tcPr>
            <w:tcW w:w="4784" w:type="dxa"/>
            <w:tcBorders>
              <w:top w:val="nil" w:sz="6" w:space="0" w:color="auto"/>
              <w:left w:val="single" w:sz="4" w:space="0" w:color="000000"/>
              <w:bottom w:val="nil" w:sz="6" w:space="0" w:color="auto"/>
              <w:right w:val="single" w:sz="4" w:space="0" w:color="000000"/>
            </w:tcBorders>
          </w:tcPr>
          <w:p>
            <w:pPr/>
          </w:p>
        </w:tc>
      </w:tr>
      <w:tr>
        <w:trPr>
          <w:trHeight w:val="316" w:hRule="exact"/>
        </w:trPr>
        <w:tc>
          <w:tcPr>
            <w:tcW w:w="478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的期限为自股东大会审议通过回购股份方案之日起</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个月</w:t>
            </w:r>
          </w:p>
        </w:tc>
        <w:tc>
          <w:tcPr>
            <w:tcW w:w="478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784"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内，即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日，以不超过人</w:t>
            </w:r>
          </w:p>
        </w:tc>
        <w:tc>
          <w:tcPr>
            <w:tcW w:w="478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784"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股的价格回购公司股份，回购总金额不超过</w:t>
            </w:r>
          </w:p>
        </w:tc>
        <w:tc>
          <w:tcPr>
            <w:tcW w:w="4784" w:type="dxa"/>
            <w:tcBorders>
              <w:top w:val="nil" w:sz="6" w:space="0" w:color="auto"/>
              <w:left w:val="single" w:sz="4" w:space="0" w:color="000000"/>
              <w:bottom w:val="nil" w:sz="6" w:space="0" w:color="auto"/>
              <w:right w:val="single" w:sz="4" w:space="0" w:color="000000"/>
            </w:tcBorders>
          </w:tcPr>
          <w:p>
            <w:pPr/>
          </w:p>
        </w:tc>
      </w:tr>
      <w:tr>
        <w:trPr>
          <w:trHeight w:val="332" w:hRule="exact"/>
        </w:trPr>
        <w:tc>
          <w:tcPr>
            <w:tcW w:w="4784"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万元，不低于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tc>
        <w:tc>
          <w:tcPr>
            <w:tcW w:w="4784" w:type="dxa"/>
            <w:tcBorders>
              <w:top w:val="nil" w:sz="6" w:space="0" w:color="auto"/>
              <w:left w:val="single" w:sz="4" w:space="0" w:color="000000"/>
              <w:bottom w:val="nil" w:sz="6" w:space="0" w:color="auto"/>
              <w:right w:val="single" w:sz="4" w:space="0" w:color="000000"/>
            </w:tcBorders>
          </w:tcPr>
          <w:p>
            <w:pPr/>
          </w:p>
        </w:tc>
      </w:tr>
      <w:tr>
        <w:trPr>
          <w:trHeight w:val="332" w:hRule="exact"/>
        </w:trPr>
        <w:tc>
          <w:tcPr>
            <w:tcW w:w="4784"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left="102" w:right="0"/>
              <w:jc w:val="left"/>
              <w:rPr>
                <w:rFonts w:ascii="宋体" w:hAnsi="宋体" w:cs="宋体" w:eastAsia="宋体" w:hint="default"/>
                <w:sz w:val="18"/>
                <w:szCs w:val="18"/>
              </w:rPr>
            </w:pPr>
            <w:r>
              <w:rPr>
                <w:rFonts w:ascii="宋体" w:hAnsi="宋体" w:cs="宋体" w:eastAsia="宋体" w:hint="default"/>
                <w:sz w:val="18"/>
                <w:szCs w:val="18"/>
              </w:rPr>
              <w:t>公司于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7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 </w:t>
            </w:r>
            <w:r>
              <w:rPr>
                <w:rFonts w:ascii="宋体" w:hAnsi="宋体" w:cs="宋体" w:eastAsia="宋体" w:hint="default"/>
                <w:sz w:val="18"/>
                <w:szCs w:val="18"/>
              </w:rPr>
              <w:t>日至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7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日期间实施了股</w:t>
            </w:r>
          </w:p>
        </w:tc>
        <w:tc>
          <w:tcPr>
            <w:tcW w:w="478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78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2" w:right="0"/>
              <w:jc w:val="left"/>
              <w:rPr>
                <w:rFonts w:ascii="宋体" w:hAnsi="宋体" w:cs="宋体" w:eastAsia="宋体" w:hint="default"/>
                <w:sz w:val="18"/>
                <w:szCs w:val="18"/>
              </w:rPr>
            </w:pPr>
            <w:r>
              <w:rPr>
                <w:rFonts w:ascii="宋体" w:hAnsi="宋体" w:cs="宋体" w:eastAsia="宋体" w:hint="default"/>
                <w:sz w:val="18"/>
                <w:szCs w:val="18"/>
              </w:rPr>
              <w:t>份回购，公司通过股票回购专用证券账户以集中竞价交易</w:t>
            </w:r>
          </w:p>
        </w:tc>
        <w:tc>
          <w:tcPr>
            <w:tcW w:w="4784"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478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方式累计回购股份</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15,107,446 </w:t>
            </w:r>
            <w:r>
              <w:rPr>
                <w:rFonts w:ascii="宋体" w:hAnsi="宋体" w:cs="宋体" w:eastAsia="宋体" w:hint="default"/>
                <w:sz w:val="18"/>
                <w:szCs w:val="18"/>
              </w:rPr>
              <w:t>股</w:t>
            </w:r>
            <w:r>
              <w:rPr>
                <w:rFonts w:ascii="Times New Roman" w:hAnsi="Times New Roman" w:cs="Times New Roman" w:eastAsia="Times New Roman" w:hint="default"/>
                <w:sz w:val="18"/>
                <w:szCs w:val="18"/>
              </w:rPr>
              <w:t>,</w:t>
            </w:r>
            <w:r>
              <w:rPr>
                <w:rFonts w:ascii="宋体" w:hAnsi="宋体" w:cs="宋体" w:eastAsia="宋体" w:hint="default"/>
                <w:sz w:val="18"/>
                <w:szCs w:val="18"/>
              </w:rPr>
              <w:t>占回购股份方案实施前公</w:t>
            </w:r>
          </w:p>
        </w:tc>
        <w:tc>
          <w:tcPr>
            <w:tcW w:w="478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784"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司总股本的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2.122%</w:t>
            </w:r>
            <w:r>
              <w:rPr>
                <w:rFonts w:ascii="宋体" w:hAnsi="宋体" w:cs="宋体" w:eastAsia="宋体" w:hint="default"/>
                <w:sz w:val="18"/>
                <w:szCs w:val="18"/>
              </w:rPr>
              <w:t>，最高成交价为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7.210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股（由于股票</w:t>
            </w:r>
          </w:p>
        </w:tc>
        <w:tc>
          <w:tcPr>
            <w:tcW w:w="478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78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2" w:right="0"/>
              <w:jc w:val="left"/>
              <w:rPr>
                <w:rFonts w:ascii="宋体" w:hAnsi="宋体" w:cs="宋体" w:eastAsia="宋体" w:hint="default"/>
                <w:sz w:val="18"/>
                <w:szCs w:val="18"/>
              </w:rPr>
            </w:pPr>
            <w:r>
              <w:rPr>
                <w:rFonts w:ascii="宋体" w:hAnsi="宋体" w:cs="宋体" w:eastAsia="宋体" w:hint="default"/>
                <w:sz w:val="18"/>
                <w:szCs w:val="18"/>
              </w:rPr>
              <w:t>价格波动较快</w:t>
            </w:r>
            <w:r>
              <w:rPr>
                <w:rFonts w:ascii="宋体" w:hAnsi="宋体" w:cs="宋体" w:eastAsia="宋体" w:hint="default"/>
                <w:spacing w:val="-11"/>
                <w:sz w:val="18"/>
                <w:szCs w:val="18"/>
              </w:rPr>
              <w:t>，</w:t>
            </w:r>
            <w:r>
              <w:rPr>
                <w:rFonts w:ascii="宋体" w:hAnsi="宋体" w:cs="宋体" w:eastAsia="宋体" w:hint="default"/>
                <w:sz w:val="18"/>
                <w:szCs w:val="18"/>
              </w:rPr>
              <w:t>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7.210 </w:t>
            </w:r>
            <w:r>
              <w:rPr>
                <w:rFonts w:ascii="宋体" w:hAnsi="宋体" w:cs="宋体" w:eastAsia="宋体" w:hint="default"/>
                <w:sz w:val="18"/>
                <w:szCs w:val="18"/>
              </w:rPr>
              <w:t>元成交</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10,000 </w:t>
            </w:r>
            <w:r>
              <w:rPr>
                <w:rFonts w:ascii="宋体" w:hAnsi="宋体" w:cs="宋体" w:eastAsia="宋体" w:hint="default"/>
                <w:sz w:val="18"/>
                <w:szCs w:val="18"/>
              </w:rPr>
              <w:t>股</w:t>
            </w:r>
            <w:r>
              <w:rPr>
                <w:rFonts w:ascii="宋体" w:hAnsi="宋体" w:cs="宋体" w:eastAsia="宋体" w:hint="default"/>
                <w:spacing w:val="-90"/>
                <w:sz w:val="18"/>
                <w:szCs w:val="18"/>
              </w:rPr>
              <w:t>）</w:t>
            </w:r>
            <w:r>
              <w:rPr>
                <w:rFonts w:ascii="宋体" w:hAnsi="宋体" w:cs="宋体" w:eastAsia="宋体" w:hint="default"/>
                <w:spacing w:val="-11"/>
                <w:sz w:val="18"/>
                <w:szCs w:val="18"/>
              </w:rPr>
              <w:t>，</w:t>
            </w:r>
            <w:r>
              <w:rPr>
                <w:rFonts w:ascii="宋体" w:hAnsi="宋体" w:cs="宋体" w:eastAsia="宋体" w:hint="default"/>
                <w:sz w:val="18"/>
                <w:szCs w:val="18"/>
              </w:rPr>
              <w:t>最低成交价为</w:t>
            </w:r>
          </w:p>
        </w:tc>
        <w:tc>
          <w:tcPr>
            <w:tcW w:w="478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784"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5.350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股，成交均价为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6.554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股，支付的总金额为</w:t>
            </w:r>
          </w:p>
        </w:tc>
        <w:tc>
          <w:tcPr>
            <w:tcW w:w="4784" w:type="dxa"/>
            <w:tcBorders>
              <w:top w:val="nil" w:sz="6" w:space="0" w:color="auto"/>
              <w:left w:val="single" w:sz="4" w:space="0" w:color="000000"/>
              <w:bottom w:val="nil" w:sz="6" w:space="0" w:color="auto"/>
              <w:right w:val="single" w:sz="4" w:space="0" w:color="000000"/>
            </w:tcBorders>
          </w:tcPr>
          <w:p>
            <w:pPr/>
          </w:p>
        </w:tc>
      </w:tr>
      <w:tr>
        <w:trPr>
          <w:trHeight w:val="332" w:hRule="exact"/>
        </w:trPr>
        <w:tc>
          <w:tcPr>
            <w:tcW w:w="4784"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99,019,502.79 </w:t>
            </w:r>
            <w:r>
              <w:rPr>
                <w:rFonts w:ascii="宋体" w:hAnsi="宋体" w:cs="宋体" w:eastAsia="宋体" w:hint="default"/>
                <w:sz w:val="18"/>
                <w:szCs w:val="18"/>
              </w:rPr>
              <w:t>元（含交易费用</w:t>
            </w:r>
            <w:r>
              <w:rPr>
                <w:rFonts w:ascii="宋体" w:hAnsi="宋体" w:cs="宋体" w:eastAsia="宋体" w:hint="default"/>
                <w:spacing w:val="-90"/>
                <w:sz w:val="18"/>
                <w:szCs w:val="18"/>
              </w:rPr>
              <w:t>）</w:t>
            </w:r>
            <w:r>
              <w:rPr>
                <w:rFonts w:ascii="宋体" w:hAnsi="宋体" w:cs="宋体" w:eastAsia="宋体" w:hint="default"/>
                <w:sz w:val="18"/>
                <w:szCs w:val="18"/>
              </w:rPr>
              <w:t>。</w:t>
            </w:r>
          </w:p>
        </w:tc>
        <w:tc>
          <w:tcPr>
            <w:tcW w:w="4784" w:type="dxa"/>
            <w:tcBorders>
              <w:top w:val="nil" w:sz="6" w:space="0" w:color="auto"/>
              <w:left w:val="single" w:sz="4" w:space="0" w:color="000000"/>
              <w:bottom w:val="nil" w:sz="6" w:space="0" w:color="auto"/>
              <w:right w:val="single" w:sz="4" w:space="0" w:color="000000"/>
            </w:tcBorders>
          </w:tcPr>
          <w:p>
            <w:pPr/>
          </w:p>
        </w:tc>
      </w:tr>
      <w:tr>
        <w:trPr>
          <w:trHeight w:val="332" w:hRule="exact"/>
        </w:trPr>
        <w:tc>
          <w:tcPr>
            <w:tcW w:w="4784"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left="102" w:right="0"/>
              <w:jc w:val="left"/>
              <w:rPr>
                <w:rFonts w:ascii="宋体" w:hAnsi="宋体" w:cs="宋体" w:eastAsia="宋体" w:hint="default"/>
                <w:sz w:val="18"/>
                <w:szCs w:val="18"/>
              </w:rPr>
            </w:pPr>
            <w:r>
              <w:rPr>
                <w:rFonts w:ascii="宋体" w:hAnsi="宋体" w:cs="宋体" w:eastAsia="宋体" w:hint="default"/>
                <w:sz w:val="18"/>
                <w:szCs w:val="18"/>
              </w:rPr>
              <w:t>公司已于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7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26 </w:t>
            </w:r>
            <w:r>
              <w:rPr>
                <w:rFonts w:ascii="宋体" w:hAnsi="宋体" w:cs="宋体" w:eastAsia="宋体" w:hint="default"/>
                <w:sz w:val="18"/>
                <w:szCs w:val="18"/>
              </w:rPr>
              <w:t>日在中国证券登记结算有限责任</w:t>
            </w:r>
          </w:p>
        </w:tc>
        <w:tc>
          <w:tcPr>
            <w:tcW w:w="478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4784"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公司深圳分公司办理完毕上述</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15,107,446 </w:t>
            </w:r>
            <w:r>
              <w:rPr>
                <w:rFonts w:ascii="宋体" w:hAnsi="宋体" w:cs="宋体" w:eastAsia="宋体" w:hint="default"/>
                <w:sz w:val="18"/>
                <w:szCs w:val="18"/>
              </w:rPr>
              <w:t>股回购股份注销</w:t>
            </w:r>
          </w:p>
        </w:tc>
        <w:tc>
          <w:tcPr>
            <w:tcW w:w="4784" w:type="dxa"/>
            <w:tcBorders>
              <w:top w:val="nil" w:sz="6" w:space="0" w:color="auto"/>
              <w:left w:val="single" w:sz="4" w:space="0" w:color="000000"/>
              <w:bottom w:val="nil" w:sz="6" w:space="0" w:color="auto"/>
              <w:right w:val="single" w:sz="4" w:space="0" w:color="000000"/>
            </w:tcBorders>
          </w:tcPr>
          <w:p>
            <w:pPr/>
          </w:p>
        </w:tc>
      </w:tr>
      <w:tr>
        <w:trPr>
          <w:trHeight w:val="328" w:hRule="exact"/>
        </w:trPr>
        <w:tc>
          <w:tcPr>
            <w:tcW w:w="4784"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手续。</w:t>
            </w:r>
          </w:p>
        </w:tc>
        <w:tc>
          <w:tcPr>
            <w:tcW w:w="4784" w:type="dxa"/>
            <w:tcBorders>
              <w:top w:val="nil" w:sz="6" w:space="0" w:color="auto"/>
              <w:left w:val="single" w:sz="4" w:space="0" w:color="000000"/>
              <w:bottom w:val="nil" w:sz="6" w:space="0" w:color="auto"/>
              <w:right w:val="single" w:sz="4" w:space="0" w:color="000000"/>
            </w:tcBorders>
          </w:tcPr>
          <w:p>
            <w:pPr/>
          </w:p>
        </w:tc>
      </w:tr>
      <w:tr>
        <w:trPr>
          <w:trHeight w:val="332" w:hRule="exact"/>
        </w:trPr>
        <w:tc>
          <w:tcPr>
            <w:tcW w:w="4784" w:type="dxa"/>
            <w:tcBorders>
              <w:top w:val="nil" w:sz="6" w:space="0" w:color="auto"/>
              <w:left w:val="single" w:sz="4" w:space="0" w:color="000000"/>
              <w:bottom w:val="nil" w:sz="6" w:space="0" w:color="auto"/>
              <w:right w:val="single" w:sz="4" w:space="0" w:color="000000"/>
            </w:tcBorders>
          </w:tcPr>
          <w:p>
            <w:pPr>
              <w:pStyle w:val="TableParagraph"/>
              <w:spacing w:line="240" w:lineRule="auto" w:before="30"/>
              <w:ind w:left="102" w:right="0"/>
              <w:jc w:val="left"/>
              <w:rPr>
                <w:rFonts w:ascii="宋体" w:hAnsi="宋体" w:cs="宋体" w:eastAsia="宋体" w:hint="default"/>
                <w:sz w:val="18"/>
                <w:szCs w:val="18"/>
              </w:rPr>
            </w:pPr>
            <w:r>
              <w:rPr>
                <w:rFonts w:ascii="宋体" w:hAnsi="宋体" w:cs="宋体" w:eastAsia="宋体" w:hint="default"/>
                <w:sz w:val="18"/>
                <w:szCs w:val="18"/>
              </w:rPr>
              <w:t>公司目前正在积极进行业务延伸，特种通信物联网业务在</w:t>
            </w:r>
          </w:p>
        </w:tc>
        <w:tc>
          <w:tcPr>
            <w:tcW w:w="4784" w:type="dxa"/>
            <w:tcBorders>
              <w:top w:val="nil" w:sz="6" w:space="0" w:color="auto"/>
              <w:left w:val="single" w:sz="4" w:space="0" w:color="000000"/>
              <w:bottom w:val="nil" w:sz="6" w:space="0" w:color="auto"/>
              <w:right w:val="single" w:sz="4" w:space="0" w:color="000000"/>
            </w:tcBorders>
          </w:tcPr>
          <w:p>
            <w:pPr/>
          </w:p>
        </w:tc>
      </w:tr>
      <w:tr>
        <w:trPr>
          <w:trHeight w:val="326" w:hRule="exact"/>
        </w:trPr>
        <w:tc>
          <w:tcPr>
            <w:tcW w:w="478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蓬勃发展，需要较大的资金支持。为顺利进行公司业务的</w:t>
            </w:r>
          </w:p>
        </w:tc>
        <w:tc>
          <w:tcPr>
            <w:tcW w:w="4784" w:type="dxa"/>
            <w:tcBorders>
              <w:top w:val="nil" w:sz="6" w:space="0" w:color="auto"/>
              <w:left w:val="single" w:sz="4" w:space="0" w:color="000000"/>
              <w:bottom w:val="single" w:sz="4" w:space="0" w:color="000000"/>
              <w:right w:val="single" w:sz="4" w:space="0" w:color="000000"/>
            </w:tcBorders>
          </w:tcPr>
          <w:p>
            <w:pPr/>
          </w:p>
        </w:tc>
      </w:tr>
    </w:tbl>
    <w:p>
      <w:pPr>
        <w:spacing w:after="0"/>
        <w:sectPr>
          <w:pgSz w:w="11910" w:h="16840"/>
          <w:pgMar w:header="906" w:footer="1018" w:top="1100" w:bottom="1200" w:left="1020" w:right="0"/>
        </w:sectPr>
      </w:pPr>
    </w:p>
    <w:p>
      <w:pPr>
        <w:spacing w:line="240" w:lineRule="auto" w:before="7"/>
        <w:rPr>
          <w:rFonts w:ascii="Times New Roman" w:hAnsi="Times New Roman" w:cs="Times New Roman" w:eastAsia="Times New Roman" w:hint="default"/>
          <w:sz w:val="28"/>
          <w:szCs w:val="28"/>
        </w:rPr>
      </w:pPr>
    </w:p>
    <w:p>
      <w:pPr>
        <w:spacing w:line="1312" w:lineRule="exact"/>
        <w:ind w:left="104"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5"/>
          <w:sz w:val="20"/>
          <w:szCs w:val="20"/>
        </w:rPr>
        <w:pict>
          <v:group style="width:479.35pt;height:65.650pt;mso-position-horizontal-relative:char;mso-position-vertical-relative:line" coordorigin="0,0" coordsize="9587,1313">
            <v:group style="position:absolute;left:5;top:10;width:9578;height:2" coordorigin="5,10" coordsize="9578,2">
              <v:shape style="position:absolute;left:5;top:10;width:9578;height:2" coordorigin="5,10" coordsize="9578,0" path="m5,10l9582,10e" filled="false" stroked="true" strokeweight=".48pt" strokecolor="#000000">
                <v:path arrowok="t"/>
              </v:shape>
            </v:group>
            <v:group style="position:absolute;left:5;top:1308;width:9578;height:2" coordorigin="5,1308" coordsize="9578,2">
              <v:shape style="position:absolute;left:5;top:1308;width:9578;height:2" coordorigin="5,1308" coordsize="9578,0" path="m5,1308l9582,1308e" filled="false" stroked="true" strokeweight=".48pt" strokecolor="#000000">
                <v:path arrowok="t"/>
              </v:shape>
            </v:group>
            <v:group style="position:absolute;left:10;top:5;width:2;height:1299" coordorigin="10,5" coordsize="2,1299">
              <v:shape style="position:absolute;left:10;top:5;width:2;height:1299" coordorigin="10,5" coordsize="0,1299" path="m10,5l10,1303e" filled="false" stroked="true" strokeweight=".48pt" strokecolor="#000000">
                <v:path arrowok="t"/>
              </v:shape>
            </v:group>
            <v:group style="position:absolute;left:4793;top:5;width:2;height:1299" coordorigin="4793,5" coordsize="2,1299">
              <v:shape style="position:absolute;left:4793;top:5;width:2;height:1299" coordorigin="4793,5" coordsize="0,1299" path="m4793,5l4793,1303e" filled="false" stroked="true" strokeweight=".48pt" strokecolor="#000000">
                <v:path arrowok="t"/>
              </v:shape>
            </v:group>
            <v:group style="position:absolute;left:9577;top:5;width:2;height:1299" coordorigin="9577,5" coordsize="2,1299">
              <v:shape style="position:absolute;left:9577;top:5;width:2;height:1299" coordorigin="9577,5" coordsize="0,1299" path="m9577,5l9577,1303e" filled="false" stroked="true" strokeweight=".48pt" strokecolor="#000000">
                <v:path arrowok="t"/>
              </v:shape>
              <v:shape style="position:absolute;left:10;top:10;width:4784;height:1299" type="#_x0000_t202" filled="false" stroked="false">
                <v:textbox inset="0,0,0,0">
                  <w:txbxContent>
                    <w:p>
                      <w:pPr>
                        <w:spacing w:line="309" w:lineRule="auto" w:before="14"/>
                        <w:ind w:left="107" w:right="105" w:firstLine="0"/>
                        <w:jc w:val="left"/>
                        <w:rPr>
                          <w:rFonts w:ascii="宋体" w:hAnsi="宋体" w:cs="宋体" w:eastAsia="宋体" w:hint="default"/>
                          <w:sz w:val="18"/>
                          <w:szCs w:val="18"/>
                        </w:rPr>
                      </w:pPr>
                      <w:r>
                        <w:rPr>
                          <w:rFonts w:ascii="宋体" w:hAnsi="宋体" w:cs="宋体" w:eastAsia="宋体" w:hint="default"/>
                          <w:sz w:val="18"/>
                          <w:szCs w:val="18"/>
                        </w:rPr>
                        <w:t>战略延伸，实现公司长远稳定的发展，未来给投资者带来 更好的投资回报，公司拟定</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年度利润分配预案为：全 体股东每</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股派发现金红利</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0.00 </w:t>
                      </w:r>
                      <w:r>
                        <w:rPr>
                          <w:rFonts w:ascii="宋体" w:hAnsi="宋体" w:cs="宋体" w:eastAsia="宋体" w:hint="default"/>
                          <w:spacing w:val="-10"/>
                          <w:sz w:val="18"/>
                          <w:szCs w:val="18"/>
                        </w:rPr>
                        <w:t>元（含税），送红股</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 </w:t>
                      </w:r>
                      <w:r>
                        <w:rPr>
                          <w:rFonts w:ascii="宋体" w:hAnsi="宋体" w:cs="宋体" w:eastAsia="宋体" w:hint="default"/>
                          <w:sz w:val="18"/>
                          <w:szCs w:val="18"/>
                        </w:rPr>
                        <w:t>股</w:t>
                      </w:r>
                    </w:p>
                    <w:p>
                      <w:pPr>
                        <w:spacing w:before="5"/>
                        <w:ind w:left="107" w:right="0" w:firstLine="0"/>
                        <w:jc w:val="left"/>
                        <w:rPr>
                          <w:rFonts w:ascii="宋体" w:hAnsi="宋体" w:cs="宋体" w:eastAsia="宋体" w:hint="default"/>
                          <w:sz w:val="18"/>
                          <w:szCs w:val="18"/>
                        </w:rPr>
                      </w:pPr>
                      <w:r>
                        <w:rPr>
                          <w:rFonts w:ascii="宋体" w:hAnsi="宋体" w:cs="宋体" w:eastAsia="宋体" w:hint="default"/>
                          <w:sz w:val="18"/>
                          <w:szCs w:val="18"/>
                        </w:rPr>
                        <w:t>（含税</w:t>
                      </w:r>
                      <w:r>
                        <w:rPr>
                          <w:rFonts w:ascii="宋体" w:hAnsi="宋体" w:cs="宋体" w:eastAsia="宋体" w:hint="default"/>
                          <w:spacing w:val="-90"/>
                          <w:sz w:val="18"/>
                          <w:szCs w:val="18"/>
                        </w:rPr>
                        <w:t>）</w:t>
                      </w:r>
                      <w:r>
                        <w:rPr>
                          <w:rFonts w:ascii="宋体" w:hAnsi="宋体" w:cs="宋体" w:eastAsia="宋体" w:hint="default"/>
                          <w:sz w:val="18"/>
                          <w:szCs w:val="18"/>
                        </w:rPr>
                        <w:t>，不以公积金转增股</w:t>
                      </w:r>
                      <w:r>
                        <w:rPr>
                          <w:rFonts w:ascii="宋体" w:hAnsi="宋体" w:cs="宋体" w:eastAsia="宋体" w:hint="default"/>
                          <w:spacing w:val="-1"/>
                          <w:sz w:val="18"/>
                          <w:szCs w:val="18"/>
                        </w:rPr>
                        <w:t>本</w:t>
                      </w:r>
                      <w:r>
                        <w:rPr>
                          <w:rFonts w:ascii="宋体" w:hAnsi="宋体" w:cs="宋体" w:eastAsia="宋体" w:hint="default"/>
                          <w:sz w:val="18"/>
                          <w:szCs w:val="18"/>
                        </w:rPr>
                        <w:t>。</w:t>
                      </w:r>
                    </w:p>
                  </w:txbxContent>
                </v:textbox>
                <w10:wrap type="none"/>
              </v:shape>
            </v:group>
          </v:group>
        </w:pict>
      </w:r>
      <w:r>
        <w:rPr>
          <w:rFonts w:ascii="Times New Roman" w:hAnsi="Times New Roman" w:cs="Times New Roman" w:eastAsia="Times New Roman" w:hint="default"/>
          <w:position w:val="-25"/>
          <w:sz w:val="20"/>
          <w:szCs w:val="20"/>
        </w:rPr>
      </w:r>
    </w:p>
    <w:p>
      <w:pPr>
        <w:spacing w:line="240" w:lineRule="auto" w:before="6"/>
        <w:rPr>
          <w:rFonts w:ascii="Times New Roman" w:hAnsi="Times New Roman" w:cs="Times New Roman" w:eastAsia="Times New Roman" w:hint="default"/>
          <w:sz w:val="20"/>
          <w:szCs w:val="20"/>
        </w:rPr>
      </w:pPr>
    </w:p>
    <w:p>
      <w:pPr>
        <w:pStyle w:val="Heading2"/>
        <w:spacing w:line="240" w:lineRule="auto" w:before="26"/>
        <w:ind w:right="0"/>
        <w:jc w:val="left"/>
        <w:rPr>
          <w:b w:val="0"/>
          <w:bCs w:val="0"/>
        </w:rPr>
      </w:pPr>
      <w:r>
        <w:rPr/>
        <w:t>二、本报告期利润分配及资本公积金转增股本情况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795"/>
        <w:gridCol w:w="5773"/>
      </w:tblGrid>
      <w:tr>
        <w:trPr>
          <w:trHeight w:val="402" w:hRule="exact"/>
        </w:trPr>
        <w:tc>
          <w:tcPr>
            <w:tcW w:w="37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股送红股数（股）</w:t>
            </w:r>
          </w:p>
        </w:tc>
        <w:tc>
          <w:tcPr>
            <w:tcW w:w="57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7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股派息</w:t>
            </w:r>
            <w:r>
              <w:rPr>
                <w:rFonts w:ascii="宋体" w:hAnsi="宋体" w:cs="宋体" w:eastAsia="宋体" w:hint="default"/>
                <w:spacing w:val="-1"/>
                <w:sz w:val="18"/>
                <w:szCs w:val="18"/>
              </w:rPr>
              <w:t>数</w:t>
            </w:r>
            <w:r>
              <w:rPr>
                <w:rFonts w:ascii="宋体" w:hAnsi="宋体" w:cs="宋体" w:eastAsia="宋体" w:hint="default"/>
                <w:sz w:val="18"/>
                <w:szCs w:val="18"/>
              </w:rPr>
              <w:t>（元</w:t>
            </w:r>
            <w:r>
              <w:rPr>
                <w:rFonts w:ascii="宋体" w:hAnsi="宋体" w:cs="宋体" w:eastAsia="宋体" w:hint="default"/>
                <w:spacing w:val="-90"/>
                <w:sz w:val="18"/>
                <w:szCs w:val="18"/>
              </w:rPr>
              <w:t>）</w:t>
            </w:r>
            <w:r>
              <w:rPr>
                <w:rFonts w:ascii="宋体" w:hAnsi="宋体" w:cs="宋体" w:eastAsia="宋体" w:hint="default"/>
                <w:sz w:val="18"/>
                <w:szCs w:val="18"/>
              </w:rPr>
              <w:t>（含</w:t>
            </w:r>
            <w:r>
              <w:rPr>
                <w:rFonts w:ascii="宋体" w:hAnsi="宋体" w:cs="宋体" w:eastAsia="宋体" w:hint="default"/>
                <w:spacing w:val="-1"/>
                <w:sz w:val="18"/>
                <w:szCs w:val="18"/>
              </w:rPr>
              <w:t>税</w:t>
            </w:r>
            <w:r>
              <w:rPr>
                <w:rFonts w:ascii="宋体" w:hAnsi="宋体" w:cs="宋体" w:eastAsia="宋体" w:hint="default"/>
                <w:sz w:val="18"/>
                <w:szCs w:val="18"/>
              </w:rPr>
              <w:t>）</w:t>
            </w:r>
          </w:p>
        </w:tc>
        <w:tc>
          <w:tcPr>
            <w:tcW w:w="57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7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股转增数（股）</w:t>
            </w:r>
          </w:p>
        </w:tc>
        <w:tc>
          <w:tcPr>
            <w:tcW w:w="57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7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分配预案的股本基数（股）</w:t>
            </w:r>
          </w:p>
        </w:tc>
        <w:tc>
          <w:tcPr>
            <w:tcW w:w="57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696,921,354.00</w:t>
            </w:r>
          </w:p>
        </w:tc>
      </w:tr>
      <w:tr>
        <w:trPr>
          <w:trHeight w:val="402" w:hRule="exact"/>
        </w:trPr>
        <w:tc>
          <w:tcPr>
            <w:tcW w:w="37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现金分红金</w:t>
            </w:r>
            <w:r>
              <w:rPr>
                <w:rFonts w:ascii="宋体" w:hAnsi="宋体" w:cs="宋体" w:eastAsia="宋体" w:hint="default"/>
                <w:spacing w:val="-1"/>
                <w:sz w:val="18"/>
                <w:szCs w:val="18"/>
              </w:rPr>
              <w:t>额</w:t>
            </w:r>
            <w:r>
              <w:rPr>
                <w:rFonts w:ascii="宋体" w:hAnsi="宋体" w:cs="宋体" w:eastAsia="宋体" w:hint="default"/>
                <w:sz w:val="18"/>
                <w:szCs w:val="18"/>
              </w:rPr>
              <w:t>（元</w:t>
            </w:r>
            <w:r>
              <w:rPr>
                <w:rFonts w:ascii="宋体" w:hAnsi="宋体" w:cs="宋体" w:eastAsia="宋体" w:hint="default"/>
                <w:spacing w:val="-90"/>
                <w:sz w:val="18"/>
                <w:szCs w:val="18"/>
              </w:rPr>
              <w:t>）</w:t>
            </w:r>
            <w:r>
              <w:rPr>
                <w:rFonts w:ascii="宋体" w:hAnsi="宋体" w:cs="宋体" w:eastAsia="宋体" w:hint="default"/>
                <w:sz w:val="18"/>
                <w:szCs w:val="18"/>
              </w:rPr>
              <w:t>（含</w:t>
            </w:r>
            <w:r>
              <w:rPr>
                <w:rFonts w:ascii="宋体" w:hAnsi="宋体" w:cs="宋体" w:eastAsia="宋体" w:hint="default"/>
                <w:spacing w:val="-1"/>
                <w:sz w:val="18"/>
                <w:szCs w:val="18"/>
              </w:rPr>
              <w:t>税</w:t>
            </w:r>
            <w:r>
              <w:rPr>
                <w:rFonts w:ascii="宋体" w:hAnsi="宋体" w:cs="宋体" w:eastAsia="宋体" w:hint="default"/>
                <w:sz w:val="18"/>
                <w:szCs w:val="18"/>
              </w:rPr>
              <w:t>）</w:t>
            </w:r>
          </w:p>
        </w:tc>
        <w:tc>
          <w:tcPr>
            <w:tcW w:w="57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37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pacing w:val="-6"/>
                <w:sz w:val="18"/>
                <w:szCs w:val="18"/>
              </w:rPr>
              <w:t>以其他方式（如回购股份）现金分红金额（元）</w:t>
            </w:r>
          </w:p>
        </w:tc>
        <w:tc>
          <w:tcPr>
            <w:tcW w:w="57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53,009,074.03</w:t>
            </w:r>
          </w:p>
        </w:tc>
      </w:tr>
      <w:tr>
        <w:trPr>
          <w:trHeight w:val="402" w:hRule="exact"/>
        </w:trPr>
        <w:tc>
          <w:tcPr>
            <w:tcW w:w="37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现金分红总额</w:t>
            </w:r>
            <w:r>
              <w:rPr>
                <w:rFonts w:ascii="宋体" w:hAnsi="宋体" w:cs="宋体" w:eastAsia="宋体" w:hint="default"/>
                <w:spacing w:val="-1"/>
                <w:sz w:val="18"/>
                <w:szCs w:val="18"/>
              </w:rPr>
              <w:t>（</w:t>
            </w:r>
            <w:r>
              <w:rPr>
                <w:rFonts w:ascii="宋体" w:hAnsi="宋体" w:cs="宋体" w:eastAsia="宋体" w:hint="default"/>
                <w:sz w:val="18"/>
                <w:szCs w:val="18"/>
              </w:rPr>
              <w:t>含其他方式</w:t>
            </w:r>
            <w:r>
              <w:rPr>
                <w:rFonts w:ascii="宋体" w:hAnsi="宋体" w:cs="宋体" w:eastAsia="宋体" w:hint="default"/>
                <w:spacing w:val="-90"/>
                <w:sz w:val="18"/>
                <w:szCs w:val="18"/>
              </w:rPr>
              <w:t>）</w:t>
            </w:r>
            <w:r>
              <w:rPr>
                <w:rFonts w:ascii="宋体" w:hAnsi="宋体" w:cs="宋体" w:eastAsia="宋体" w:hint="default"/>
                <w:sz w:val="18"/>
                <w:szCs w:val="18"/>
              </w:rPr>
              <w:t>（</w:t>
            </w:r>
            <w:r>
              <w:rPr>
                <w:rFonts w:ascii="宋体" w:hAnsi="宋体" w:cs="宋体" w:eastAsia="宋体" w:hint="default"/>
                <w:spacing w:val="-1"/>
                <w:sz w:val="18"/>
                <w:szCs w:val="18"/>
              </w:rPr>
              <w:t>元</w:t>
            </w:r>
            <w:r>
              <w:rPr>
                <w:rFonts w:ascii="宋体" w:hAnsi="宋体" w:cs="宋体" w:eastAsia="宋体" w:hint="default"/>
                <w:sz w:val="18"/>
                <w:szCs w:val="18"/>
              </w:rPr>
              <w:t>）</w:t>
            </w:r>
          </w:p>
        </w:tc>
        <w:tc>
          <w:tcPr>
            <w:tcW w:w="57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53,009,074.03</w:t>
            </w:r>
          </w:p>
        </w:tc>
      </w:tr>
      <w:tr>
        <w:trPr>
          <w:trHeight w:val="402" w:hRule="exact"/>
        </w:trPr>
        <w:tc>
          <w:tcPr>
            <w:tcW w:w="37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可分配利润（元）</w:t>
            </w:r>
          </w:p>
        </w:tc>
        <w:tc>
          <w:tcPr>
            <w:tcW w:w="57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1,022,055,351.76</w:t>
            </w:r>
          </w:p>
        </w:tc>
      </w:tr>
      <w:tr>
        <w:trPr>
          <w:trHeight w:val="714" w:hRule="exact"/>
        </w:trPr>
        <w:tc>
          <w:tcPr>
            <w:tcW w:w="37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02" w:right="101"/>
              <w:jc w:val="left"/>
              <w:rPr>
                <w:rFonts w:ascii="宋体" w:hAnsi="宋体" w:cs="宋体" w:eastAsia="宋体" w:hint="default"/>
                <w:sz w:val="18"/>
                <w:szCs w:val="18"/>
              </w:rPr>
            </w:pPr>
            <w:r>
              <w:rPr>
                <w:rFonts w:ascii="宋体" w:hAnsi="宋体" w:cs="宋体" w:eastAsia="宋体" w:hint="default"/>
                <w:spacing w:val="-2"/>
                <w:sz w:val="18"/>
                <w:szCs w:val="18"/>
              </w:rPr>
              <w:t>现金分红总额（含其他方式）占利润分配总额</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的比例</w:t>
            </w:r>
          </w:p>
        </w:tc>
        <w:tc>
          <w:tcPr>
            <w:tcW w:w="57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5.19%</w:t>
            </w:r>
          </w:p>
        </w:tc>
      </w:tr>
      <w:tr>
        <w:trPr>
          <w:trHeight w:val="402" w:hRule="exact"/>
        </w:trPr>
        <w:tc>
          <w:tcPr>
            <w:tcW w:w="9568"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本次现金分红情况</w:t>
            </w:r>
          </w:p>
        </w:tc>
      </w:tr>
      <w:tr>
        <w:trPr>
          <w:trHeight w:val="402" w:hRule="exact"/>
        </w:trPr>
        <w:tc>
          <w:tcPr>
            <w:tcW w:w="95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其他</w:t>
            </w:r>
          </w:p>
        </w:tc>
      </w:tr>
      <w:tr>
        <w:trPr>
          <w:trHeight w:val="402" w:hRule="exact"/>
        </w:trPr>
        <w:tc>
          <w:tcPr>
            <w:tcW w:w="9568"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2889" w:right="0"/>
              <w:jc w:val="left"/>
              <w:rPr>
                <w:rFonts w:ascii="宋体" w:hAnsi="宋体" w:cs="宋体" w:eastAsia="宋体" w:hint="default"/>
                <w:sz w:val="18"/>
                <w:szCs w:val="18"/>
              </w:rPr>
            </w:pPr>
            <w:r>
              <w:rPr>
                <w:rFonts w:ascii="宋体" w:hAnsi="宋体" w:cs="宋体" w:eastAsia="宋体" w:hint="default"/>
                <w:sz w:val="18"/>
                <w:szCs w:val="18"/>
              </w:rPr>
              <w:t>利润分配或资本公积金转增预案的详细情况说明</w:t>
            </w:r>
          </w:p>
        </w:tc>
      </w:tr>
      <w:tr>
        <w:trPr>
          <w:trHeight w:val="402" w:hRule="exact"/>
        </w:trPr>
        <w:tc>
          <w:tcPr>
            <w:tcW w:w="95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本年度不送红股，资本公积金不转增股本。</w:t>
            </w:r>
          </w:p>
        </w:tc>
      </w:tr>
    </w:tbl>
    <w:p>
      <w:pPr>
        <w:spacing w:line="240" w:lineRule="auto" w:before="0"/>
        <w:rPr>
          <w:rFonts w:ascii="宋体" w:hAnsi="宋体" w:cs="宋体" w:eastAsia="宋体" w:hint="default"/>
          <w:sz w:val="18"/>
          <w:szCs w:val="18"/>
        </w:rPr>
      </w:pPr>
    </w:p>
    <w:p>
      <w:pPr>
        <w:pStyle w:val="Heading2"/>
        <w:spacing w:line="240" w:lineRule="auto" w:before="26"/>
        <w:ind w:right="0"/>
        <w:jc w:val="left"/>
        <w:rPr>
          <w:b w:val="0"/>
          <w:bCs w:val="0"/>
        </w:rPr>
      </w:pPr>
      <w:r>
        <w:rPr/>
        <w:t>三、承诺事项履行情况</w:t>
      </w:r>
      <w:r>
        <w:rPr>
          <w:b w:val="0"/>
          <w:bCs w:val="0"/>
        </w:rPr>
      </w:r>
    </w:p>
    <w:p>
      <w:pPr>
        <w:spacing w:line="240" w:lineRule="auto" w:before="9"/>
        <w:rPr>
          <w:rFonts w:ascii="宋体" w:hAnsi="宋体" w:cs="宋体" w:eastAsia="宋体" w:hint="default"/>
          <w:b/>
          <w:bCs/>
          <w:sz w:val="24"/>
          <w:szCs w:val="24"/>
        </w:rPr>
      </w:pPr>
    </w:p>
    <w:p>
      <w:pPr>
        <w:pStyle w:val="Heading3"/>
        <w:spacing w:line="259" w:lineRule="auto"/>
        <w:ind w:right="0"/>
        <w:jc w:val="left"/>
        <w:rPr>
          <w:b w:val="0"/>
          <w:bCs w:val="0"/>
        </w:rPr>
      </w:pPr>
      <w:r>
        <w:rPr>
          <w:rFonts w:ascii="Times New Roman" w:hAnsi="Times New Roman" w:cs="Times New Roman" w:eastAsia="Times New Roman" w:hint="default"/>
        </w:rPr>
        <w:t>1</w:t>
      </w:r>
      <w:r>
        <w:rPr/>
        <w:t>、公司实际控制人、股东、关联方、收购人以及公司等承诺相关方在报告期内履行完毕及截至报告期末</w:t>
      </w:r>
      <w:r>
        <w:rPr>
          <w:spacing w:val="-54"/>
        </w:rPr>
        <w:t> </w:t>
      </w:r>
      <w:r>
        <w:rPr>
          <w:spacing w:val="-54"/>
        </w:rPr>
      </w:r>
      <w:r>
        <w:rPr/>
        <w:t>尚未履行完毕的承诺事项</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836"/>
        <w:gridCol w:w="1125"/>
        <w:gridCol w:w="1126"/>
        <w:gridCol w:w="1126"/>
        <w:gridCol w:w="1126"/>
        <w:gridCol w:w="1121"/>
        <w:gridCol w:w="1107"/>
      </w:tblGrid>
      <w:tr>
        <w:trPr>
          <w:trHeight w:val="402" w:hRule="exact"/>
        </w:trPr>
        <w:tc>
          <w:tcPr>
            <w:tcW w:w="283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承诺事由</w:t>
            </w:r>
          </w:p>
        </w:tc>
        <w:tc>
          <w:tcPr>
            <w:tcW w:w="112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287" w:right="0"/>
              <w:jc w:val="left"/>
              <w:rPr>
                <w:rFonts w:ascii="宋体" w:hAnsi="宋体" w:cs="宋体" w:eastAsia="宋体" w:hint="default"/>
                <w:sz w:val="18"/>
                <w:szCs w:val="18"/>
              </w:rPr>
            </w:pPr>
            <w:r>
              <w:rPr>
                <w:rFonts w:ascii="宋体" w:hAnsi="宋体" w:cs="宋体" w:eastAsia="宋体" w:hint="default"/>
                <w:sz w:val="18"/>
                <w:szCs w:val="18"/>
              </w:rPr>
              <w:t>承诺方</w:t>
            </w:r>
          </w:p>
        </w:tc>
        <w:tc>
          <w:tcPr>
            <w:tcW w:w="112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98" w:right="0"/>
              <w:jc w:val="left"/>
              <w:rPr>
                <w:rFonts w:ascii="宋体" w:hAnsi="宋体" w:cs="宋体" w:eastAsia="宋体" w:hint="default"/>
                <w:sz w:val="18"/>
                <w:szCs w:val="18"/>
              </w:rPr>
            </w:pPr>
            <w:r>
              <w:rPr>
                <w:rFonts w:ascii="宋体" w:hAnsi="宋体" w:cs="宋体" w:eastAsia="宋体" w:hint="default"/>
                <w:sz w:val="18"/>
                <w:szCs w:val="18"/>
              </w:rPr>
              <w:t>承诺类型</w:t>
            </w:r>
          </w:p>
        </w:tc>
        <w:tc>
          <w:tcPr>
            <w:tcW w:w="112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98" w:right="0"/>
              <w:jc w:val="left"/>
              <w:rPr>
                <w:rFonts w:ascii="宋体" w:hAnsi="宋体" w:cs="宋体" w:eastAsia="宋体" w:hint="default"/>
                <w:sz w:val="18"/>
                <w:szCs w:val="18"/>
              </w:rPr>
            </w:pPr>
            <w:r>
              <w:rPr>
                <w:rFonts w:ascii="宋体" w:hAnsi="宋体" w:cs="宋体" w:eastAsia="宋体" w:hint="default"/>
                <w:sz w:val="18"/>
                <w:szCs w:val="18"/>
              </w:rPr>
              <w:t>承诺内容</w:t>
            </w:r>
          </w:p>
        </w:tc>
        <w:tc>
          <w:tcPr>
            <w:tcW w:w="112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97" w:right="0"/>
              <w:jc w:val="left"/>
              <w:rPr>
                <w:rFonts w:ascii="宋体" w:hAnsi="宋体" w:cs="宋体" w:eastAsia="宋体" w:hint="default"/>
                <w:sz w:val="18"/>
                <w:szCs w:val="18"/>
              </w:rPr>
            </w:pPr>
            <w:r>
              <w:rPr>
                <w:rFonts w:ascii="宋体" w:hAnsi="宋体" w:cs="宋体" w:eastAsia="宋体" w:hint="default"/>
                <w:sz w:val="18"/>
                <w:szCs w:val="18"/>
              </w:rPr>
              <w:t>承诺时间</w:t>
            </w:r>
          </w:p>
        </w:tc>
        <w:tc>
          <w:tcPr>
            <w:tcW w:w="112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承诺期限</w:t>
            </w:r>
          </w:p>
        </w:tc>
        <w:tc>
          <w:tcPr>
            <w:tcW w:w="110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87" w:right="0"/>
              <w:jc w:val="left"/>
              <w:rPr>
                <w:rFonts w:ascii="宋体" w:hAnsi="宋体" w:cs="宋体" w:eastAsia="宋体" w:hint="default"/>
                <w:sz w:val="18"/>
                <w:szCs w:val="18"/>
              </w:rPr>
            </w:pPr>
            <w:r>
              <w:rPr>
                <w:rFonts w:ascii="宋体" w:hAnsi="宋体" w:cs="宋体" w:eastAsia="宋体" w:hint="default"/>
                <w:sz w:val="18"/>
                <w:szCs w:val="18"/>
              </w:rPr>
              <w:t>履行情况</w:t>
            </w:r>
          </w:p>
        </w:tc>
      </w:tr>
      <w:tr>
        <w:trPr>
          <w:trHeight w:val="402" w:hRule="exact"/>
        </w:trPr>
        <w:tc>
          <w:tcPr>
            <w:tcW w:w="283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股改承诺</w:t>
            </w:r>
          </w:p>
        </w:tc>
        <w:tc>
          <w:tcPr>
            <w:tcW w:w="1125"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0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83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02" w:right="201"/>
              <w:jc w:val="left"/>
              <w:rPr>
                <w:rFonts w:ascii="宋体" w:hAnsi="宋体" w:cs="宋体" w:eastAsia="宋体" w:hint="default"/>
                <w:sz w:val="18"/>
                <w:szCs w:val="18"/>
              </w:rPr>
            </w:pPr>
            <w:r>
              <w:rPr>
                <w:rFonts w:ascii="宋体" w:hAnsi="宋体" w:cs="宋体" w:eastAsia="宋体" w:hint="default"/>
                <w:sz w:val="18"/>
                <w:szCs w:val="18"/>
              </w:rPr>
              <w:t>收购报告书或权益变动报告书中 所作承诺</w:t>
            </w:r>
          </w:p>
        </w:tc>
        <w:tc>
          <w:tcPr>
            <w:tcW w:w="1125"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0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83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资产重组时所作承诺</w:t>
            </w:r>
          </w:p>
        </w:tc>
        <w:tc>
          <w:tcPr>
            <w:tcW w:w="1125"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07" w:type="dxa"/>
            <w:tcBorders>
              <w:top w:val="single" w:sz="4" w:space="0" w:color="000000"/>
              <w:left w:val="single" w:sz="4" w:space="0" w:color="000000"/>
              <w:bottom w:val="single" w:sz="4" w:space="0" w:color="000000"/>
              <w:right w:val="single" w:sz="4" w:space="0" w:color="000000"/>
            </w:tcBorders>
          </w:tcPr>
          <w:p>
            <w:pPr/>
          </w:p>
        </w:tc>
      </w:tr>
      <w:tr>
        <w:trPr>
          <w:trHeight w:val="1649" w:hRule="exact"/>
        </w:trPr>
        <w:tc>
          <w:tcPr>
            <w:tcW w:w="283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102" w:right="201"/>
              <w:jc w:val="left"/>
              <w:rPr>
                <w:rFonts w:ascii="宋体" w:hAnsi="宋体" w:cs="宋体" w:eastAsia="宋体" w:hint="default"/>
                <w:sz w:val="18"/>
                <w:szCs w:val="18"/>
              </w:rPr>
            </w:pPr>
            <w:r>
              <w:rPr>
                <w:rFonts w:ascii="宋体" w:hAnsi="宋体" w:cs="宋体" w:eastAsia="宋体" w:hint="default"/>
                <w:sz w:val="18"/>
                <w:szCs w:val="18"/>
              </w:rPr>
              <w:t>首次公开发行或再融资时所作承 诺</w:t>
            </w:r>
          </w:p>
        </w:tc>
        <w:tc>
          <w:tcPr>
            <w:tcW w:w="1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03" w:right="11"/>
              <w:jc w:val="left"/>
              <w:rPr>
                <w:rFonts w:ascii="宋体" w:hAnsi="宋体" w:cs="宋体" w:eastAsia="宋体" w:hint="default"/>
                <w:sz w:val="18"/>
                <w:szCs w:val="18"/>
              </w:rPr>
            </w:pPr>
            <w:r>
              <w:rPr>
                <w:rFonts w:ascii="宋体" w:hAnsi="宋体" w:cs="宋体" w:eastAsia="宋体" w:hint="default"/>
                <w:spacing w:val="-14"/>
                <w:sz w:val="18"/>
                <w:szCs w:val="18"/>
              </w:rPr>
              <w:t>钱京、钱平、</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江浩然、胡</w:t>
            </w:r>
            <w:r>
              <w:rPr>
                <w:rFonts w:ascii="宋体" w:hAnsi="宋体" w:cs="宋体" w:eastAsia="宋体" w:hint="default"/>
                <w:sz w:val="18"/>
                <w:szCs w:val="18"/>
              </w:rPr>
              <w:t> 三龙、潘梅 芳、曹志新</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111"/>
              <w:jc w:val="both"/>
              <w:rPr>
                <w:rFonts w:ascii="宋体" w:hAnsi="宋体" w:cs="宋体" w:eastAsia="宋体" w:hint="default"/>
                <w:sz w:val="18"/>
                <w:szCs w:val="18"/>
              </w:rPr>
            </w:pPr>
            <w:r>
              <w:rPr>
                <w:rFonts w:ascii="宋体" w:hAnsi="宋体" w:cs="宋体" w:eastAsia="宋体" w:hint="default"/>
                <w:sz w:val="18"/>
                <w:szCs w:val="18"/>
              </w:rPr>
              <w:t>关于同业竞 争、关联交 易、资金占 用方面的承 诺</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70"/>
              <w:ind w:left="103" w:right="111"/>
              <w:jc w:val="left"/>
              <w:rPr>
                <w:rFonts w:ascii="宋体" w:hAnsi="宋体" w:cs="宋体" w:eastAsia="宋体" w:hint="default"/>
                <w:sz w:val="18"/>
                <w:szCs w:val="18"/>
              </w:rPr>
            </w:pPr>
            <w:r>
              <w:rPr>
                <w:rFonts w:ascii="宋体" w:hAnsi="宋体" w:cs="宋体" w:eastAsia="宋体" w:hint="default"/>
                <w:sz w:val="18"/>
                <w:szCs w:val="18"/>
              </w:rPr>
              <w:t>（一）首次 公开发行股 票前持有公 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 股份的股东</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2007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01</w:t>
            </w:r>
          </w:p>
          <w:p>
            <w:pPr>
              <w:pStyle w:val="TableParagraph"/>
              <w:spacing w:line="240" w:lineRule="auto" w:before="62"/>
              <w:ind w:left="10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70"/>
              <w:ind w:left="103" w:right="101"/>
              <w:jc w:val="left"/>
              <w:rPr>
                <w:rFonts w:ascii="宋体" w:hAnsi="宋体" w:cs="宋体" w:eastAsia="宋体" w:hint="default"/>
                <w:sz w:val="18"/>
                <w:szCs w:val="18"/>
              </w:rPr>
            </w:pPr>
            <w:r>
              <w:rPr>
                <w:rFonts w:ascii="Times New Roman" w:hAnsi="Times New Roman" w:cs="Times New Roman" w:eastAsia="Times New Roman" w:hint="default"/>
                <w:spacing w:val="-15"/>
                <w:sz w:val="18"/>
                <w:szCs w:val="18"/>
              </w:rPr>
              <w:t>1</w:t>
            </w:r>
            <w:r>
              <w:rPr>
                <w:rFonts w:ascii="宋体" w:hAnsi="宋体" w:cs="宋体" w:eastAsia="宋体" w:hint="default"/>
                <w:spacing w:val="-15"/>
                <w:sz w:val="18"/>
                <w:szCs w:val="18"/>
              </w:rPr>
              <w:t>、首次公开</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发行股票前 持有公司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以上股 份的股东在</w:t>
            </w:r>
          </w:p>
        </w:tc>
        <w:tc>
          <w:tcPr>
            <w:tcW w:w="11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严格履行</w:t>
            </w:r>
          </w:p>
        </w:tc>
      </w:tr>
    </w:tbl>
    <w:p>
      <w:pPr>
        <w:spacing w:after="0" w:line="240" w:lineRule="auto"/>
        <w:jc w:val="left"/>
        <w:rPr>
          <w:rFonts w:ascii="宋体" w:hAnsi="宋体" w:cs="宋体" w:eastAsia="宋体" w:hint="default"/>
          <w:sz w:val="18"/>
          <w:szCs w:val="18"/>
        </w:rPr>
        <w:sectPr>
          <w:pgSz w:w="11910" w:h="16840"/>
          <w:pgMar w:header="906" w:footer="1018" w:top="1100" w:bottom="1200" w:left="1020" w:right="0"/>
        </w:sectPr>
      </w:pPr>
    </w:p>
    <w:p>
      <w:pPr>
        <w:spacing w:line="240" w:lineRule="auto" w:before="0"/>
        <w:rPr>
          <w:rFonts w:ascii="Times New Roman" w:hAnsi="Times New Roman" w:cs="Times New Roman" w:eastAsia="Times New Roman" w:hint="default"/>
          <w:sz w:val="29"/>
          <w:szCs w:val="29"/>
        </w:rPr>
      </w:pPr>
    </w:p>
    <w:tbl>
      <w:tblPr>
        <w:tblW w:w="0" w:type="auto"/>
        <w:jc w:val="left"/>
        <w:tblInd w:w="109" w:type="dxa"/>
        <w:tblLayout w:type="fixed"/>
        <w:tblCellMar>
          <w:top w:w="0" w:type="dxa"/>
          <w:left w:w="0" w:type="dxa"/>
          <w:bottom w:w="0" w:type="dxa"/>
          <w:right w:w="0" w:type="dxa"/>
        </w:tblCellMar>
        <w:tblLook w:val="01E0"/>
      </w:tblPr>
      <w:tblGrid>
        <w:gridCol w:w="2836"/>
        <w:gridCol w:w="1125"/>
        <w:gridCol w:w="1126"/>
        <w:gridCol w:w="1126"/>
        <w:gridCol w:w="1126"/>
        <w:gridCol w:w="1121"/>
        <w:gridCol w:w="1107"/>
      </w:tblGrid>
      <w:tr>
        <w:trPr>
          <w:trHeight w:val="316" w:hRule="exact"/>
        </w:trPr>
        <w:tc>
          <w:tcPr>
            <w:tcW w:w="2836" w:type="dxa"/>
            <w:vMerge w:val="restart"/>
            <w:tcBorders>
              <w:top w:val="single" w:sz="4" w:space="0" w:color="000000"/>
              <w:left w:val="single" w:sz="4" w:space="0" w:color="000000"/>
              <w:right w:val="single" w:sz="4" w:space="0" w:color="000000"/>
            </w:tcBorders>
            <w:shd w:val="clear" w:color="auto" w:fill="D3D3D3"/>
          </w:tcPr>
          <w:p>
            <w:pPr/>
          </w:p>
        </w:tc>
        <w:tc>
          <w:tcPr>
            <w:tcW w:w="1125" w:type="dxa"/>
            <w:vMerge w:val="restart"/>
            <w:tcBorders>
              <w:top w:val="single" w:sz="4" w:space="0" w:color="000000"/>
              <w:left w:val="single" w:sz="4" w:space="0" w:color="000000"/>
              <w:right w:val="single" w:sz="4" w:space="0" w:color="000000"/>
            </w:tcBorders>
          </w:tcPr>
          <w:p>
            <w:pPr/>
          </w:p>
        </w:tc>
        <w:tc>
          <w:tcPr>
            <w:tcW w:w="1126" w:type="dxa"/>
            <w:vMerge w:val="restart"/>
            <w:tcBorders>
              <w:top w:val="single" w:sz="4" w:space="0" w:color="000000"/>
              <w:left w:val="single" w:sz="4" w:space="0" w:color="000000"/>
              <w:right w:val="single" w:sz="4" w:space="0" w:color="000000"/>
            </w:tcBorders>
          </w:tcPr>
          <w:p>
            <w:pPr/>
          </w:p>
        </w:tc>
        <w:tc>
          <w:tcPr>
            <w:tcW w:w="112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承诺：在作</w:t>
            </w:r>
          </w:p>
        </w:tc>
        <w:tc>
          <w:tcPr>
            <w:tcW w:w="1126" w:type="dxa"/>
            <w:vMerge w:val="restart"/>
            <w:tcBorders>
              <w:top w:val="single" w:sz="4" w:space="0" w:color="000000"/>
              <w:left w:val="single" w:sz="4" w:space="0" w:color="000000"/>
              <w:right w:val="single" w:sz="4" w:space="0" w:color="000000"/>
            </w:tcBorders>
          </w:tcPr>
          <w:p>
            <w:pPr/>
          </w:p>
        </w:tc>
        <w:tc>
          <w:tcPr>
            <w:tcW w:w="112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作为恒宝股</w:t>
            </w:r>
          </w:p>
        </w:tc>
        <w:tc>
          <w:tcPr>
            <w:tcW w:w="1107" w:type="dxa"/>
            <w:vMerge w:val="restart"/>
            <w:tcBorders>
              <w:top w:val="single" w:sz="4" w:space="0" w:color="000000"/>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为恒宝股份</w:t>
            </w:r>
          </w:p>
        </w:tc>
        <w:tc>
          <w:tcPr>
            <w:tcW w:w="1126" w:type="dxa"/>
            <w:vMerge/>
            <w:tcBorders>
              <w:left w:val="single" w:sz="4" w:space="0" w:color="000000"/>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份有限公司</w:t>
            </w: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有限公司股</w:t>
            </w:r>
          </w:p>
        </w:tc>
        <w:tc>
          <w:tcPr>
            <w:tcW w:w="1126" w:type="dxa"/>
            <w:vMerge/>
            <w:tcBorders>
              <w:left w:val="single" w:sz="4" w:space="0" w:color="000000"/>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股东期间；</w:t>
            </w:r>
          </w:p>
        </w:tc>
        <w:tc>
          <w:tcPr>
            <w:tcW w:w="1107"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东期间，不</w:t>
            </w:r>
          </w:p>
        </w:tc>
        <w:tc>
          <w:tcPr>
            <w:tcW w:w="1126" w:type="dxa"/>
            <w:vMerge/>
            <w:tcBorders>
              <w:left w:val="single" w:sz="4" w:space="0" w:color="000000"/>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pacing w:val="-86"/>
                <w:sz w:val="18"/>
                <w:szCs w:val="18"/>
              </w:rPr>
              <w:t>、</w:t>
            </w:r>
            <w:r>
              <w:rPr>
                <w:rFonts w:ascii="宋体" w:hAnsi="宋体" w:cs="宋体" w:eastAsia="宋体" w:hint="default"/>
                <w:sz w:val="18"/>
                <w:szCs w:val="18"/>
              </w:rPr>
              <w:t>担任公司</w:t>
            </w:r>
          </w:p>
        </w:tc>
        <w:tc>
          <w:tcPr>
            <w:tcW w:w="1107"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宋体" w:hAnsi="宋体" w:cs="宋体" w:eastAsia="宋体" w:hint="default"/>
                <w:sz w:val="18"/>
                <w:szCs w:val="18"/>
              </w:rPr>
              <w:t>会在中国境</w:t>
            </w:r>
          </w:p>
        </w:tc>
        <w:tc>
          <w:tcPr>
            <w:tcW w:w="1126" w:type="dxa"/>
            <w:vMerge/>
            <w:tcBorders>
              <w:left w:val="single" w:sz="4" w:space="0" w:color="000000"/>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宋体" w:hAnsi="宋体" w:cs="宋体" w:eastAsia="宋体" w:hint="default"/>
                <w:sz w:val="18"/>
                <w:szCs w:val="18"/>
              </w:rPr>
              <w:t>董事</w:t>
            </w:r>
            <w:r>
              <w:rPr>
                <w:rFonts w:ascii="宋体" w:hAnsi="宋体" w:cs="宋体" w:eastAsia="宋体" w:hint="default"/>
                <w:spacing w:val="-86"/>
                <w:sz w:val="18"/>
                <w:szCs w:val="18"/>
              </w:rPr>
              <w:t>、</w:t>
            </w:r>
            <w:r>
              <w:rPr>
                <w:rFonts w:ascii="宋体" w:hAnsi="宋体" w:cs="宋体" w:eastAsia="宋体" w:hint="default"/>
                <w:sz w:val="18"/>
                <w:szCs w:val="18"/>
              </w:rPr>
              <w:t>监事、</w:t>
            </w: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内或境外，</w:t>
            </w:r>
          </w:p>
        </w:tc>
        <w:tc>
          <w:tcPr>
            <w:tcW w:w="1126" w:type="dxa"/>
            <w:vMerge/>
            <w:tcBorders>
              <w:left w:val="single" w:sz="4" w:space="0" w:color="000000"/>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高级管理人</w:t>
            </w: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以任何方式</w:t>
            </w:r>
          </w:p>
        </w:tc>
        <w:tc>
          <w:tcPr>
            <w:tcW w:w="1126" w:type="dxa"/>
            <w:vMerge/>
            <w:tcBorders>
              <w:left w:val="single" w:sz="4" w:space="0" w:color="000000"/>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员的股东钱</w:t>
            </w: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（包括但不</w:t>
            </w:r>
          </w:p>
        </w:tc>
        <w:tc>
          <w:tcPr>
            <w:tcW w:w="1126" w:type="dxa"/>
            <w:vMerge/>
            <w:tcBorders>
              <w:left w:val="single" w:sz="4" w:space="0" w:color="000000"/>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京、钱平、</w:t>
            </w: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限于单独经</w:t>
            </w:r>
          </w:p>
        </w:tc>
        <w:tc>
          <w:tcPr>
            <w:tcW w:w="1126" w:type="dxa"/>
            <w:vMerge/>
            <w:tcBorders>
              <w:left w:val="single" w:sz="4" w:space="0" w:color="000000"/>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江浩然、曹</w:t>
            </w: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营、通过合</w:t>
            </w:r>
          </w:p>
        </w:tc>
        <w:tc>
          <w:tcPr>
            <w:tcW w:w="1126" w:type="dxa"/>
            <w:vMerge/>
            <w:tcBorders>
              <w:left w:val="single" w:sz="4" w:space="0" w:color="000000"/>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志新在其任</w:t>
            </w: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资经营或拥</w:t>
            </w:r>
          </w:p>
        </w:tc>
        <w:tc>
          <w:tcPr>
            <w:tcW w:w="1126" w:type="dxa"/>
            <w:vMerge/>
            <w:tcBorders>
              <w:left w:val="single" w:sz="4" w:space="0" w:color="000000"/>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职期间</w:t>
            </w: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有另一公司</w:t>
            </w:r>
          </w:p>
        </w:tc>
        <w:tc>
          <w:tcPr>
            <w:tcW w:w="1126" w:type="dxa"/>
            <w:vMerge/>
            <w:tcBorders>
              <w:left w:val="single" w:sz="4" w:space="0" w:color="000000"/>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或企业的股</w:t>
            </w:r>
          </w:p>
        </w:tc>
        <w:tc>
          <w:tcPr>
            <w:tcW w:w="1126" w:type="dxa"/>
            <w:vMerge/>
            <w:tcBorders>
              <w:left w:val="single" w:sz="4" w:space="0" w:color="000000"/>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份及其他权</w:t>
            </w:r>
          </w:p>
        </w:tc>
        <w:tc>
          <w:tcPr>
            <w:tcW w:w="1126" w:type="dxa"/>
            <w:vMerge/>
            <w:tcBorders>
              <w:left w:val="single" w:sz="4" w:space="0" w:color="000000"/>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益）直接或</w:t>
            </w:r>
          </w:p>
        </w:tc>
        <w:tc>
          <w:tcPr>
            <w:tcW w:w="1126" w:type="dxa"/>
            <w:vMerge/>
            <w:tcBorders>
              <w:left w:val="single" w:sz="4" w:space="0" w:color="000000"/>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间接参与任</w:t>
            </w:r>
          </w:p>
        </w:tc>
        <w:tc>
          <w:tcPr>
            <w:tcW w:w="1126" w:type="dxa"/>
            <w:vMerge/>
            <w:tcBorders>
              <w:left w:val="single" w:sz="4" w:space="0" w:color="000000"/>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何与恒宝股</w:t>
            </w:r>
          </w:p>
        </w:tc>
        <w:tc>
          <w:tcPr>
            <w:tcW w:w="1126" w:type="dxa"/>
            <w:vMerge/>
            <w:tcBorders>
              <w:left w:val="single" w:sz="4" w:space="0" w:color="000000"/>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份有限公司</w:t>
            </w:r>
          </w:p>
        </w:tc>
        <w:tc>
          <w:tcPr>
            <w:tcW w:w="1126" w:type="dxa"/>
            <w:vMerge/>
            <w:tcBorders>
              <w:left w:val="single" w:sz="4" w:space="0" w:color="000000"/>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构成竞争的</w:t>
            </w:r>
          </w:p>
        </w:tc>
        <w:tc>
          <w:tcPr>
            <w:tcW w:w="1126" w:type="dxa"/>
            <w:vMerge/>
            <w:tcBorders>
              <w:left w:val="single" w:sz="4" w:space="0" w:color="000000"/>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任何业务或</w:t>
            </w:r>
          </w:p>
        </w:tc>
        <w:tc>
          <w:tcPr>
            <w:tcW w:w="1126" w:type="dxa"/>
            <w:vMerge/>
            <w:tcBorders>
              <w:left w:val="single" w:sz="4" w:space="0" w:color="000000"/>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活动，也不</w:t>
            </w:r>
          </w:p>
        </w:tc>
        <w:tc>
          <w:tcPr>
            <w:tcW w:w="1126" w:type="dxa"/>
            <w:vMerge/>
            <w:tcBorders>
              <w:left w:val="single" w:sz="4" w:space="0" w:color="000000"/>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会在与恒宝</w:t>
            </w:r>
          </w:p>
        </w:tc>
        <w:tc>
          <w:tcPr>
            <w:tcW w:w="1126" w:type="dxa"/>
            <w:vMerge/>
            <w:tcBorders>
              <w:left w:val="single" w:sz="4" w:space="0" w:color="000000"/>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股份有限公</w:t>
            </w:r>
          </w:p>
        </w:tc>
        <w:tc>
          <w:tcPr>
            <w:tcW w:w="1126" w:type="dxa"/>
            <w:vMerge/>
            <w:tcBorders>
              <w:left w:val="single" w:sz="4" w:space="0" w:color="000000"/>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司有竞争关</w:t>
            </w:r>
          </w:p>
        </w:tc>
        <w:tc>
          <w:tcPr>
            <w:tcW w:w="1126" w:type="dxa"/>
            <w:vMerge/>
            <w:tcBorders>
              <w:left w:val="single" w:sz="4" w:space="0" w:color="000000"/>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系的企业或</w:t>
            </w:r>
          </w:p>
        </w:tc>
        <w:tc>
          <w:tcPr>
            <w:tcW w:w="1126" w:type="dxa"/>
            <w:vMerge/>
            <w:tcBorders>
              <w:left w:val="single" w:sz="4" w:space="0" w:color="000000"/>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组织内任</w:t>
            </w:r>
          </w:p>
        </w:tc>
        <w:tc>
          <w:tcPr>
            <w:tcW w:w="1126" w:type="dxa"/>
            <w:vMerge/>
            <w:tcBorders>
              <w:left w:val="single" w:sz="4" w:space="0" w:color="000000"/>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职。截至报</w:t>
            </w:r>
          </w:p>
        </w:tc>
        <w:tc>
          <w:tcPr>
            <w:tcW w:w="1126" w:type="dxa"/>
            <w:vMerge/>
            <w:tcBorders>
              <w:left w:val="single" w:sz="4" w:space="0" w:color="000000"/>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告期末，未</w:t>
            </w:r>
          </w:p>
        </w:tc>
        <w:tc>
          <w:tcPr>
            <w:tcW w:w="1126" w:type="dxa"/>
            <w:vMerge/>
            <w:tcBorders>
              <w:left w:val="single" w:sz="4" w:space="0" w:color="000000"/>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发现同业竞</w:t>
            </w:r>
          </w:p>
        </w:tc>
        <w:tc>
          <w:tcPr>
            <w:tcW w:w="1126" w:type="dxa"/>
            <w:vMerge/>
            <w:tcBorders>
              <w:left w:val="single" w:sz="4" w:space="0" w:color="000000"/>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争情况。</w:t>
            </w:r>
          </w:p>
        </w:tc>
        <w:tc>
          <w:tcPr>
            <w:tcW w:w="1126" w:type="dxa"/>
            <w:vMerge/>
            <w:tcBorders>
              <w:left w:val="single" w:sz="4" w:space="0" w:color="000000"/>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（二）公司</w:t>
            </w:r>
          </w:p>
        </w:tc>
        <w:tc>
          <w:tcPr>
            <w:tcW w:w="1126" w:type="dxa"/>
            <w:vMerge/>
            <w:tcBorders>
              <w:left w:val="single" w:sz="4" w:space="0" w:color="000000"/>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控股股东钱</w:t>
            </w:r>
          </w:p>
        </w:tc>
        <w:tc>
          <w:tcPr>
            <w:tcW w:w="1126" w:type="dxa"/>
            <w:vMerge/>
            <w:tcBorders>
              <w:left w:val="single" w:sz="4" w:space="0" w:color="000000"/>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京承诺：自</w:t>
            </w:r>
          </w:p>
        </w:tc>
        <w:tc>
          <w:tcPr>
            <w:tcW w:w="1126" w:type="dxa"/>
            <w:vMerge/>
            <w:tcBorders>
              <w:left w:val="single" w:sz="4" w:space="0" w:color="000000"/>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公司股票上</w:t>
            </w:r>
          </w:p>
        </w:tc>
        <w:tc>
          <w:tcPr>
            <w:tcW w:w="1126" w:type="dxa"/>
            <w:vMerge/>
            <w:tcBorders>
              <w:left w:val="single" w:sz="4" w:space="0" w:color="000000"/>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市之日起三</w:t>
            </w:r>
          </w:p>
        </w:tc>
        <w:tc>
          <w:tcPr>
            <w:tcW w:w="1126" w:type="dxa"/>
            <w:vMerge/>
            <w:tcBorders>
              <w:left w:val="single" w:sz="4" w:space="0" w:color="000000"/>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十六个月</w:t>
            </w:r>
          </w:p>
        </w:tc>
        <w:tc>
          <w:tcPr>
            <w:tcW w:w="1126" w:type="dxa"/>
            <w:vMerge/>
            <w:tcBorders>
              <w:left w:val="single" w:sz="4" w:space="0" w:color="000000"/>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内，不转让</w:t>
            </w:r>
          </w:p>
        </w:tc>
        <w:tc>
          <w:tcPr>
            <w:tcW w:w="1126" w:type="dxa"/>
            <w:vMerge/>
            <w:tcBorders>
              <w:left w:val="single" w:sz="4" w:space="0" w:color="000000"/>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或者委托他</w:t>
            </w:r>
          </w:p>
        </w:tc>
        <w:tc>
          <w:tcPr>
            <w:tcW w:w="1126" w:type="dxa"/>
            <w:vMerge/>
            <w:tcBorders>
              <w:left w:val="single" w:sz="4" w:space="0" w:color="000000"/>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人管理其持</w:t>
            </w:r>
          </w:p>
        </w:tc>
        <w:tc>
          <w:tcPr>
            <w:tcW w:w="1126" w:type="dxa"/>
            <w:vMerge/>
            <w:tcBorders>
              <w:left w:val="single" w:sz="4" w:space="0" w:color="000000"/>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有的发行人</w:t>
            </w:r>
          </w:p>
        </w:tc>
        <w:tc>
          <w:tcPr>
            <w:tcW w:w="1126" w:type="dxa"/>
            <w:vMerge/>
            <w:tcBorders>
              <w:left w:val="single" w:sz="4" w:space="0" w:color="000000"/>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股份，也不</w:t>
            </w:r>
          </w:p>
        </w:tc>
        <w:tc>
          <w:tcPr>
            <w:tcW w:w="1126" w:type="dxa"/>
            <w:vMerge/>
            <w:tcBorders>
              <w:left w:val="single" w:sz="4" w:space="0" w:color="000000"/>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由发行人回</w:t>
            </w:r>
          </w:p>
        </w:tc>
        <w:tc>
          <w:tcPr>
            <w:tcW w:w="1126" w:type="dxa"/>
            <w:vMerge/>
            <w:tcBorders>
              <w:left w:val="single" w:sz="4" w:space="0" w:color="000000"/>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购其持有的</w:t>
            </w:r>
          </w:p>
        </w:tc>
        <w:tc>
          <w:tcPr>
            <w:tcW w:w="1126" w:type="dxa"/>
            <w:vMerge/>
            <w:tcBorders>
              <w:left w:val="single" w:sz="4" w:space="0" w:color="000000"/>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bottom w:val="single" w:sz="4" w:space="0" w:color="000000"/>
              <w:right w:val="single" w:sz="4" w:space="0" w:color="000000"/>
            </w:tcBorders>
            <w:shd w:val="clear" w:color="auto" w:fill="D3D3D3"/>
          </w:tcPr>
          <w:p>
            <w:pPr/>
          </w:p>
        </w:tc>
        <w:tc>
          <w:tcPr>
            <w:tcW w:w="1125" w:type="dxa"/>
            <w:vMerge/>
            <w:tcBorders>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112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股份。截止</w:t>
            </w:r>
          </w:p>
        </w:tc>
        <w:tc>
          <w:tcPr>
            <w:tcW w:w="1126" w:type="dxa"/>
            <w:vMerge/>
            <w:tcBorders>
              <w:left w:val="single" w:sz="4" w:space="0" w:color="000000"/>
              <w:bottom w:val="single" w:sz="4" w:space="0" w:color="000000"/>
              <w:right w:val="single" w:sz="4" w:space="0" w:color="000000"/>
            </w:tcBorders>
          </w:tcPr>
          <w:p>
            <w:pPr/>
          </w:p>
        </w:tc>
        <w:tc>
          <w:tcPr>
            <w:tcW w:w="1121" w:type="dxa"/>
            <w:tcBorders>
              <w:top w:val="nil" w:sz="6" w:space="0" w:color="auto"/>
              <w:left w:val="single" w:sz="4" w:space="0" w:color="000000"/>
              <w:bottom w:val="single" w:sz="4" w:space="0" w:color="000000"/>
              <w:right w:val="single" w:sz="4" w:space="0" w:color="000000"/>
            </w:tcBorders>
          </w:tcPr>
          <w:p>
            <w:pPr/>
          </w:p>
        </w:tc>
        <w:tc>
          <w:tcPr>
            <w:tcW w:w="1107" w:type="dxa"/>
            <w:vMerge/>
            <w:tcBorders>
              <w:left w:val="single" w:sz="4" w:space="0" w:color="000000"/>
              <w:bottom w:val="single" w:sz="4" w:space="0" w:color="000000"/>
              <w:right w:val="single" w:sz="4" w:space="0" w:color="000000"/>
            </w:tcBorders>
          </w:tcPr>
          <w:p>
            <w:pPr/>
          </w:p>
        </w:tc>
      </w:tr>
    </w:tbl>
    <w:p>
      <w:pPr>
        <w:spacing w:after="0"/>
        <w:sectPr>
          <w:pgSz w:w="11910" w:h="16840"/>
          <w:pgMar w:header="906" w:footer="1018" w:top="1100" w:bottom="1200" w:left="1020" w:right="0"/>
        </w:sectPr>
      </w:pPr>
    </w:p>
    <w:p>
      <w:pPr>
        <w:spacing w:line="240" w:lineRule="auto" w:before="0"/>
        <w:rPr>
          <w:rFonts w:ascii="Times New Roman" w:hAnsi="Times New Roman" w:cs="Times New Roman" w:eastAsia="Times New Roman" w:hint="default"/>
          <w:sz w:val="29"/>
          <w:szCs w:val="29"/>
        </w:rPr>
      </w:pPr>
    </w:p>
    <w:tbl>
      <w:tblPr>
        <w:tblW w:w="0" w:type="auto"/>
        <w:jc w:val="left"/>
        <w:tblInd w:w="109" w:type="dxa"/>
        <w:tblLayout w:type="fixed"/>
        <w:tblCellMar>
          <w:top w:w="0" w:type="dxa"/>
          <w:left w:w="0" w:type="dxa"/>
          <w:bottom w:w="0" w:type="dxa"/>
          <w:right w:w="0" w:type="dxa"/>
        </w:tblCellMar>
        <w:tblLook w:val="01E0"/>
      </w:tblPr>
      <w:tblGrid>
        <w:gridCol w:w="2836"/>
        <w:gridCol w:w="1125"/>
        <w:gridCol w:w="1126"/>
        <w:gridCol w:w="1126"/>
        <w:gridCol w:w="1126"/>
        <w:gridCol w:w="1121"/>
        <w:gridCol w:w="1107"/>
      </w:tblGrid>
      <w:tr>
        <w:trPr>
          <w:trHeight w:val="316" w:hRule="exact"/>
        </w:trPr>
        <w:tc>
          <w:tcPr>
            <w:tcW w:w="2836" w:type="dxa"/>
            <w:vMerge w:val="restart"/>
            <w:tcBorders>
              <w:top w:val="single" w:sz="4" w:space="0" w:color="000000"/>
              <w:left w:val="single" w:sz="4" w:space="0" w:color="000000"/>
              <w:right w:val="single" w:sz="4" w:space="0" w:color="000000"/>
            </w:tcBorders>
            <w:shd w:val="clear" w:color="auto" w:fill="D3D3D3"/>
          </w:tcPr>
          <w:p>
            <w:pPr/>
          </w:p>
        </w:tc>
        <w:tc>
          <w:tcPr>
            <w:tcW w:w="1125" w:type="dxa"/>
            <w:vMerge w:val="restart"/>
            <w:tcBorders>
              <w:top w:val="single" w:sz="4" w:space="0" w:color="000000"/>
              <w:left w:val="single" w:sz="4" w:space="0" w:color="000000"/>
              <w:right w:val="single" w:sz="4" w:space="0" w:color="000000"/>
            </w:tcBorders>
          </w:tcPr>
          <w:p>
            <w:pPr/>
          </w:p>
        </w:tc>
        <w:tc>
          <w:tcPr>
            <w:tcW w:w="1126" w:type="dxa"/>
            <w:vMerge w:val="restart"/>
            <w:tcBorders>
              <w:top w:val="single" w:sz="4" w:space="0" w:color="000000"/>
              <w:left w:val="single" w:sz="4" w:space="0" w:color="000000"/>
              <w:right w:val="single" w:sz="4" w:space="0" w:color="000000"/>
            </w:tcBorders>
          </w:tcPr>
          <w:p>
            <w:pPr/>
          </w:p>
        </w:tc>
        <w:tc>
          <w:tcPr>
            <w:tcW w:w="112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报告期末，</w:t>
            </w:r>
          </w:p>
        </w:tc>
        <w:tc>
          <w:tcPr>
            <w:tcW w:w="1126" w:type="dxa"/>
            <w:vMerge w:val="restart"/>
            <w:tcBorders>
              <w:top w:val="single" w:sz="4" w:space="0" w:color="000000"/>
              <w:left w:val="single" w:sz="4" w:space="0" w:color="000000"/>
              <w:right w:val="single" w:sz="4" w:space="0" w:color="000000"/>
            </w:tcBorders>
          </w:tcPr>
          <w:p>
            <w:pPr/>
          </w:p>
        </w:tc>
        <w:tc>
          <w:tcPr>
            <w:tcW w:w="1121" w:type="dxa"/>
            <w:vMerge w:val="restart"/>
            <w:tcBorders>
              <w:top w:val="single" w:sz="4" w:space="0" w:color="000000"/>
              <w:left w:val="single" w:sz="4" w:space="0" w:color="000000"/>
              <w:right w:val="single" w:sz="4" w:space="0" w:color="000000"/>
            </w:tcBorders>
          </w:tcPr>
          <w:p>
            <w:pPr/>
          </w:p>
        </w:tc>
        <w:tc>
          <w:tcPr>
            <w:tcW w:w="1107" w:type="dxa"/>
            <w:vMerge w:val="restart"/>
            <w:tcBorders>
              <w:top w:val="single" w:sz="4" w:space="0" w:color="000000"/>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该承诺已履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行完毕。</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（三）公司</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其他股东钱</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平</w:t>
            </w:r>
            <w:r>
              <w:rPr>
                <w:rFonts w:ascii="宋体" w:hAnsi="宋体" w:cs="宋体" w:eastAsia="宋体" w:hint="default"/>
                <w:spacing w:val="-81"/>
                <w:sz w:val="18"/>
                <w:szCs w:val="18"/>
              </w:rPr>
              <w:t>、</w:t>
            </w:r>
            <w:r>
              <w:rPr>
                <w:rFonts w:ascii="宋体" w:hAnsi="宋体" w:cs="宋体" w:eastAsia="宋体" w:hint="default"/>
                <w:sz w:val="18"/>
                <w:szCs w:val="18"/>
              </w:rPr>
              <w:t>江浩然、</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胡三龙、潘</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梅芳和曹志</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新承诺：其</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所持有的股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份中，因</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2005  </w:t>
            </w:r>
            <w:r>
              <w:rPr>
                <w:rFonts w:ascii="宋体" w:hAnsi="宋体" w:cs="宋体" w:eastAsia="宋体" w:hint="default"/>
                <w:sz w:val="18"/>
                <w:szCs w:val="18"/>
              </w:rPr>
              <w:t>年度</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利润分配增</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加的股份</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（合计</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864</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万股</w:t>
            </w:r>
            <w:r>
              <w:rPr>
                <w:rFonts w:ascii="宋体" w:hAnsi="宋体" w:cs="宋体" w:eastAsia="宋体" w:hint="default"/>
                <w:spacing w:val="-90"/>
                <w:sz w:val="18"/>
                <w:szCs w:val="18"/>
              </w:rPr>
              <w:t>）</w:t>
            </w:r>
            <w:r>
              <w:rPr>
                <w:rFonts w:ascii="宋体" w:hAnsi="宋体" w:cs="宋体" w:eastAsia="宋体" w:hint="default"/>
                <w:spacing w:val="-81"/>
                <w:sz w:val="18"/>
                <w:szCs w:val="18"/>
              </w:rPr>
              <w:t>，</w:t>
            </w:r>
            <w:r>
              <w:rPr>
                <w:rFonts w:ascii="宋体" w:hAnsi="宋体" w:cs="宋体" w:eastAsia="宋体" w:hint="default"/>
                <w:sz w:val="18"/>
                <w:szCs w:val="18"/>
              </w:rPr>
              <w:t>自工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商变更之日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2006  </w:t>
            </w:r>
            <w:r>
              <w:rPr>
                <w:rFonts w:ascii="宋体" w:hAnsi="宋体" w:cs="宋体" w:eastAsia="宋体" w:hint="default"/>
                <w:sz w:val="18"/>
                <w:szCs w:val="18"/>
              </w:rPr>
              <w:t>年</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4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宋体" w:hAnsi="宋体" w:cs="宋体" w:eastAsia="宋体" w:hint="default"/>
                <w:sz w:val="18"/>
                <w:szCs w:val="18"/>
              </w:rPr>
              <w:t>日）起三十</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六个月内不</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转让；其他</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股份（合计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4,320  </w:t>
            </w:r>
            <w:r>
              <w:rPr>
                <w:rFonts w:ascii="宋体" w:hAnsi="宋体" w:cs="宋体" w:eastAsia="宋体" w:hint="default"/>
                <w:sz w:val="18"/>
                <w:szCs w:val="18"/>
              </w:rPr>
              <w:t>万</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股）自公司</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股票上市交</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易之日起一</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年内不转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让。截止报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告期末，该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承诺已履行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完毕</w:t>
            </w:r>
            <w:r>
              <w:rPr>
                <w:rFonts w:ascii="宋体" w:hAnsi="宋体" w:cs="宋体" w:eastAsia="宋体" w:hint="default"/>
                <w:spacing w:val="-90"/>
                <w:sz w:val="18"/>
                <w:szCs w:val="18"/>
              </w:rPr>
              <w:t>。</w:t>
            </w:r>
            <w:r>
              <w:rPr>
                <w:rFonts w:ascii="宋体" w:hAnsi="宋体" w:cs="宋体" w:eastAsia="宋体" w:hint="default"/>
                <w:sz w:val="18"/>
                <w:szCs w:val="18"/>
              </w:rPr>
              <w:t>（四）</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担任公司董</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事、监事、</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高级管理人</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员的股东钱</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京、钱平、</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江浩然、曹</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志新还承</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诺：除前述</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锁定期外，</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在其任职期</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间每年转让</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bottom w:val="single" w:sz="4" w:space="0" w:color="000000"/>
              <w:right w:val="single" w:sz="4" w:space="0" w:color="000000"/>
            </w:tcBorders>
            <w:shd w:val="clear" w:color="auto" w:fill="D3D3D3"/>
          </w:tcPr>
          <w:p>
            <w:pPr/>
          </w:p>
        </w:tc>
        <w:tc>
          <w:tcPr>
            <w:tcW w:w="1125" w:type="dxa"/>
            <w:vMerge/>
            <w:tcBorders>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112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的股份不得</w:t>
            </w:r>
          </w:p>
        </w:tc>
        <w:tc>
          <w:tcPr>
            <w:tcW w:w="1126" w:type="dxa"/>
            <w:vMerge/>
            <w:tcBorders>
              <w:left w:val="single" w:sz="4" w:space="0" w:color="000000"/>
              <w:bottom w:val="single" w:sz="4" w:space="0" w:color="000000"/>
              <w:right w:val="single" w:sz="4" w:space="0" w:color="000000"/>
            </w:tcBorders>
          </w:tcPr>
          <w:p>
            <w:pPr/>
          </w:p>
        </w:tc>
        <w:tc>
          <w:tcPr>
            <w:tcW w:w="1121" w:type="dxa"/>
            <w:vMerge/>
            <w:tcBorders>
              <w:left w:val="single" w:sz="4" w:space="0" w:color="000000"/>
              <w:bottom w:val="single" w:sz="4" w:space="0" w:color="000000"/>
              <w:right w:val="single" w:sz="4" w:space="0" w:color="000000"/>
            </w:tcBorders>
          </w:tcPr>
          <w:p>
            <w:pPr/>
          </w:p>
        </w:tc>
        <w:tc>
          <w:tcPr>
            <w:tcW w:w="1107" w:type="dxa"/>
            <w:vMerge/>
            <w:tcBorders>
              <w:left w:val="single" w:sz="4" w:space="0" w:color="000000"/>
              <w:bottom w:val="single" w:sz="4" w:space="0" w:color="000000"/>
              <w:right w:val="single" w:sz="4" w:space="0" w:color="000000"/>
            </w:tcBorders>
          </w:tcPr>
          <w:p>
            <w:pPr/>
          </w:p>
        </w:tc>
      </w:tr>
    </w:tbl>
    <w:p>
      <w:pPr>
        <w:spacing w:after="0"/>
        <w:sectPr>
          <w:pgSz w:w="11910" w:h="16840"/>
          <w:pgMar w:header="906" w:footer="1018" w:top="1100" w:bottom="1200" w:left="1020" w:right="0"/>
        </w:sectPr>
      </w:pPr>
    </w:p>
    <w:p>
      <w:pPr>
        <w:spacing w:line="240" w:lineRule="auto" w:before="0"/>
        <w:rPr>
          <w:rFonts w:ascii="Times New Roman" w:hAnsi="Times New Roman" w:cs="Times New Roman" w:eastAsia="Times New Roman" w:hint="default"/>
          <w:sz w:val="29"/>
          <w:szCs w:val="29"/>
        </w:rPr>
      </w:pPr>
    </w:p>
    <w:tbl>
      <w:tblPr>
        <w:tblW w:w="0" w:type="auto"/>
        <w:jc w:val="left"/>
        <w:tblInd w:w="109" w:type="dxa"/>
        <w:tblLayout w:type="fixed"/>
        <w:tblCellMar>
          <w:top w:w="0" w:type="dxa"/>
          <w:left w:w="0" w:type="dxa"/>
          <w:bottom w:w="0" w:type="dxa"/>
          <w:right w:w="0" w:type="dxa"/>
        </w:tblCellMar>
        <w:tblLook w:val="01E0"/>
      </w:tblPr>
      <w:tblGrid>
        <w:gridCol w:w="2836"/>
        <w:gridCol w:w="1125"/>
        <w:gridCol w:w="1126"/>
        <w:gridCol w:w="1126"/>
        <w:gridCol w:w="1126"/>
        <w:gridCol w:w="1121"/>
        <w:gridCol w:w="1107"/>
      </w:tblGrid>
      <w:tr>
        <w:trPr>
          <w:trHeight w:val="316" w:hRule="exact"/>
        </w:trPr>
        <w:tc>
          <w:tcPr>
            <w:tcW w:w="2836" w:type="dxa"/>
            <w:vMerge w:val="restart"/>
            <w:tcBorders>
              <w:top w:val="single" w:sz="4" w:space="0" w:color="000000"/>
              <w:left w:val="single" w:sz="4" w:space="0" w:color="000000"/>
              <w:right w:val="single" w:sz="4" w:space="0" w:color="000000"/>
            </w:tcBorders>
            <w:shd w:val="clear" w:color="auto" w:fill="D3D3D3"/>
          </w:tcPr>
          <w:p>
            <w:pPr/>
          </w:p>
        </w:tc>
        <w:tc>
          <w:tcPr>
            <w:tcW w:w="1125" w:type="dxa"/>
            <w:vMerge w:val="restart"/>
            <w:tcBorders>
              <w:top w:val="single" w:sz="4" w:space="0" w:color="000000"/>
              <w:left w:val="single" w:sz="4" w:space="0" w:color="000000"/>
              <w:right w:val="single" w:sz="4" w:space="0" w:color="000000"/>
            </w:tcBorders>
          </w:tcPr>
          <w:p>
            <w:pPr/>
          </w:p>
        </w:tc>
        <w:tc>
          <w:tcPr>
            <w:tcW w:w="1126" w:type="dxa"/>
            <w:vMerge w:val="restart"/>
            <w:tcBorders>
              <w:top w:val="single" w:sz="4" w:space="0" w:color="000000"/>
              <w:left w:val="single" w:sz="4" w:space="0" w:color="000000"/>
              <w:right w:val="single" w:sz="4" w:space="0" w:color="000000"/>
            </w:tcBorders>
          </w:tcPr>
          <w:p>
            <w:pPr/>
          </w:p>
        </w:tc>
        <w:tc>
          <w:tcPr>
            <w:tcW w:w="112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超过其上年</w:t>
            </w:r>
          </w:p>
        </w:tc>
        <w:tc>
          <w:tcPr>
            <w:tcW w:w="1126" w:type="dxa"/>
            <w:vMerge w:val="restart"/>
            <w:tcBorders>
              <w:top w:val="single" w:sz="4" w:space="0" w:color="000000"/>
              <w:left w:val="single" w:sz="4" w:space="0" w:color="000000"/>
              <w:right w:val="single" w:sz="4" w:space="0" w:color="000000"/>
            </w:tcBorders>
          </w:tcPr>
          <w:p>
            <w:pPr/>
          </w:p>
        </w:tc>
        <w:tc>
          <w:tcPr>
            <w:tcW w:w="1121" w:type="dxa"/>
            <w:vMerge w:val="restart"/>
            <w:tcBorders>
              <w:top w:val="single" w:sz="4" w:space="0" w:color="000000"/>
              <w:left w:val="single" w:sz="4" w:space="0" w:color="000000"/>
              <w:right w:val="single" w:sz="4" w:space="0" w:color="000000"/>
            </w:tcBorders>
          </w:tcPr>
          <w:p>
            <w:pPr/>
          </w:p>
        </w:tc>
        <w:tc>
          <w:tcPr>
            <w:tcW w:w="1107" w:type="dxa"/>
            <w:vMerge w:val="restart"/>
            <w:tcBorders>
              <w:top w:val="single" w:sz="4" w:space="0" w:color="000000"/>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底所持有本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公司股份总</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数的百分之</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二十五；离</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职后半年</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内，不转让</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其所持有的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本公司股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份。该承诺</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正在履行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58" w:hRule="exact"/>
        </w:trPr>
        <w:tc>
          <w:tcPr>
            <w:tcW w:w="2836" w:type="dxa"/>
            <w:vMerge/>
            <w:tcBorders>
              <w:left w:val="single" w:sz="4" w:space="0" w:color="000000"/>
              <w:bottom w:val="single" w:sz="4" w:space="0" w:color="000000"/>
              <w:right w:val="single" w:sz="4" w:space="0" w:color="000000"/>
            </w:tcBorders>
            <w:shd w:val="clear" w:color="auto" w:fill="D3D3D3"/>
          </w:tcPr>
          <w:p>
            <w:pPr/>
          </w:p>
        </w:tc>
        <w:tc>
          <w:tcPr>
            <w:tcW w:w="1125" w:type="dxa"/>
            <w:vMerge/>
            <w:tcBorders>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112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中。</w:t>
            </w:r>
          </w:p>
        </w:tc>
        <w:tc>
          <w:tcPr>
            <w:tcW w:w="1126" w:type="dxa"/>
            <w:vMerge/>
            <w:tcBorders>
              <w:left w:val="single" w:sz="4" w:space="0" w:color="000000"/>
              <w:bottom w:val="single" w:sz="4" w:space="0" w:color="000000"/>
              <w:right w:val="single" w:sz="4" w:space="0" w:color="000000"/>
            </w:tcBorders>
          </w:tcPr>
          <w:p>
            <w:pPr/>
          </w:p>
        </w:tc>
        <w:tc>
          <w:tcPr>
            <w:tcW w:w="1121" w:type="dxa"/>
            <w:vMerge/>
            <w:tcBorders>
              <w:left w:val="single" w:sz="4" w:space="0" w:color="000000"/>
              <w:bottom w:val="single" w:sz="4" w:space="0" w:color="000000"/>
              <w:right w:val="single" w:sz="4" w:space="0" w:color="000000"/>
            </w:tcBorders>
          </w:tcPr>
          <w:p>
            <w:pPr/>
          </w:p>
        </w:tc>
        <w:tc>
          <w:tcPr>
            <w:tcW w:w="1107" w:type="dxa"/>
            <w:vMerge/>
            <w:tcBorders>
              <w:left w:val="single" w:sz="4" w:space="0" w:color="000000"/>
              <w:bottom w:val="single" w:sz="4" w:space="0" w:color="000000"/>
              <w:right w:val="single" w:sz="4" w:space="0" w:color="000000"/>
            </w:tcBorders>
          </w:tcPr>
          <w:p>
            <w:pPr/>
          </w:p>
        </w:tc>
      </w:tr>
      <w:tr>
        <w:trPr>
          <w:trHeight w:val="402" w:hRule="exact"/>
        </w:trPr>
        <w:tc>
          <w:tcPr>
            <w:tcW w:w="283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股权激励承诺</w:t>
            </w:r>
          </w:p>
        </w:tc>
        <w:tc>
          <w:tcPr>
            <w:tcW w:w="1125"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07" w:type="dxa"/>
            <w:tcBorders>
              <w:top w:val="single" w:sz="4" w:space="0" w:color="000000"/>
              <w:left w:val="single" w:sz="4" w:space="0" w:color="000000"/>
              <w:bottom w:val="single" w:sz="4" w:space="0" w:color="000000"/>
              <w:right w:val="single" w:sz="4" w:space="0" w:color="000000"/>
            </w:tcBorders>
          </w:tcPr>
          <w:p>
            <w:pPr/>
          </w:p>
        </w:tc>
      </w:tr>
      <w:tr>
        <w:trPr>
          <w:trHeight w:val="356" w:hRule="exact"/>
        </w:trPr>
        <w:tc>
          <w:tcPr>
            <w:tcW w:w="2836" w:type="dxa"/>
            <w:tcBorders>
              <w:top w:val="single" w:sz="4" w:space="0" w:color="000000"/>
              <w:left w:val="single" w:sz="4" w:space="0" w:color="000000"/>
              <w:bottom w:val="nil" w:sz="6" w:space="0" w:color="auto"/>
              <w:right w:val="single" w:sz="4" w:space="0" w:color="000000"/>
            </w:tcBorders>
            <w:shd w:val="clear" w:color="auto" w:fill="D3D3D3"/>
          </w:tcPr>
          <w:p>
            <w:pPr/>
          </w:p>
        </w:tc>
        <w:tc>
          <w:tcPr>
            <w:tcW w:w="1125" w:type="dxa"/>
            <w:tcBorders>
              <w:top w:val="single" w:sz="4" w:space="0" w:color="000000"/>
              <w:left w:val="single" w:sz="4" w:space="0" w:color="000000"/>
              <w:bottom w:val="nil" w:sz="6" w:space="0" w:color="auto"/>
              <w:right w:val="single" w:sz="4" w:space="0" w:color="000000"/>
            </w:tcBorders>
          </w:tcPr>
          <w:p>
            <w:pPr/>
          </w:p>
        </w:tc>
        <w:tc>
          <w:tcPr>
            <w:tcW w:w="1126" w:type="dxa"/>
            <w:tcBorders>
              <w:top w:val="single" w:sz="4" w:space="0" w:color="000000"/>
              <w:left w:val="single" w:sz="4" w:space="0" w:color="000000"/>
              <w:bottom w:val="nil" w:sz="6" w:space="0" w:color="auto"/>
              <w:right w:val="single" w:sz="4" w:space="0" w:color="000000"/>
            </w:tcBorders>
          </w:tcPr>
          <w:p>
            <w:pPr/>
          </w:p>
        </w:tc>
        <w:tc>
          <w:tcPr>
            <w:tcW w:w="112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根据《国家</w:t>
            </w:r>
          </w:p>
        </w:tc>
        <w:tc>
          <w:tcPr>
            <w:tcW w:w="1126" w:type="dxa"/>
            <w:tcBorders>
              <w:top w:val="single" w:sz="4" w:space="0" w:color="000000"/>
              <w:left w:val="single" w:sz="4" w:space="0" w:color="000000"/>
              <w:bottom w:val="nil" w:sz="6" w:space="0" w:color="auto"/>
              <w:right w:val="single" w:sz="4" w:space="0" w:color="000000"/>
            </w:tcBorders>
          </w:tcPr>
          <w:p>
            <w:pPr/>
          </w:p>
        </w:tc>
        <w:tc>
          <w:tcPr>
            <w:tcW w:w="1121" w:type="dxa"/>
            <w:tcBorders>
              <w:top w:val="single" w:sz="4" w:space="0" w:color="000000"/>
              <w:left w:val="single" w:sz="4" w:space="0" w:color="000000"/>
              <w:bottom w:val="nil" w:sz="6" w:space="0" w:color="auto"/>
              <w:right w:val="single" w:sz="4" w:space="0" w:color="000000"/>
            </w:tcBorders>
          </w:tcPr>
          <w:p>
            <w:pPr/>
          </w:p>
        </w:tc>
        <w:tc>
          <w:tcPr>
            <w:tcW w:w="1107"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2836" w:type="dxa"/>
            <w:tcBorders>
              <w:top w:val="nil" w:sz="6" w:space="0" w:color="auto"/>
              <w:left w:val="single" w:sz="4" w:space="0" w:color="000000"/>
              <w:bottom w:val="nil" w:sz="6" w:space="0" w:color="auto"/>
              <w:right w:val="single" w:sz="4" w:space="0" w:color="000000"/>
            </w:tcBorders>
            <w:shd w:val="clear" w:color="auto" w:fill="D3D3D3"/>
          </w:tcPr>
          <w:p>
            <w:pPr/>
          </w:p>
        </w:tc>
        <w:tc>
          <w:tcPr>
            <w:tcW w:w="1125"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秘密载体印</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tcBorders>
              <w:top w:val="nil" w:sz="6" w:space="0" w:color="auto"/>
              <w:left w:val="single" w:sz="4" w:space="0" w:color="000000"/>
              <w:bottom w:val="nil" w:sz="6" w:space="0" w:color="auto"/>
              <w:right w:val="single" w:sz="4" w:space="0" w:color="000000"/>
            </w:tcBorders>
            <w:shd w:val="clear" w:color="auto" w:fill="D3D3D3"/>
          </w:tcPr>
          <w:p>
            <w:pPr/>
          </w:p>
        </w:tc>
        <w:tc>
          <w:tcPr>
            <w:tcW w:w="1125"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制资质管理</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tcBorders>
              <w:top w:val="nil" w:sz="6" w:space="0" w:color="auto"/>
              <w:left w:val="single" w:sz="4" w:space="0" w:color="000000"/>
              <w:bottom w:val="nil" w:sz="6" w:space="0" w:color="auto"/>
              <w:right w:val="single" w:sz="4" w:space="0" w:color="000000"/>
            </w:tcBorders>
            <w:shd w:val="clear" w:color="auto" w:fill="D3D3D3"/>
          </w:tcPr>
          <w:p>
            <w:pPr/>
          </w:p>
        </w:tc>
        <w:tc>
          <w:tcPr>
            <w:tcW w:w="1125"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办法</w:t>
            </w:r>
            <w:r>
              <w:rPr>
                <w:rFonts w:ascii="宋体" w:hAnsi="宋体" w:cs="宋体" w:eastAsia="宋体" w:hint="default"/>
                <w:spacing w:val="-81"/>
                <w:sz w:val="18"/>
                <w:szCs w:val="18"/>
              </w:rPr>
              <w:t>》</w:t>
            </w:r>
            <w:r>
              <w:rPr>
                <w:rFonts w:ascii="宋体" w:hAnsi="宋体" w:cs="宋体" w:eastAsia="宋体" w:hint="default"/>
                <w:sz w:val="18"/>
                <w:szCs w:val="18"/>
              </w:rPr>
              <w:t>规定：</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tcBorders>
              <w:top w:val="nil" w:sz="6" w:space="0" w:color="auto"/>
              <w:left w:val="single" w:sz="4" w:space="0" w:color="000000"/>
              <w:bottom w:val="nil" w:sz="6" w:space="0" w:color="auto"/>
              <w:right w:val="single" w:sz="4" w:space="0" w:color="000000"/>
            </w:tcBorders>
            <w:shd w:val="clear" w:color="auto" w:fill="D3D3D3"/>
          </w:tcPr>
          <w:p>
            <w:pPr/>
          </w:p>
        </w:tc>
        <w:tc>
          <w:tcPr>
            <w:tcW w:w="1125"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“国家秘密</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tcBorders>
              <w:top w:val="nil" w:sz="6" w:space="0" w:color="auto"/>
              <w:left w:val="single" w:sz="4" w:space="0" w:color="000000"/>
              <w:bottom w:val="nil" w:sz="6" w:space="0" w:color="auto"/>
              <w:right w:val="single" w:sz="4" w:space="0" w:color="000000"/>
            </w:tcBorders>
            <w:shd w:val="clear" w:color="auto" w:fill="D3D3D3"/>
          </w:tcPr>
          <w:p>
            <w:pPr/>
          </w:p>
        </w:tc>
        <w:tc>
          <w:tcPr>
            <w:tcW w:w="1125"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载体印制资</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tcBorders>
              <w:top w:val="nil" w:sz="6" w:space="0" w:color="auto"/>
              <w:left w:val="single" w:sz="4" w:space="0" w:color="000000"/>
              <w:bottom w:val="nil" w:sz="6" w:space="0" w:color="auto"/>
              <w:right w:val="single" w:sz="4" w:space="0" w:color="000000"/>
            </w:tcBorders>
            <w:shd w:val="clear" w:color="auto" w:fill="D3D3D3"/>
          </w:tcPr>
          <w:p>
            <w:pPr/>
          </w:p>
        </w:tc>
        <w:tc>
          <w:tcPr>
            <w:tcW w:w="1125"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质申请单位</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tcBorders>
              <w:top w:val="nil" w:sz="6" w:space="0" w:color="auto"/>
              <w:left w:val="single" w:sz="4" w:space="0" w:color="000000"/>
              <w:bottom w:val="nil" w:sz="6" w:space="0" w:color="auto"/>
              <w:right w:val="single" w:sz="4" w:space="0" w:color="000000"/>
            </w:tcBorders>
            <w:shd w:val="clear" w:color="auto" w:fill="D3D3D3"/>
          </w:tcPr>
          <w:p>
            <w:pPr/>
          </w:p>
        </w:tc>
        <w:tc>
          <w:tcPr>
            <w:tcW w:w="1125"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（以下简称</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tcBorders>
              <w:top w:val="nil" w:sz="6" w:space="0" w:color="auto"/>
              <w:left w:val="single" w:sz="4" w:space="0" w:color="000000"/>
              <w:bottom w:val="nil" w:sz="6" w:space="0" w:color="auto"/>
              <w:right w:val="single" w:sz="4" w:space="0" w:color="000000"/>
            </w:tcBorders>
            <w:shd w:val="clear" w:color="auto" w:fill="D3D3D3"/>
          </w:tcPr>
          <w:p>
            <w:pPr/>
          </w:p>
        </w:tc>
        <w:tc>
          <w:tcPr>
            <w:tcW w:w="1125"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申请单位）</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tcBorders>
              <w:top w:val="nil" w:sz="6" w:space="0" w:color="auto"/>
              <w:left w:val="single" w:sz="4" w:space="0" w:color="000000"/>
              <w:bottom w:val="nil" w:sz="6" w:space="0" w:color="auto"/>
              <w:right w:val="single" w:sz="4" w:space="0" w:color="000000"/>
            </w:tcBorders>
            <w:shd w:val="clear" w:color="auto" w:fill="D3D3D3"/>
          </w:tcPr>
          <w:p>
            <w:pPr/>
          </w:p>
        </w:tc>
        <w:tc>
          <w:tcPr>
            <w:tcW w:w="1125"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应具备以下</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tcBorders>
              <w:top w:val="nil" w:sz="6" w:space="0" w:color="auto"/>
              <w:left w:val="single" w:sz="4" w:space="0" w:color="000000"/>
              <w:bottom w:val="nil" w:sz="6" w:space="0" w:color="auto"/>
              <w:right w:val="single" w:sz="4" w:space="0" w:color="000000"/>
            </w:tcBorders>
            <w:shd w:val="clear" w:color="auto" w:fill="D3D3D3"/>
          </w:tcPr>
          <w:p>
            <w:pPr/>
          </w:p>
        </w:tc>
        <w:tc>
          <w:tcPr>
            <w:tcW w:w="1125"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基本条件：</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tcBorders>
              <w:top w:val="nil" w:sz="6" w:space="0" w:color="auto"/>
              <w:left w:val="single" w:sz="4" w:space="0" w:color="000000"/>
              <w:bottom w:val="nil" w:sz="6" w:space="0" w:color="auto"/>
              <w:right w:val="single" w:sz="4" w:space="0" w:color="000000"/>
            </w:tcBorders>
            <w:shd w:val="clear" w:color="auto" w:fill="D3D3D3"/>
          </w:tcPr>
          <w:p>
            <w:pPr/>
          </w:p>
        </w:tc>
        <w:tc>
          <w:tcPr>
            <w:tcW w:w="1125"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（一）在中</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tcBorders>
              <w:top w:val="nil" w:sz="6" w:space="0" w:color="auto"/>
              <w:left w:val="single" w:sz="4" w:space="0" w:color="000000"/>
              <w:bottom w:val="nil" w:sz="6" w:space="0" w:color="auto"/>
              <w:right w:val="single" w:sz="4" w:space="0" w:color="000000"/>
            </w:tcBorders>
          </w:tcPr>
          <w:p>
            <w:pPr/>
          </w:p>
        </w:tc>
      </w:tr>
      <w:tr>
        <w:trPr>
          <w:trHeight w:val="2184" w:hRule="exact"/>
        </w:trPr>
        <w:tc>
          <w:tcPr>
            <w:tcW w:w="2836"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其他对公司中小股东所作承诺</w:t>
            </w:r>
          </w:p>
        </w:tc>
        <w:tc>
          <w:tcPr>
            <w:tcW w:w="112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钱京</w:t>
            </w: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其他承诺</w:t>
            </w: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3" w:right="111"/>
              <w:jc w:val="both"/>
              <w:rPr>
                <w:rFonts w:ascii="宋体" w:hAnsi="宋体" w:cs="宋体" w:eastAsia="宋体" w:hint="default"/>
                <w:sz w:val="18"/>
                <w:szCs w:val="18"/>
              </w:rPr>
            </w:pPr>
            <w:r>
              <w:rPr>
                <w:rFonts w:ascii="宋体" w:hAnsi="宋体" w:cs="宋体" w:eastAsia="宋体" w:hint="default"/>
                <w:sz w:val="18"/>
                <w:szCs w:val="18"/>
              </w:rPr>
              <w:t>华人民共和 国境内注册 的企业法人 或者事业单 位法人；</w:t>
            </w:r>
          </w:p>
          <w:p>
            <w:pPr>
              <w:pStyle w:val="TableParagraph"/>
              <w:spacing w:line="319" w:lineRule="auto" w:before="18"/>
              <w:ind w:left="103" w:right="111"/>
              <w:jc w:val="both"/>
              <w:rPr>
                <w:rFonts w:ascii="宋体" w:hAnsi="宋体" w:cs="宋体" w:eastAsia="宋体" w:hint="default"/>
                <w:sz w:val="18"/>
                <w:szCs w:val="18"/>
              </w:rPr>
            </w:pPr>
            <w:r>
              <w:rPr>
                <w:rFonts w:ascii="宋体" w:hAnsi="宋体" w:cs="宋体" w:eastAsia="宋体" w:hint="default"/>
                <w:sz w:val="18"/>
                <w:szCs w:val="18"/>
              </w:rPr>
              <w:t>（二）参与 国家秘密载</w:t>
            </w: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9"/>
              <w:ind w:left="10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p>
          <w:p>
            <w:pPr>
              <w:pStyle w:val="TableParagraph"/>
              <w:spacing w:line="240" w:lineRule="auto" w:before="62"/>
              <w:ind w:left="10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 </w:t>
            </w:r>
            <w:r>
              <w:rPr>
                <w:rFonts w:ascii="宋体" w:hAnsi="宋体" w:cs="宋体" w:eastAsia="宋体" w:hint="default"/>
                <w:sz w:val="18"/>
                <w:szCs w:val="18"/>
              </w:rPr>
              <w:t>日</w:t>
            </w:r>
          </w:p>
        </w:tc>
        <w:tc>
          <w:tcPr>
            <w:tcW w:w="1121" w:type="dxa"/>
            <w:tcBorders>
              <w:top w:val="nil" w:sz="6" w:space="0" w:color="auto"/>
              <w:left w:val="single" w:sz="4" w:space="0" w:color="000000"/>
              <w:bottom w:val="nil" w:sz="6" w:space="0" w:color="auto"/>
              <w:right w:val="single" w:sz="4" w:space="0" w:color="000000"/>
            </w:tcBorders>
          </w:tcPr>
          <w:p>
            <w:pPr>
              <w:pStyle w:val="TableParagraph"/>
              <w:spacing w:line="316" w:lineRule="auto" w:before="146"/>
              <w:ind w:left="103" w:right="106"/>
              <w:jc w:val="both"/>
              <w:rPr>
                <w:rFonts w:ascii="宋体" w:hAnsi="宋体" w:cs="宋体" w:eastAsia="宋体" w:hint="default"/>
                <w:sz w:val="18"/>
                <w:szCs w:val="18"/>
              </w:rPr>
            </w:pPr>
            <w:r>
              <w:rPr>
                <w:rFonts w:ascii="宋体" w:hAnsi="宋体" w:cs="宋体" w:eastAsia="宋体" w:hint="default"/>
                <w:sz w:val="18"/>
                <w:szCs w:val="18"/>
              </w:rPr>
              <w:t>公司在持有 国家秘密载 体印制甲级 涉密防伪票 据证书资质 期间</w:t>
            </w:r>
          </w:p>
        </w:tc>
        <w:tc>
          <w:tcPr>
            <w:tcW w:w="110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严格履行</w:t>
            </w:r>
          </w:p>
        </w:tc>
      </w:tr>
      <w:tr>
        <w:trPr>
          <w:trHeight w:val="312" w:hRule="exact"/>
        </w:trPr>
        <w:tc>
          <w:tcPr>
            <w:tcW w:w="2836" w:type="dxa"/>
            <w:tcBorders>
              <w:top w:val="nil" w:sz="6" w:space="0" w:color="auto"/>
              <w:left w:val="single" w:sz="4" w:space="0" w:color="000000"/>
              <w:bottom w:val="nil" w:sz="6" w:space="0" w:color="auto"/>
              <w:right w:val="single" w:sz="4" w:space="0" w:color="000000"/>
            </w:tcBorders>
            <w:shd w:val="clear" w:color="auto" w:fill="D3D3D3"/>
          </w:tcPr>
          <w:p>
            <w:pPr/>
          </w:p>
        </w:tc>
        <w:tc>
          <w:tcPr>
            <w:tcW w:w="1125"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体印制业务</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tcBorders>
              <w:top w:val="nil" w:sz="6" w:space="0" w:color="auto"/>
              <w:left w:val="single" w:sz="4" w:space="0" w:color="000000"/>
              <w:bottom w:val="nil" w:sz="6" w:space="0" w:color="auto"/>
              <w:right w:val="single" w:sz="4" w:space="0" w:color="000000"/>
            </w:tcBorders>
            <w:shd w:val="clear" w:color="auto" w:fill="D3D3D3"/>
          </w:tcPr>
          <w:p>
            <w:pPr/>
          </w:p>
        </w:tc>
        <w:tc>
          <w:tcPr>
            <w:tcW w:w="1125"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的人员为中</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tcBorders>
              <w:top w:val="nil" w:sz="6" w:space="0" w:color="auto"/>
              <w:left w:val="single" w:sz="4" w:space="0" w:color="000000"/>
              <w:bottom w:val="nil" w:sz="6" w:space="0" w:color="auto"/>
              <w:right w:val="single" w:sz="4" w:space="0" w:color="000000"/>
            </w:tcBorders>
            <w:shd w:val="clear" w:color="auto" w:fill="D3D3D3"/>
          </w:tcPr>
          <w:p>
            <w:pPr/>
          </w:p>
        </w:tc>
        <w:tc>
          <w:tcPr>
            <w:tcW w:w="1125"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华人民共和</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tcBorders>
              <w:top w:val="nil" w:sz="6" w:space="0" w:color="auto"/>
              <w:left w:val="single" w:sz="4" w:space="0" w:color="000000"/>
              <w:bottom w:val="nil" w:sz="6" w:space="0" w:color="auto"/>
              <w:right w:val="single" w:sz="4" w:space="0" w:color="000000"/>
            </w:tcBorders>
            <w:shd w:val="clear" w:color="auto" w:fill="D3D3D3"/>
          </w:tcPr>
          <w:p>
            <w:pPr/>
          </w:p>
        </w:tc>
        <w:tc>
          <w:tcPr>
            <w:tcW w:w="1125"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国境内公</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tcBorders>
              <w:top w:val="nil" w:sz="6" w:space="0" w:color="auto"/>
              <w:left w:val="single" w:sz="4" w:space="0" w:color="000000"/>
              <w:bottom w:val="nil" w:sz="6" w:space="0" w:color="auto"/>
              <w:right w:val="single" w:sz="4" w:space="0" w:color="000000"/>
            </w:tcBorders>
            <w:shd w:val="clear" w:color="auto" w:fill="D3D3D3"/>
          </w:tcPr>
          <w:p>
            <w:pPr/>
          </w:p>
        </w:tc>
        <w:tc>
          <w:tcPr>
            <w:tcW w:w="1125"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民，国家另</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tcBorders>
              <w:top w:val="nil" w:sz="6" w:space="0" w:color="auto"/>
              <w:left w:val="single" w:sz="4" w:space="0" w:color="000000"/>
              <w:bottom w:val="nil" w:sz="6" w:space="0" w:color="auto"/>
              <w:right w:val="single" w:sz="4" w:space="0" w:color="000000"/>
            </w:tcBorders>
            <w:shd w:val="clear" w:color="auto" w:fill="D3D3D3"/>
          </w:tcPr>
          <w:p>
            <w:pPr/>
          </w:p>
        </w:tc>
        <w:tc>
          <w:tcPr>
            <w:tcW w:w="1125"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有规定的除</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tcBorders>
              <w:top w:val="nil" w:sz="6" w:space="0" w:color="auto"/>
              <w:left w:val="single" w:sz="4" w:space="0" w:color="000000"/>
              <w:bottom w:val="nil" w:sz="6" w:space="0" w:color="auto"/>
              <w:right w:val="single" w:sz="4" w:space="0" w:color="000000"/>
            </w:tcBorders>
            <w:shd w:val="clear" w:color="auto" w:fill="D3D3D3"/>
          </w:tcPr>
          <w:p>
            <w:pPr/>
          </w:p>
        </w:tc>
        <w:tc>
          <w:tcPr>
            <w:tcW w:w="1125"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外</w:t>
            </w:r>
            <w:r>
              <w:rPr>
                <w:rFonts w:ascii="宋体" w:hAnsi="宋体" w:cs="宋体" w:eastAsia="宋体" w:hint="default"/>
                <w:spacing w:val="-90"/>
                <w:sz w:val="18"/>
                <w:szCs w:val="18"/>
              </w:rPr>
              <w:t>”，</w:t>
            </w:r>
            <w:r>
              <w:rPr>
                <w:rFonts w:ascii="宋体" w:hAnsi="宋体" w:cs="宋体" w:eastAsia="宋体" w:hint="default"/>
                <w:sz w:val="18"/>
                <w:szCs w:val="18"/>
              </w:rPr>
              <w:t>“有境</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tcBorders>
              <w:top w:val="nil" w:sz="6" w:space="0" w:color="auto"/>
              <w:left w:val="single" w:sz="4" w:space="0" w:color="000000"/>
              <w:bottom w:val="nil" w:sz="6" w:space="0" w:color="auto"/>
              <w:right w:val="single" w:sz="4" w:space="0" w:color="000000"/>
            </w:tcBorders>
            <w:shd w:val="clear" w:color="auto" w:fill="D3D3D3"/>
          </w:tcPr>
          <w:p>
            <w:pPr/>
          </w:p>
        </w:tc>
        <w:tc>
          <w:tcPr>
            <w:tcW w:w="1125"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81"/>
                <w:sz w:val="18"/>
                <w:szCs w:val="18"/>
              </w:rPr>
              <w:t>外</w:t>
            </w:r>
            <w:r>
              <w:rPr>
                <w:rFonts w:ascii="宋体" w:hAnsi="宋体" w:cs="宋体" w:eastAsia="宋体" w:hint="default"/>
                <w:sz w:val="18"/>
                <w:szCs w:val="18"/>
              </w:rPr>
              <w:t>（含香港、</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tcBorders>
              <w:top w:val="nil" w:sz="6" w:space="0" w:color="auto"/>
              <w:left w:val="single" w:sz="4" w:space="0" w:color="000000"/>
              <w:bottom w:val="nil" w:sz="6" w:space="0" w:color="auto"/>
              <w:right w:val="single" w:sz="4" w:space="0" w:color="000000"/>
            </w:tcBorders>
            <w:shd w:val="clear" w:color="auto" w:fill="D3D3D3"/>
          </w:tcPr>
          <w:p>
            <w:pPr/>
          </w:p>
        </w:tc>
        <w:tc>
          <w:tcPr>
            <w:tcW w:w="1125"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澳门</w:t>
            </w:r>
            <w:r>
              <w:rPr>
                <w:rFonts w:ascii="宋体" w:hAnsi="宋体" w:cs="宋体" w:eastAsia="宋体" w:hint="default"/>
                <w:spacing w:val="-81"/>
                <w:sz w:val="18"/>
                <w:szCs w:val="18"/>
              </w:rPr>
              <w:t>、</w:t>
            </w:r>
            <w:r>
              <w:rPr>
                <w:rFonts w:ascii="宋体" w:hAnsi="宋体" w:cs="宋体" w:eastAsia="宋体" w:hint="default"/>
                <w:sz w:val="18"/>
                <w:szCs w:val="18"/>
              </w:rPr>
              <w:t>台湾）</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tcBorders>
              <w:top w:val="nil" w:sz="6" w:space="0" w:color="auto"/>
              <w:left w:val="single" w:sz="4" w:space="0" w:color="000000"/>
              <w:bottom w:val="nil" w:sz="6" w:space="0" w:color="auto"/>
              <w:right w:val="single" w:sz="4" w:space="0" w:color="000000"/>
            </w:tcBorders>
            <w:shd w:val="clear" w:color="auto" w:fill="D3D3D3"/>
          </w:tcPr>
          <w:p>
            <w:pPr/>
          </w:p>
        </w:tc>
        <w:tc>
          <w:tcPr>
            <w:tcW w:w="1125"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组织</w:t>
            </w:r>
            <w:r>
              <w:rPr>
                <w:rFonts w:ascii="宋体" w:hAnsi="宋体" w:cs="宋体" w:eastAsia="宋体" w:hint="default"/>
                <w:spacing w:val="-81"/>
                <w:sz w:val="18"/>
                <w:szCs w:val="18"/>
              </w:rPr>
              <w:t>、</w:t>
            </w:r>
            <w:r>
              <w:rPr>
                <w:rFonts w:ascii="宋体" w:hAnsi="宋体" w:cs="宋体" w:eastAsia="宋体" w:hint="default"/>
                <w:sz w:val="18"/>
                <w:szCs w:val="18"/>
              </w:rPr>
              <w:t>机构、</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836" w:type="dxa"/>
            <w:tcBorders>
              <w:top w:val="nil" w:sz="6" w:space="0" w:color="auto"/>
              <w:left w:val="single" w:sz="4" w:space="0" w:color="000000"/>
              <w:bottom w:val="nil" w:sz="6" w:space="0" w:color="auto"/>
              <w:right w:val="single" w:sz="4" w:space="0" w:color="000000"/>
            </w:tcBorders>
            <w:shd w:val="clear" w:color="auto" w:fill="D3D3D3"/>
          </w:tcPr>
          <w:p>
            <w:pPr/>
          </w:p>
        </w:tc>
        <w:tc>
          <w:tcPr>
            <w:tcW w:w="1125"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人员控股或</w:t>
            </w:r>
          </w:p>
        </w:tc>
        <w:tc>
          <w:tcPr>
            <w:tcW w:w="1126"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07"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2836" w:type="dxa"/>
            <w:tcBorders>
              <w:top w:val="nil" w:sz="6" w:space="0" w:color="auto"/>
              <w:left w:val="single" w:sz="4" w:space="0" w:color="000000"/>
              <w:bottom w:val="single" w:sz="4" w:space="0" w:color="000000"/>
              <w:right w:val="single" w:sz="4" w:space="0" w:color="000000"/>
            </w:tcBorders>
            <w:shd w:val="clear" w:color="auto" w:fill="D3D3D3"/>
          </w:tcPr>
          <w:p>
            <w:pPr/>
          </w:p>
        </w:tc>
        <w:tc>
          <w:tcPr>
            <w:tcW w:w="1125" w:type="dxa"/>
            <w:tcBorders>
              <w:top w:val="nil" w:sz="6" w:space="0" w:color="auto"/>
              <w:left w:val="single" w:sz="4" w:space="0" w:color="000000"/>
              <w:bottom w:val="single" w:sz="4" w:space="0" w:color="000000"/>
              <w:right w:val="single" w:sz="4" w:space="0" w:color="000000"/>
            </w:tcBorders>
          </w:tcPr>
          <w:p>
            <w:pPr/>
          </w:p>
        </w:tc>
        <w:tc>
          <w:tcPr>
            <w:tcW w:w="1126" w:type="dxa"/>
            <w:tcBorders>
              <w:top w:val="nil" w:sz="6" w:space="0" w:color="auto"/>
              <w:left w:val="single" w:sz="4" w:space="0" w:color="000000"/>
              <w:bottom w:val="single" w:sz="4" w:space="0" w:color="000000"/>
              <w:right w:val="single" w:sz="4" w:space="0" w:color="000000"/>
            </w:tcBorders>
          </w:tcPr>
          <w:p>
            <w:pPr/>
          </w:p>
        </w:tc>
        <w:tc>
          <w:tcPr>
            <w:tcW w:w="112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者参与经营</w:t>
            </w:r>
          </w:p>
        </w:tc>
        <w:tc>
          <w:tcPr>
            <w:tcW w:w="1126" w:type="dxa"/>
            <w:tcBorders>
              <w:top w:val="nil" w:sz="6" w:space="0" w:color="auto"/>
              <w:left w:val="single" w:sz="4" w:space="0" w:color="000000"/>
              <w:bottom w:val="single" w:sz="4" w:space="0" w:color="000000"/>
              <w:right w:val="single" w:sz="4" w:space="0" w:color="000000"/>
            </w:tcBorders>
          </w:tcPr>
          <w:p>
            <w:pPr/>
          </w:p>
        </w:tc>
        <w:tc>
          <w:tcPr>
            <w:tcW w:w="1121" w:type="dxa"/>
            <w:tcBorders>
              <w:top w:val="nil" w:sz="6" w:space="0" w:color="auto"/>
              <w:left w:val="single" w:sz="4" w:space="0" w:color="000000"/>
              <w:bottom w:val="single" w:sz="4" w:space="0" w:color="000000"/>
              <w:right w:val="single" w:sz="4" w:space="0" w:color="000000"/>
            </w:tcBorders>
          </w:tcPr>
          <w:p>
            <w:pPr/>
          </w:p>
        </w:tc>
        <w:tc>
          <w:tcPr>
            <w:tcW w:w="1107" w:type="dxa"/>
            <w:tcBorders>
              <w:top w:val="nil" w:sz="6" w:space="0" w:color="auto"/>
              <w:left w:val="single" w:sz="4" w:space="0" w:color="000000"/>
              <w:bottom w:val="single" w:sz="4" w:space="0" w:color="000000"/>
              <w:right w:val="single" w:sz="4" w:space="0" w:color="000000"/>
            </w:tcBorders>
          </w:tcPr>
          <w:p>
            <w:pPr/>
          </w:p>
        </w:tc>
      </w:tr>
    </w:tbl>
    <w:p>
      <w:pPr>
        <w:spacing w:after="0"/>
        <w:sectPr>
          <w:pgSz w:w="11910" w:h="16840"/>
          <w:pgMar w:header="906" w:footer="1018" w:top="1100" w:bottom="1200" w:left="1020" w:right="0"/>
        </w:sectPr>
      </w:pPr>
    </w:p>
    <w:p>
      <w:pPr>
        <w:spacing w:line="240" w:lineRule="auto" w:before="0"/>
        <w:rPr>
          <w:rFonts w:ascii="Times New Roman" w:hAnsi="Times New Roman" w:cs="Times New Roman" w:eastAsia="Times New Roman" w:hint="default"/>
          <w:sz w:val="29"/>
          <w:szCs w:val="29"/>
        </w:rPr>
      </w:pPr>
    </w:p>
    <w:tbl>
      <w:tblPr>
        <w:tblW w:w="0" w:type="auto"/>
        <w:jc w:val="left"/>
        <w:tblInd w:w="109" w:type="dxa"/>
        <w:tblLayout w:type="fixed"/>
        <w:tblCellMar>
          <w:top w:w="0" w:type="dxa"/>
          <w:left w:w="0" w:type="dxa"/>
          <w:bottom w:w="0" w:type="dxa"/>
          <w:right w:w="0" w:type="dxa"/>
        </w:tblCellMar>
        <w:tblLook w:val="01E0"/>
      </w:tblPr>
      <w:tblGrid>
        <w:gridCol w:w="2836"/>
        <w:gridCol w:w="1125"/>
        <w:gridCol w:w="1126"/>
        <w:gridCol w:w="1126"/>
        <w:gridCol w:w="1126"/>
        <w:gridCol w:w="1121"/>
        <w:gridCol w:w="1107"/>
      </w:tblGrid>
      <w:tr>
        <w:trPr>
          <w:trHeight w:val="316" w:hRule="exact"/>
        </w:trPr>
        <w:tc>
          <w:tcPr>
            <w:tcW w:w="2836" w:type="dxa"/>
            <w:vMerge w:val="restart"/>
            <w:tcBorders>
              <w:top w:val="single" w:sz="4" w:space="0" w:color="000000"/>
              <w:left w:val="single" w:sz="4" w:space="0" w:color="000000"/>
              <w:right w:val="single" w:sz="4" w:space="0" w:color="000000"/>
            </w:tcBorders>
            <w:shd w:val="clear" w:color="auto" w:fill="D3D3D3"/>
          </w:tcPr>
          <w:p>
            <w:pPr/>
          </w:p>
        </w:tc>
        <w:tc>
          <w:tcPr>
            <w:tcW w:w="1125" w:type="dxa"/>
            <w:vMerge w:val="restart"/>
            <w:tcBorders>
              <w:top w:val="single" w:sz="4" w:space="0" w:color="000000"/>
              <w:left w:val="single" w:sz="4" w:space="0" w:color="000000"/>
              <w:right w:val="single" w:sz="4" w:space="0" w:color="000000"/>
            </w:tcBorders>
          </w:tcPr>
          <w:p>
            <w:pPr/>
          </w:p>
        </w:tc>
        <w:tc>
          <w:tcPr>
            <w:tcW w:w="1126" w:type="dxa"/>
            <w:vMerge w:val="restart"/>
            <w:tcBorders>
              <w:top w:val="single" w:sz="4" w:space="0" w:color="000000"/>
              <w:left w:val="single" w:sz="4" w:space="0" w:color="000000"/>
              <w:right w:val="single" w:sz="4" w:space="0" w:color="000000"/>
            </w:tcBorders>
          </w:tcPr>
          <w:p>
            <w:pPr/>
          </w:p>
        </w:tc>
        <w:tc>
          <w:tcPr>
            <w:tcW w:w="112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管理的，不</w:t>
            </w:r>
          </w:p>
        </w:tc>
        <w:tc>
          <w:tcPr>
            <w:tcW w:w="1126" w:type="dxa"/>
            <w:vMerge w:val="restart"/>
            <w:tcBorders>
              <w:top w:val="single" w:sz="4" w:space="0" w:color="000000"/>
              <w:left w:val="single" w:sz="4" w:space="0" w:color="000000"/>
              <w:right w:val="single" w:sz="4" w:space="0" w:color="000000"/>
            </w:tcBorders>
          </w:tcPr>
          <w:p>
            <w:pPr/>
          </w:p>
        </w:tc>
        <w:tc>
          <w:tcPr>
            <w:tcW w:w="1121" w:type="dxa"/>
            <w:vMerge w:val="restart"/>
            <w:tcBorders>
              <w:top w:val="single" w:sz="4" w:space="0" w:color="000000"/>
              <w:left w:val="single" w:sz="4" w:space="0" w:color="000000"/>
              <w:right w:val="single" w:sz="4" w:space="0" w:color="000000"/>
            </w:tcBorders>
          </w:tcPr>
          <w:p>
            <w:pPr/>
          </w:p>
        </w:tc>
        <w:tc>
          <w:tcPr>
            <w:tcW w:w="1107" w:type="dxa"/>
            <w:vMerge w:val="restart"/>
            <w:tcBorders>
              <w:top w:val="single" w:sz="4" w:space="0" w:color="000000"/>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得授予国家</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统一考试试</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卷、涉密防</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伪票据证书</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印制资质”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等规定，为</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确保公司持</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有涉密资质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期间，公司</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实际控制人</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始终为中</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方，钱京先</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生承诺如</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下：恒宝股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份有限公司</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在持有国家</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秘密载体印</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制甲级涉密</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防伪票据证</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书资质期</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间，不向影</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响保密条款</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的自然人或</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3D3D3"/>
          </w:tcPr>
          <w:p>
            <w:pPr/>
          </w:p>
        </w:tc>
        <w:tc>
          <w:tcPr>
            <w:tcW w:w="1125"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机构出售股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7" w:type="dxa"/>
            <w:vMerge/>
            <w:tcBorders>
              <w:left w:val="single" w:sz="4" w:space="0" w:color="000000"/>
              <w:right w:val="single" w:sz="4" w:space="0" w:color="000000"/>
            </w:tcBorders>
          </w:tcPr>
          <w:p>
            <w:pPr/>
          </w:p>
        </w:tc>
      </w:tr>
      <w:tr>
        <w:trPr>
          <w:trHeight w:val="358" w:hRule="exact"/>
        </w:trPr>
        <w:tc>
          <w:tcPr>
            <w:tcW w:w="2836" w:type="dxa"/>
            <w:vMerge/>
            <w:tcBorders>
              <w:left w:val="single" w:sz="4" w:space="0" w:color="000000"/>
              <w:bottom w:val="single" w:sz="4" w:space="0" w:color="000000"/>
              <w:right w:val="single" w:sz="4" w:space="0" w:color="000000"/>
            </w:tcBorders>
            <w:shd w:val="clear" w:color="auto" w:fill="D3D3D3"/>
          </w:tcPr>
          <w:p>
            <w:pPr/>
          </w:p>
        </w:tc>
        <w:tc>
          <w:tcPr>
            <w:tcW w:w="1125" w:type="dxa"/>
            <w:vMerge/>
            <w:tcBorders>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112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票。</w:t>
            </w:r>
          </w:p>
        </w:tc>
        <w:tc>
          <w:tcPr>
            <w:tcW w:w="1126" w:type="dxa"/>
            <w:vMerge/>
            <w:tcBorders>
              <w:left w:val="single" w:sz="4" w:space="0" w:color="000000"/>
              <w:bottom w:val="single" w:sz="4" w:space="0" w:color="000000"/>
              <w:right w:val="single" w:sz="4" w:space="0" w:color="000000"/>
            </w:tcBorders>
          </w:tcPr>
          <w:p>
            <w:pPr/>
          </w:p>
        </w:tc>
        <w:tc>
          <w:tcPr>
            <w:tcW w:w="1121" w:type="dxa"/>
            <w:vMerge/>
            <w:tcBorders>
              <w:left w:val="single" w:sz="4" w:space="0" w:color="000000"/>
              <w:bottom w:val="single" w:sz="4" w:space="0" w:color="000000"/>
              <w:right w:val="single" w:sz="4" w:space="0" w:color="000000"/>
            </w:tcBorders>
          </w:tcPr>
          <w:p>
            <w:pPr/>
          </w:p>
        </w:tc>
        <w:tc>
          <w:tcPr>
            <w:tcW w:w="1107" w:type="dxa"/>
            <w:vMerge/>
            <w:tcBorders>
              <w:left w:val="single" w:sz="4" w:space="0" w:color="000000"/>
              <w:bottom w:val="single" w:sz="4" w:space="0" w:color="000000"/>
              <w:right w:val="single" w:sz="4" w:space="0" w:color="000000"/>
            </w:tcBorders>
          </w:tcPr>
          <w:p>
            <w:pPr/>
          </w:p>
        </w:tc>
      </w:tr>
      <w:tr>
        <w:trPr>
          <w:trHeight w:val="402" w:hRule="exact"/>
        </w:trPr>
        <w:tc>
          <w:tcPr>
            <w:tcW w:w="283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承诺是否按时履行</w:t>
            </w:r>
          </w:p>
        </w:tc>
        <w:tc>
          <w:tcPr>
            <w:tcW w:w="6731"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356" w:hRule="exact"/>
        </w:trPr>
        <w:tc>
          <w:tcPr>
            <w:tcW w:w="2836" w:type="dxa"/>
            <w:tcBorders>
              <w:top w:val="single" w:sz="4" w:space="0" w:color="000000"/>
              <w:left w:val="single" w:sz="4" w:space="0" w:color="000000"/>
              <w:bottom w:val="nil" w:sz="6" w:space="0" w:color="auto"/>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如承诺超期未履行完毕的</w:t>
            </w:r>
            <w:r>
              <w:rPr>
                <w:rFonts w:ascii="宋体" w:hAnsi="宋体" w:cs="宋体" w:eastAsia="宋体" w:hint="default"/>
                <w:spacing w:val="-80"/>
                <w:sz w:val="18"/>
                <w:szCs w:val="18"/>
              </w:rPr>
              <w:t>，</w:t>
            </w:r>
            <w:r>
              <w:rPr>
                <w:rFonts w:ascii="宋体" w:hAnsi="宋体" w:cs="宋体" w:eastAsia="宋体" w:hint="default"/>
                <w:sz w:val="18"/>
                <w:szCs w:val="18"/>
              </w:rPr>
              <w:t>应当详</w:t>
            </w:r>
          </w:p>
        </w:tc>
        <w:tc>
          <w:tcPr>
            <w:tcW w:w="6731" w:type="dxa"/>
            <w:gridSpan w:val="6"/>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2836"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细说明未完成履行的具体原因及</w:t>
            </w:r>
          </w:p>
        </w:tc>
        <w:tc>
          <w:tcPr>
            <w:tcW w:w="6731" w:type="dxa"/>
            <w:gridSpan w:val="6"/>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358" w:hRule="exact"/>
        </w:trPr>
        <w:tc>
          <w:tcPr>
            <w:tcW w:w="2836" w:type="dxa"/>
            <w:tcBorders>
              <w:top w:val="nil" w:sz="6" w:space="0" w:color="auto"/>
              <w:left w:val="single" w:sz="4" w:space="0" w:color="000000"/>
              <w:bottom w:val="single" w:sz="4" w:space="0" w:color="000000"/>
              <w:right w:val="single" w:sz="4" w:space="0" w:color="000000"/>
            </w:tcBorders>
            <w:shd w:val="clear" w:color="auto" w:fill="D3D3D3"/>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下一步的工作计划</w:t>
            </w:r>
          </w:p>
        </w:tc>
        <w:tc>
          <w:tcPr>
            <w:tcW w:w="6731" w:type="dxa"/>
            <w:gridSpan w:val="6"/>
            <w:tcBorders>
              <w:top w:val="nil" w:sz="6" w:space="0" w:color="auto"/>
              <w:left w:val="single" w:sz="4" w:space="0" w:color="000000"/>
              <w:bottom w:val="single" w:sz="4" w:space="0" w:color="000000"/>
              <w:right w:val="single" w:sz="4" w:space="0" w:color="000000"/>
            </w:tcBorders>
          </w:tcPr>
          <w:p>
            <w:pPr/>
          </w:p>
        </w:tc>
      </w:tr>
    </w:tbl>
    <w:p>
      <w:pPr>
        <w:spacing w:line="240" w:lineRule="auto" w:before="9"/>
        <w:rPr>
          <w:rFonts w:ascii="Times New Roman" w:hAnsi="Times New Roman" w:cs="Times New Roman" w:eastAsia="Times New Roman" w:hint="default"/>
          <w:sz w:val="21"/>
          <w:szCs w:val="21"/>
        </w:rPr>
      </w:pPr>
    </w:p>
    <w:p>
      <w:pPr>
        <w:pStyle w:val="Heading3"/>
        <w:spacing w:line="259" w:lineRule="auto" w:before="35"/>
        <w:ind w:right="0"/>
        <w:jc w:val="left"/>
        <w:rPr>
          <w:b w:val="0"/>
          <w:bCs w:val="0"/>
        </w:rPr>
      </w:pPr>
      <w:r>
        <w:rPr>
          <w:rFonts w:ascii="Times New Roman" w:hAnsi="Times New Roman" w:cs="Times New Roman" w:eastAsia="Times New Roman" w:hint="default"/>
        </w:rPr>
        <w:t>2</w:t>
      </w:r>
      <w:r>
        <w:rPr/>
        <w:t>、公司资产或项目存在盈利预测，且报告期仍处在盈利预测期间，公司就资产或项目达到原盈利预测及</w:t>
      </w:r>
      <w:r>
        <w:rPr>
          <w:spacing w:val="-55"/>
        </w:rPr>
        <w:t> </w:t>
      </w:r>
      <w:r>
        <w:rPr>
          <w:spacing w:val="-55"/>
        </w:rPr>
      </w:r>
      <w:r>
        <w:rPr/>
        <w:t>其原因做出说明</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
        <w:rPr>
          <w:rFonts w:ascii="宋体" w:hAnsi="宋体" w:cs="宋体" w:eastAsia="宋体" w:hint="default"/>
          <w:sz w:val="25"/>
          <w:szCs w:val="25"/>
        </w:rPr>
      </w:pPr>
    </w:p>
    <w:p>
      <w:pPr>
        <w:pStyle w:val="Heading2"/>
        <w:spacing w:line="240" w:lineRule="auto"/>
        <w:ind w:right="0"/>
        <w:jc w:val="left"/>
        <w:rPr>
          <w:b w:val="0"/>
          <w:bCs w:val="0"/>
        </w:rPr>
      </w:pPr>
      <w:r>
        <w:rPr/>
        <w:t>四、控股股东及其关联方对上市公司的非经营性占用资金情况</w:t>
      </w:r>
      <w:r>
        <w:rPr>
          <w:b w:val="0"/>
          <w:bCs w:val="0"/>
        </w:rPr>
      </w:r>
    </w:p>
    <w:p>
      <w:pPr>
        <w:spacing w:line="240" w:lineRule="auto" w:before="7"/>
        <w:rPr>
          <w:rFonts w:ascii="宋体" w:hAnsi="宋体" w:cs="宋体" w:eastAsia="宋体" w:hint="default"/>
          <w:b/>
          <w:bCs/>
          <w:sz w:val="26"/>
          <w:szCs w:val="26"/>
        </w:rPr>
      </w:pPr>
    </w:p>
    <w:p>
      <w:pPr>
        <w:pStyle w:val="BodyText"/>
        <w:spacing w:line="357" w:lineRule="auto"/>
        <w:ind w:right="4992"/>
        <w:jc w:val="left"/>
      </w:pPr>
      <w:r>
        <w:rPr/>
        <w:t>□ 适用 √ 不适用 公司报告期不存在控股股东及其关联方对上市公司的非经营性占用资金。</w:t>
      </w:r>
    </w:p>
    <w:p>
      <w:pPr>
        <w:spacing w:after="0" w:line="357" w:lineRule="auto"/>
        <w:jc w:val="left"/>
        <w:sectPr>
          <w:pgSz w:w="11910" w:h="16840"/>
          <w:pgMar w:header="906" w:footer="1018" w:top="1100" w:bottom="1200" w:left="1020" w:right="0"/>
        </w:sectPr>
      </w:pPr>
    </w:p>
    <w:p>
      <w:pPr>
        <w:spacing w:line="240" w:lineRule="auto" w:before="8"/>
        <w:rPr>
          <w:rFonts w:ascii="宋体" w:hAnsi="宋体" w:cs="宋体" w:eastAsia="宋体" w:hint="default"/>
          <w:sz w:val="20"/>
          <w:szCs w:val="20"/>
        </w:rPr>
      </w:pPr>
    </w:p>
    <w:p>
      <w:pPr>
        <w:pStyle w:val="Heading2"/>
        <w:spacing w:line="240" w:lineRule="auto" w:before="26"/>
        <w:ind w:right="1032"/>
        <w:jc w:val="left"/>
        <w:rPr>
          <w:b w:val="0"/>
          <w:bCs w:val="0"/>
        </w:rPr>
      </w:pPr>
      <w:r>
        <w:rPr/>
        <w:t>五、董事会、监事会、独立董事（如有）对会计师事务所本报告期“非标准审计报告”的说</w:t>
      </w:r>
      <w:r>
        <w:rPr>
          <w:spacing w:val="-109"/>
        </w:rPr>
        <w:t> </w:t>
      </w:r>
      <w:r>
        <w:rPr>
          <w:spacing w:val="-109"/>
        </w:rPr>
      </w:r>
      <w:r>
        <w:rPr/>
        <w:t>明</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
        <w:rPr>
          <w:rFonts w:ascii="宋体" w:hAnsi="宋体" w:cs="宋体" w:eastAsia="宋体" w:hint="default"/>
          <w:sz w:val="25"/>
          <w:szCs w:val="25"/>
        </w:rPr>
      </w:pPr>
    </w:p>
    <w:p>
      <w:pPr>
        <w:pStyle w:val="Heading2"/>
        <w:spacing w:line="240" w:lineRule="auto"/>
        <w:ind w:right="0"/>
        <w:jc w:val="left"/>
        <w:rPr>
          <w:b w:val="0"/>
          <w:bCs w:val="0"/>
        </w:rPr>
      </w:pPr>
      <w:r>
        <w:rPr/>
        <w:t>六、与上年度财务报告相比，会计政策、会计估计和核算方法发生变化的情况说明</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 适用 □ 不适用</w:t>
      </w:r>
    </w:p>
    <w:p>
      <w:pPr>
        <w:pStyle w:val="BodyText"/>
        <w:spacing w:line="240" w:lineRule="auto" w:before="116"/>
        <w:ind w:right="0"/>
        <w:jc w:val="left"/>
      </w:pPr>
      <w:r>
        <w:rPr/>
        <w:t>详见第十二节、五</w:t>
      </w:r>
      <w:r>
        <w:rPr>
          <w:rFonts w:ascii="Times New Roman" w:hAnsi="Times New Roman" w:cs="Times New Roman" w:eastAsia="Times New Roman" w:hint="default"/>
        </w:rPr>
        <w:t>-44</w:t>
      </w:r>
      <w:r>
        <w:rPr/>
        <w:t>重要会计政策和会计估计变更</w:t>
      </w:r>
    </w:p>
    <w:p>
      <w:pPr>
        <w:spacing w:line="240" w:lineRule="auto" w:before="1"/>
        <w:rPr>
          <w:rFonts w:ascii="宋体" w:hAnsi="宋体" w:cs="宋体" w:eastAsia="宋体" w:hint="default"/>
          <w:sz w:val="24"/>
          <w:szCs w:val="24"/>
        </w:rPr>
      </w:pPr>
    </w:p>
    <w:p>
      <w:pPr>
        <w:pStyle w:val="Heading2"/>
        <w:spacing w:line="240" w:lineRule="auto"/>
        <w:ind w:right="0"/>
        <w:jc w:val="left"/>
        <w:rPr>
          <w:b w:val="0"/>
          <w:bCs w:val="0"/>
        </w:rPr>
      </w:pPr>
      <w:r>
        <w:rPr/>
        <w:t>七、报告期内发生重大会计差错更正需追溯重述的情况说明</w:t>
      </w:r>
      <w:r>
        <w:rPr>
          <w:b w:val="0"/>
          <w:bCs w:val="0"/>
        </w:rPr>
      </w:r>
    </w:p>
    <w:p>
      <w:pPr>
        <w:spacing w:line="240" w:lineRule="auto" w:before="8"/>
        <w:rPr>
          <w:rFonts w:ascii="宋体" w:hAnsi="宋体" w:cs="宋体" w:eastAsia="宋体" w:hint="default"/>
          <w:b/>
          <w:bCs/>
          <w:sz w:val="26"/>
          <w:szCs w:val="26"/>
        </w:rPr>
      </w:pPr>
    </w:p>
    <w:p>
      <w:pPr>
        <w:pStyle w:val="BodyText"/>
        <w:spacing w:line="357" w:lineRule="auto"/>
        <w:ind w:right="6612"/>
        <w:jc w:val="left"/>
      </w:pPr>
      <w:r>
        <w:rPr/>
        <w:t>□ 适用 √ 不适用 公司报告期无重大会计差错更正需追溯重述的情况。</w:t>
      </w:r>
    </w:p>
    <w:p>
      <w:pPr>
        <w:spacing w:line="240" w:lineRule="auto" w:before="5"/>
        <w:rPr>
          <w:rFonts w:ascii="宋体" w:hAnsi="宋体" w:cs="宋体" w:eastAsia="宋体" w:hint="default"/>
          <w:sz w:val="18"/>
          <w:szCs w:val="18"/>
        </w:rPr>
      </w:pPr>
    </w:p>
    <w:p>
      <w:pPr>
        <w:pStyle w:val="Heading2"/>
        <w:spacing w:line="240" w:lineRule="auto"/>
        <w:ind w:right="0"/>
        <w:jc w:val="left"/>
        <w:rPr>
          <w:b w:val="0"/>
          <w:bCs w:val="0"/>
        </w:rPr>
      </w:pPr>
      <w:r>
        <w:rPr/>
        <w:t>八、与上年度财务报告相比，合并报表范围发生变化的情况说明</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 适用 □ 不适用</w:t>
      </w:r>
    </w:p>
    <w:p>
      <w:pPr>
        <w:pStyle w:val="BodyText"/>
        <w:spacing w:line="300" w:lineRule="auto" w:before="116"/>
        <w:ind w:right="1122"/>
        <w:jc w:val="left"/>
      </w:pPr>
      <w:r>
        <w:rPr>
          <w:spacing w:val="-3"/>
        </w:rPr>
        <w:t>报告期内，公司在马来西亚投资收购</w:t>
      </w:r>
      <w:r>
        <w:rPr>
          <w:rFonts w:ascii="Times New Roman" w:hAnsi="Times New Roman" w:cs="Times New Roman" w:eastAsia="Times New Roman" w:hint="default"/>
          <w:spacing w:val="-3"/>
        </w:rPr>
        <w:t>“Modularsoft </w:t>
      </w:r>
      <w:r>
        <w:rPr>
          <w:rFonts w:ascii="Times New Roman" w:hAnsi="Times New Roman" w:cs="Times New Roman" w:eastAsia="Times New Roman" w:hint="default"/>
        </w:rPr>
        <w:t>Sdn. Bhd. ”</w:t>
      </w:r>
      <w:r>
        <w:rPr/>
        <w:t>和</w:t>
      </w:r>
      <w:r>
        <w:rPr>
          <w:rFonts w:ascii="Times New Roman" w:hAnsi="Times New Roman" w:cs="Times New Roman" w:eastAsia="Times New Roman" w:hint="default"/>
        </w:rPr>
        <w:t>“Asia Smart Cards Centre(M) Sdn.Bhd.</w:t>
      </w:r>
      <w:r>
        <w:rPr>
          <w:rFonts w:ascii="Times New Roman" w:hAnsi="Times New Roman" w:cs="Times New Roman" w:eastAsia="Times New Roman" w:hint="default"/>
          <w:spacing w:val="8"/>
        </w:rPr>
        <w:t> </w:t>
      </w:r>
      <w:r>
        <w:rPr>
          <w:rFonts w:ascii="Times New Roman" w:hAnsi="Times New Roman" w:cs="Times New Roman" w:eastAsia="Times New Roman" w:hint="default"/>
        </w:rPr>
        <w:t>”</w:t>
      </w:r>
      <w:r>
        <w:rPr/>
        <w:t>孙公司及在印度尼西亚 投资设立子公司</w:t>
      </w:r>
      <w:r>
        <w:rPr>
          <w:rFonts w:ascii="Times New Roman" w:hAnsi="Times New Roman" w:cs="Times New Roman" w:eastAsia="Times New Roman" w:hint="default"/>
        </w:rPr>
        <w:t>“PT.Chipstone Technologies</w:t>
      </w:r>
      <w:r>
        <w:rPr>
          <w:rFonts w:ascii="Times New Roman" w:hAnsi="Times New Roman" w:cs="Times New Roman" w:eastAsia="Times New Roman" w:hint="default"/>
          <w:spacing w:val="-36"/>
        </w:rPr>
        <w:t> </w:t>
      </w:r>
      <w:r>
        <w:rPr>
          <w:rFonts w:ascii="Times New Roman" w:hAnsi="Times New Roman" w:cs="Times New Roman" w:eastAsia="Times New Roman" w:hint="default"/>
        </w:rPr>
        <w:t>Indonesia”</w:t>
      </w:r>
      <w:r>
        <w:rPr/>
        <w:t>，纳入合并范围。</w:t>
      </w:r>
    </w:p>
    <w:p>
      <w:pPr>
        <w:spacing w:line="240" w:lineRule="auto" w:before="3"/>
        <w:rPr>
          <w:rFonts w:ascii="宋体" w:hAnsi="宋体" w:cs="宋体" w:eastAsia="宋体" w:hint="default"/>
          <w:sz w:val="20"/>
          <w:szCs w:val="20"/>
        </w:rPr>
      </w:pPr>
    </w:p>
    <w:p>
      <w:pPr>
        <w:pStyle w:val="Heading2"/>
        <w:spacing w:line="240" w:lineRule="auto"/>
        <w:ind w:right="0"/>
        <w:jc w:val="left"/>
        <w:rPr>
          <w:b w:val="0"/>
          <w:bCs w:val="0"/>
        </w:rPr>
      </w:pPr>
      <w:r>
        <w:rPr/>
        <w:t>九、聘任、解聘会计师事务所情况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现聘任的会计师事务所</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4791"/>
        <w:gridCol w:w="4777"/>
      </w:tblGrid>
      <w:tr>
        <w:trPr>
          <w:trHeight w:val="402" w:hRule="exact"/>
        </w:trPr>
        <w:tc>
          <w:tcPr>
            <w:tcW w:w="47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境内会计师事务所名称</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上会会计师事务所（特殊普通合伙）</w:t>
            </w:r>
          </w:p>
        </w:tc>
      </w:tr>
      <w:tr>
        <w:trPr>
          <w:trHeight w:val="402" w:hRule="exact"/>
        </w:trPr>
        <w:tc>
          <w:tcPr>
            <w:tcW w:w="47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境内会计师事务所报酬（万元）</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02" w:right="0"/>
              <w:jc w:val="left"/>
              <w:rPr>
                <w:rFonts w:ascii="Times New Roman" w:hAnsi="Times New Roman" w:cs="Times New Roman" w:eastAsia="Times New Roman" w:hint="default"/>
                <w:sz w:val="18"/>
                <w:szCs w:val="18"/>
              </w:rPr>
            </w:pPr>
            <w:r>
              <w:rPr>
                <w:rFonts w:ascii="Times New Roman"/>
                <w:sz w:val="18"/>
              </w:rPr>
              <w:t>70</w:t>
            </w:r>
          </w:p>
        </w:tc>
      </w:tr>
      <w:tr>
        <w:trPr>
          <w:trHeight w:val="402" w:hRule="exact"/>
        </w:trPr>
        <w:tc>
          <w:tcPr>
            <w:tcW w:w="47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境内会计师事务所审计服务的连续年限</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02" w:right="0"/>
              <w:jc w:val="left"/>
              <w:rPr>
                <w:rFonts w:ascii="Times New Roman" w:hAnsi="Times New Roman" w:cs="Times New Roman" w:eastAsia="Times New Roman" w:hint="default"/>
                <w:sz w:val="18"/>
                <w:szCs w:val="18"/>
              </w:rPr>
            </w:pPr>
            <w:r>
              <w:rPr>
                <w:rFonts w:ascii="Times New Roman"/>
                <w:sz w:val="18"/>
              </w:rPr>
              <w:t>3</w:t>
            </w:r>
          </w:p>
        </w:tc>
      </w:tr>
      <w:tr>
        <w:trPr>
          <w:trHeight w:val="402" w:hRule="exact"/>
        </w:trPr>
        <w:tc>
          <w:tcPr>
            <w:tcW w:w="47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境内会计师事务所注册会计师姓名</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耿磊 赵彧非</w:t>
            </w:r>
          </w:p>
        </w:tc>
      </w:tr>
      <w:tr>
        <w:trPr>
          <w:trHeight w:val="402" w:hRule="exact"/>
        </w:trPr>
        <w:tc>
          <w:tcPr>
            <w:tcW w:w="47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境内会计师事务所注册会计师审计服务的连续年限</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02" w:right="0"/>
              <w:jc w:val="left"/>
              <w:rPr>
                <w:rFonts w:ascii="Times New Roman" w:hAnsi="Times New Roman" w:cs="Times New Roman" w:eastAsia="Times New Roman" w:hint="default"/>
                <w:sz w:val="18"/>
                <w:szCs w:val="18"/>
              </w:rPr>
            </w:pPr>
            <w:r>
              <w:rPr>
                <w:rFonts w:ascii="Times New Roman"/>
                <w:sz w:val="18"/>
              </w:rPr>
              <w:t>3</w:t>
            </w:r>
          </w:p>
        </w:tc>
      </w:tr>
    </w:tbl>
    <w:p>
      <w:pPr>
        <w:pStyle w:val="BodyText"/>
        <w:spacing w:line="240" w:lineRule="auto" w:before="49"/>
        <w:ind w:right="0"/>
        <w:jc w:val="left"/>
      </w:pPr>
      <w:r>
        <w:rPr/>
        <w:t>当期是否改聘会计师事务所</w:t>
      </w:r>
    </w:p>
    <w:p>
      <w:pPr>
        <w:pStyle w:val="BodyText"/>
        <w:spacing w:line="357" w:lineRule="auto" w:before="116"/>
        <w:ind w:right="6252"/>
        <w:jc w:val="left"/>
      </w:pPr>
      <w:r>
        <w:rPr/>
        <w:t>□ 是 √ 否 聘请内部控制审计会计师事务所、财务顾问或保荐人情况</w:t>
      </w:r>
    </w:p>
    <w:p>
      <w:pPr>
        <w:pStyle w:val="BodyText"/>
        <w:spacing w:line="240" w:lineRule="auto" w:before="28"/>
        <w:ind w:right="0"/>
        <w:jc w:val="left"/>
      </w:pPr>
      <w:r>
        <w:rPr/>
        <w:t>□ 适用 √ 不适用</w:t>
      </w:r>
    </w:p>
    <w:p>
      <w:pPr>
        <w:spacing w:line="240" w:lineRule="auto" w:before="1"/>
        <w:rPr>
          <w:rFonts w:ascii="宋体" w:hAnsi="宋体" w:cs="宋体" w:eastAsia="宋体" w:hint="default"/>
          <w:sz w:val="25"/>
          <w:szCs w:val="25"/>
        </w:rPr>
      </w:pPr>
    </w:p>
    <w:p>
      <w:pPr>
        <w:pStyle w:val="Heading2"/>
        <w:spacing w:line="240" w:lineRule="auto"/>
        <w:ind w:right="0"/>
        <w:jc w:val="left"/>
        <w:rPr>
          <w:b w:val="0"/>
          <w:bCs w:val="0"/>
        </w:rPr>
      </w:pPr>
      <w:r>
        <w:rPr/>
        <w:t>十、年度报告披露后面临暂停上市和终止上市情况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
        <w:rPr>
          <w:rFonts w:ascii="宋体" w:hAnsi="宋体" w:cs="宋体" w:eastAsia="宋体" w:hint="default"/>
          <w:sz w:val="25"/>
          <w:szCs w:val="25"/>
        </w:rPr>
      </w:pPr>
    </w:p>
    <w:p>
      <w:pPr>
        <w:pStyle w:val="Heading2"/>
        <w:spacing w:line="240" w:lineRule="auto"/>
        <w:ind w:right="0"/>
        <w:jc w:val="left"/>
        <w:rPr>
          <w:b w:val="0"/>
          <w:bCs w:val="0"/>
        </w:rPr>
      </w:pPr>
      <w:r>
        <w:rPr/>
        <w:t>十一、破产重整相关事项</w:t>
      </w:r>
      <w:r>
        <w:rPr>
          <w:b w:val="0"/>
          <w:bCs w:val="0"/>
        </w:rPr>
      </w:r>
    </w:p>
    <w:p>
      <w:pPr>
        <w:spacing w:line="240" w:lineRule="auto" w:before="7"/>
        <w:rPr>
          <w:rFonts w:ascii="宋体" w:hAnsi="宋体" w:cs="宋体" w:eastAsia="宋体" w:hint="default"/>
          <w:b/>
          <w:bCs/>
          <w:sz w:val="26"/>
          <w:szCs w:val="26"/>
        </w:rPr>
      </w:pPr>
    </w:p>
    <w:p>
      <w:pPr>
        <w:pStyle w:val="BodyText"/>
        <w:spacing w:line="360" w:lineRule="auto"/>
        <w:ind w:right="7692"/>
        <w:jc w:val="left"/>
      </w:pPr>
      <w:r>
        <w:rPr/>
        <w:t>□ 适用 √ 不适用 公司报告期未发生破产重整相关事项。</w:t>
      </w:r>
    </w:p>
    <w:p>
      <w:pPr>
        <w:spacing w:after="0" w:line="360" w:lineRule="auto"/>
        <w:jc w:val="left"/>
        <w:sectPr>
          <w:pgSz w:w="11910" w:h="16840"/>
          <w:pgMar w:header="906" w:footer="1018" w:top="1100" w:bottom="1200" w:left="1020" w:right="0"/>
        </w:sectPr>
      </w:pPr>
    </w:p>
    <w:p>
      <w:pPr>
        <w:spacing w:line="240" w:lineRule="auto" w:before="8"/>
        <w:rPr>
          <w:rFonts w:ascii="宋体" w:hAnsi="宋体" w:cs="宋体" w:eastAsia="宋体" w:hint="default"/>
          <w:sz w:val="20"/>
          <w:szCs w:val="20"/>
        </w:rPr>
      </w:pPr>
    </w:p>
    <w:p>
      <w:pPr>
        <w:pStyle w:val="Heading2"/>
        <w:spacing w:line="240" w:lineRule="auto" w:before="26"/>
        <w:ind w:right="0"/>
        <w:jc w:val="left"/>
        <w:rPr>
          <w:b w:val="0"/>
          <w:bCs w:val="0"/>
        </w:rPr>
      </w:pPr>
      <w:r>
        <w:rPr/>
        <w:t>十二、重大诉讼、仲裁事项</w:t>
      </w:r>
      <w:r>
        <w:rPr>
          <w:b w:val="0"/>
          <w:bCs w:val="0"/>
        </w:rPr>
      </w:r>
    </w:p>
    <w:p>
      <w:pPr>
        <w:spacing w:line="240" w:lineRule="auto" w:before="7"/>
        <w:rPr>
          <w:rFonts w:ascii="宋体" w:hAnsi="宋体" w:cs="宋体" w:eastAsia="宋体" w:hint="default"/>
          <w:b/>
          <w:bCs/>
          <w:sz w:val="26"/>
          <w:szCs w:val="26"/>
        </w:rPr>
      </w:pPr>
    </w:p>
    <w:p>
      <w:pPr>
        <w:pStyle w:val="BodyText"/>
        <w:spacing w:line="360" w:lineRule="auto"/>
        <w:ind w:right="7692"/>
        <w:jc w:val="left"/>
      </w:pPr>
      <w:r>
        <w:rPr/>
        <w:t>□ 适用 √ 不适用 本报告期公司无重大诉讼、仲裁事项。</w:t>
      </w:r>
    </w:p>
    <w:p>
      <w:pPr>
        <w:spacing w:line="240" w:lineRule="auto" w:before="3"/>
        <w:rPr>
          <w:rFonts w:ascii="宋体" w:hAnsi="宋体" w:cs="宋体" w:eastAsia="宋体" w:hint="default"/>
          <w:sz w:val="18"/>
          <w:szCs w:val="18"/>
        </w:rPr>
      </w:pPr>
    </w:p>
    <w:p>
      <w:pPr>
        <w:pStyle w:val="Heading2"/>
        <w:spacing w:line="240" w:lineRule="auto"/>
        <w:ind w:right="0"/>
        <w:jc w:val="left"/>
        <w:rPr>
          <w:b w:val="0"/>
          <w:bCs w:val="0"/>
        </w:rPr>
      </w:pPr>
      <w:r>
        <w:rPr/>
        <w:t>十三、处罚及整改情况</w:t>
      </w:r>
      <w:r>
        <w:rPr>
          <w:b w:val="0"/>
          <w:bCs w:val="0"/>
        </w:rPr>
      </w:r>
    </w:p>
    <w:p>
      <w:pPr>
        <w:spacing w:line="240" w:lineRule="auto" w:before="7"/>
        <w:rPr>
          <w:rFonts w:ascii="宋体" w:hAnsi="宋体" w:cs="宋体" w:eastAsia="宋体" w:hint="default"/>
          <w:b/>
          <w:bCs/>
          <w:sz w:val="26"/>
          <w:szCs w:val="26"/>
        </w:rPr>
      </w:pPr>
    </w:p>
    <w:p>
      <w:pPr>
        <w:pStyle w:val="BodyText"/>
        <w:spacing w:line="357" w:lineRule="auto"/>
        <w:ind w:right="7872"/>
        <w:jc w:val="left"/>
      </w:pPr>
      <w:r>
        <w:rPr/>
        <w:t>□ 适用 √ 不适用 公司报告期不存在处罚及整改情况。</w:t>
      </w:r>
    </w:p>
    <w:p>
      <w:pPr>
        <w:spacing w:line="240" w:lineRule="auto" w:before="5"/>
        <w:rPr>
          <w:rFonts w:ascii="宋体" w:hAnsi="宋体" w:cs="宋体" w:eastAsia="宋体" w:hint="default"/>
          <w:sz w:val="18"/>
          <w:szCs w:val="18"/>
        </w:rPr>
      </w:pPr>
    </w:p>
    <w:p>
      <w:pPr>
        <w:pStyle w:val="Heading2"/>
        <w:spacing w:line="240" w:lineRule="auto"/>
        <w:ind w:right="0"/>
        <w:jc w:val="left"/>
        <w:rPr>
          <w:b w:val="0"/>
          <w:bCs w:val="0"/>
        </w:rPr>
      </w:pPr>
      <w:r>
        <w:rPr/>
        <w:t>十四、公司及其控股股东、实际控制人的诚信状况</w:t>
      </w:r>
      <w:r>
        <w:rPr>
          <w:b w:val="0"/>
          <w:bCs w:val="0"/>
        </w:rPr>
      </w:r>
    </w:p>
    <w:p>
      <w:pPr>
        <w:spacing w:line="240" w:lineRule="auto" w:before="7"/>
        <w:rPr>
          <w:rFonts w:ascii="宋体" w:hAnsi="宋体" w:cs="宋体" w:eastAsia="宋体" w:hint="default"/>
          <w:b/>
          <w:bCs/>
          <w:sz w:val="26"/>
          <w:szCs w:val="26"/>
        </w:rPr>
      </w:pPr>
    </w:p>
    <w:p>
      <w:pPr>
        <w:pStyle w:val="BodyText"/>
        <w:spacing w:line="338" w:lineRule="auto"/>
        <w:ind w:right="1032"/>
        <w:jc w:val="left"/>
      </w:pPr>
      <w:r>
        <w:rPr/>
        <w:t>√ 适用 □ 不适用 </w:t>
      </w:r>
      <w:r>
        <w:rPr>
          <w:spacing w:val="-2"/>
        </w:rPr>
        <w:t>报告期内，公司及控股股东、实际控制人诚信状况良好，不存在未履行法院生效判决、所负数额较大的债务到期未清偿等情</w:t>
      </w:r>
      <w:r>
        <w:rPr>
          <w:spacing w:val="-66"/>
        </w:rPr>
        <w:t> </w:t>
      </w:r>
      <w:r>
        <w:rPr>
          <w:spacing w:val="-66"/>
        </w:rPr>
      </w:r>
      <w:r>
        <w:rPr/>
        <w:t>况。</w:t>
      </w:r>
    </w:p>
    <w:p>
      <w:pPr>
        <w:spacing w:line="240" w:lineRule="auto" w:before="6"/>
        <w:rPr>
          <w:rFonts w:ascii="宋体" w:hAnsi="宋体" w:cs="宋体" w:eastAsia="宋体" w:hint="default"/>
          <w:sz w:val="19"/>
          <w:szCs w:val="19"/>
        </w:rPr>
      </w:pPr>
    </w:p>
    <w:p>
      <w:pPr>
        <w:pStyle w:val="Heading2"/>
        <w:spacing w:line="240" w:lineRule="auto"/>
        <w:ind w:right="0"/>
        <w:jc w:val="left"/>
        <w:rPr>
          <w:b w:val="0"/>
          <w:bCs w:val="0"/>
        </w:rPr>
      </w:pPr>
      <w:r>
        <w:rPr/>
        <w:t>十五、公司股权激励计划、员工持股计划或其他员工激励措施的实施情况</w:t>
      </w:r>
      <w:r>
        <w:rPr>
          <w:b w:val="0"/>
          <w:bCs w:val="0"/>
        </w:rPr>
      </w:r>
    </w:p>
    <w:p>
      <w:pPr>
        <w:spacing w:line="240" w:lineRule="auto" w:before="8"/>
        <w:rPr>
          <w:rFonts w:ascii="宋体" w:hAnsi="宋体" w:cs="宋体" w:eastAsia="宋体" w:hint="default"/>
          <w:b/>
          <w:bCs/>
          <w:sz w:val="26"/>
          <w:szCs w:val="26"/>
        </w:rPr>
      </w:pPr>
    </w:p>
    <w:p>
      <w:pPr>
        <w:pStyle w:val="BodyText"/>
        <w:spacing w:line="357" w:lineRule="auto"/>
        <w:ind w:right="4452"/>
        <w:jc w:val="left"/>
      </w:pPr>
      <w:r>
        <w:rPr/>
        <w:t>□ 适用 √ 不适用 公司报告期无股权激励计划、员工持股计划或其他员工激励措施及其实施情况。</w:t>
      </w:r>
    </w:p>
    <w:p>
      <w:pPr>
        <w:spacing w:line="240" w:lineRule="auto" w:before="4"/>
        <w:rPr>
          <w:rFonts w:ascii="宋体" w:hAnsi="宋体" w:cs="宋体" w:eastAsia="宋体" w:hint="default"/>
          <w:sz w:val="18"/>
          <w:szCs w:val="18"/>
        </w:rPr>
      </w:pPr>
    </w:p>
    <w:p>
      <w:pPr>
        <w:pStyle w:val="Heading2"/>
        <w:spacing w:line="240" w:lineRule="auto"/>
        <w:ind w:right="0"/>
        <w:jc w:val="left"/>
        <w:rPr>
          <w:b w:val="0"/>
          <w:bCs w:val="0"/>
        </w:rPr>
      </w:pPr>
      <w:r>
        <w:rPr/>
        <w:t>十六、重大关联交易</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r>
        <w:rPr>
          <w:rFonts w:ascii="Times New Roman" w:hAnsi="Times New Roman" w:cs="Times New Roman" w:eastAsia="Times New Roman" w:hint="default"/>
        </w:rPr>
        <w:t>1</w:t>
      </w:r>
      <w:r>
        <w:rPr/>
        <w:t>、与日常经营相关的关联交易</w:t>
      </w:r>
      <w:r>
        <w:rPr>
          <w:b w:val="0"/>
          <w:bCs w:val="0"/>
        </w:rPr>
      </w:r>
    </w:p>
    <w:p>
      <w:pPr>
        <w:spacing w:line="240" w:lineRule="auto" w:before="6"/>
        <w:rPr>
          <w:rFonts w:ascii="宋体" w:hAnsi="宋体" w:cs="宋体" w:eastAsia="宋体" w:hint="default"/>
          <w:b/>
          <w:bCs/>
          <w:sz w:val="26"/>
          <w:szCs w:val="26"/>
        </w:rPr>
      </w:pPr>
    </w:p>
    <w:p>
      <w:pPr>
        <w:pStyle w:val="BodyText"/>
        <w:spacing w:line="360" w:lineRule="auto"/>
        <w:ind w:right="6792"/>
        <w:jc w:val="left"/>
      </w:pPr>
      <w:r>
        <w:rPr/>
        <w:t>□ 适用 √ 不适用 公司报告期未发生与日常经营相关的关联交易。</w:t>
      </w:r>
    </w:p>
    <w:p>
      <w:pPr>
        <w:spacing w:line="240" w:lineRule="auto" w:before="0"/>
        <w:rPr>
          <w:rFonts w:ascii="宋体" w:hAnsi="宋体" w:cs="宋体" w:eastAsia="宋体" w:hint="default"/>
          <w:sz w:val="20"/>
          <w:szCs w:val="20"/>
        </w:rPr>
      </w:pPr>
    </w:p>
    <w:p>
      <w:pPr>
        <w:pStyle w:val="Heading3"/>
        <w:spacing w:line="240" w:lineRule="auto"/>
        <w:ind w:right="0"/>
        <w:jc w:val="left"/>
        <w:rPr>
          <w:b w:val="0"/>
          <w:bCs w:val="0"/>
        </w:rPr>
      </w:pPr>
      <w:r>
        <w:rPr>
          <w:rFonts w:ascii="Times New Roman" w:hAnsi="Times New Roman" w:cs="Times New Roman" w:eastAsia="Times New Roman" w:hint="default"/>
        </w:rPr>
        <w:t>2</w:t>
      </w:r>
      <w:r>
        <w:rPr/>
        <w:t>、资产或股权收购、出售发生的关联交易</w:t>
      </w:r>
      <w:r>
        <w:rPr>
          <w:b w:val="0"/>
          <w:bCs w:val="0"/>
        </w:rPr>
      </w:r>
    </w:p>
    <w:p>
      <w:pPr>
        <w:spacing w:line="240" w:lineRule="auto" w:before="7"/>
        <w:rPr>
          <w:rFonts w:ascii="宋体" w:hAnsi="宋体" w:cs="宋体" w:eastAsia="宋体" w:hint="default"/>
          <w:b/>
          <w:bCs/>
          <w:sz w:val="26"/>
          <w:szCs w:val="26"/>
        </w:rPr>
      </w:pPr>
    </w:p>
    <w:p>
      <w:pPr>
        <w:pStyle w:val="BodyText"/>
        <w:spacing w:line="360" w:lineRule="auto"/>
        <w:ind w:right="6432"/>
        <w:jc w:val="left"/>
      </w:pPr>
      <w:r>
        <w:rPr/>
        <w:t>□ 适用 √ 不适用 公司报告期未发生资产或股权收购、出售的关联交易。</w:t>
      </w:r>
    </w:p>
    <w:p>
      <w:pPr>
        <w:spacing w:line="240" w:lineRule="auto" w:before="1"/>
        <w:rPr>
          <w:rFonts w:ascii="宋体" w:hAnsi="宋体" w:cs="宋体" w:eastAsia="宋体" w:hint="default"/>
          <w:sz w:val="20"/>
          <w:szCs w:val="20"/>
        </w:rPr>
      </w:pPr>
    </w:p>
    <w:p>
      <w:pPr>
        <w:pStyle w:val="Heading3"/>
        <w:spacing w:line="240" w:lineRule="auto"/>
        <w:ind w:right="0"/>
        <w:jc w:val="left"/>
        <w:rPr>
          <w:b w:val="0"/>
          <w:bCs w:val="0"/>
        </w:rPr>
      </w:pPr>
      <w:r>
        <w:rPr>
          <w:rFonts w:ascii="Times New Roman" w:hAnsi="Times New Roman" w:cs="Times New Roman" w:eastAsia="Times New Roman" w:hint="default"/>
        </w:rPr>
        <w:t>3</w:t>
      </w:r>
      <w:r>
        <w:rPr/>
        <w:t>、共同对外投资的关联交易</w:t>
      </w:r>
      <w:r>
        <w:rPr>
          <w:b w:val="0"/>
          <w:bCs w:val="0"/>
        </w:rPr>
      </w:r>
    </w:p>
    <w:p>
      <w:pPr>
        <w:spacing w:line="240" w:lineRule="auto" w:before="6"/>
        <w:rPr>
          <w:rFonts w:ascii="宋体" w:hAnsi="宋体" w:cs="宋体" w:eastAsia="宋体" w:hint="default"/>
          <w:b/>
          <w:bCs/>
          <w:sz w:val="26"/>
          <w:szCs w:val="26"/>
        </w:rPr>
      </w:pPr>
    </w:p>
    <w:p>
      <w:pPr>
        <w:pStyle w:val="BodyText"/>
        <w:spacing w:line="360" w:lineRule="auto"/>
        <w:ind w:right="7152"/>
        <w:jc w:val="left"/>
      </w:pPr>
      <w:r>
        <w:rPr/>
        <w:t>□ 适用 √ 不适用 公司报告期未发生共同对外投资的关联交易。</w:t>
      </w:r>
    </w:p>
    <w:p>
      <w:pPr>
        <w:spacing w:line="240" w:lineRule="auto" w:before="0"/>
        <w:rPr>
          <w:rFonts w:ascii="宋体" w:hAnsi="宋体" w:cs="宋体" w:eastAsia="宋体" w:hint="default"/>
          <w:sz w:val="20"/>
          <w:szCs w:val="20"/>
        </w:rPr>
      </w:pPr>
    </w:p>
    <w:p>
      <w:pPr>
        <w:pStyle w:val="Heading3"/>
        <w:spacing w:line="240" w:lineRule="auto"/>
        <w:ind w:right="0"/>
        <w:jc w:val="left"/>
        <w:rPr>
          <w:b w:val="0"/>
          <w:bCs w:val="0"/>
        </w:rPr>
      </w:pPr>
      <w:r>
        <w:rPr>
          <w:rFonts w:ascii="Times New Roman" w:hAnsi="Times New Roman" w:cs="Times New Roman" w:eastAsia="Times New Roman" w:hint="default"/>
        </w:rPr>
        <w:t>4</w:t>
      </w:r>
      <w:r>
        <w:rPr/>
        <w:t>、关联债权债务往来</w:t>
      </w:r>
      <w:r>
        <w:rPr>
          <w:b w:val="0"/>
          <w:bCs w:val="0"/>
        </w:rPr>
      </w:r>
    </w:p>
    <w:p>
      <w:pPr>
        <w:spacing w:line="240" w:lineRule="auto" w:before="6"/>
        <w:rPr>
          <w:rFonts w:ascii="宋体" w:hAnsi="宋体" w:cs="宋体" w:eastAsia="宋体" w:hint="default"/>
          <w:b/>
          <w:bCs/>
          <w:sz w:val="26"/>
          <w:szCs w:val="26"/>
        </w:rPr>
      </w:pPr>
    </w:p>
    <w:p>
      <w:pPr>
        <w:pStyle w:val="BodyText"/>
        <w:spacing w:line="357" w:lineRule="auto"/>
        <w:ind w:right="7692"/>
        <w:jc w:val="left"/>
      </w:pPr>
      <w:r>
        <w:rPr/>
        <w:t>□ 适用 √ 不适用 公司报告期不存在关联债权债务往来。</w:t>
      </w:r>
    </w:p>
    <w:p>
      <w:pPr>
        <w:spacing w:after="0" w:line="357" w:lineRule="auto"/>
        <w:jc w:val="left"/>
        <w:sectPr>
          <w:pgSz w:w="11910" w:h="16840"/>
          <w:pgMar w:header="906" w:footer="1018" w:top="1100" w:bottom="1200" w:left="1020" w:right="0"/>
        </w:sectPr>
      </w:pPr>
    </w:p>
    <w:p>
      <w:pPr>
        <w:spacing w:line="240" w:lineRule="auto" w:before="9"/>
        <w:rPr>
          <w:rFonts w:ascii="宋体" w:hAnsi="宋体" w:cs="宋体" w:eastAsia="宋体" w:hint="default"/>
          <w:sz w:val="21"/>
          <w:szCs w:val="21"/>
        </w:rPr>
      </w:pPr>
    </w:p>
    <w:p>
      <w:pPr>
        <w:pStyle w:val="Heading3"/>
        <w:spacing w:line="240" w:lineRule="auto" w:before="35"/>
        <w:ind w:right="0"/>
        <w:jc w:val="left"/>
        <w:rPr>
          <w:b w:val="0"/>
          <w:bCs w:val="0"/>
        </w:rPr>
      </w:pPr>
      <w:r>
        <w:rPr>
          <w:rFonts w:ascii="Times New Roman" w:hAnsi="Times New Roman" w:cs="Times New Roman" w:eastAsia="Times New Roman" w:hint="default"/>
        </w:rPr>
        <w:t>5</w:t>
      </w:r>
      <w:r>
        <w:rPr/>
        <w:t>、其他重大关联交易</w:t>
      </w:r>
      <w:r>
        <w:rPr>
          <w:b w:val="0"/>
          <w:bCs w:val="0"/>
        </w:rPr>
      </w:r>
    </w:p>
    <w:p>
      <w:pPr>
        <w:spacing w:line="240" w:lineRule="auto" w:before="6"/>
        <w:rPr>
          <w:rFonts w:ascii="宋体" w:hAnsi="宋体" w:cs="宋体" w:eastAsia="宋体" w:hint="default"/>
          <w:b/>
          <w:bCs/>
          <w:sz w:val="26"/>
          <w:szCs w:val="26"/>
        </w:rPr>
      </w:pPr>
    </w:p>
    <w:p>
      <w:pPr>
        <w:pStyle w:val="BodyText"/>
        <w:spacing w:line="360" w:lineRule="auto"/>
        <w:ind w:right="8052"/>
        <w:jc w:val="left"/>
      </w:pPr>
      <w:r>
        <w:rPr/>
        <w:t>□ 适用 √ 不适用 公司报告期无其他重大关联交易。</w:t>
      </w:r>
    </w:p>
    <w:p>
      <w:pPr>
        <w:spacing w:line="240" w:lineRule="auto" w:before="3"/>
        <w:rPr>
          <w:rFonts w:ascii="宋体" w:hAnsi="宋体" w:cs="宋体" w:eastAsia="宋体" w:hint="default"/>
          <w:sz w:val="18"/>
          <w:szCs w:val="18"/>
        </w:rPr>
      </w:pPr>
    </w:p>
    <w:p>
      <w:pPr>
        <w:pStyle w:val="Heading2"/>
        <w:spacing w:line="240" w:lineRule="auto"/>
        <w:ind w:right="0"/>
        <w:jc w:val="left"/>
        <w:rPr>
          <w:b w:val="0"/>
          <w:bCs w:val="0"/>
        </w:rPr>
      </w:pPr>
      <w:r>
        <w:rPr/>
        <w:t>十七、重大合同及其履行情况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r>
        <w:rPr>
          <w:rFonts w:ascii="Times New Roman" w:hAnsi="Times New Roman" w:cs="Times New Roman" w:eastAsia="Times New Roman" w:hint="default"/>
        </w:rPr>
        <w:t>1</w:t>
      </w:r>
      <w:r>
        <w:rPr/>
        <w:t>、托管、承包、租赁事项情况</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t>（</w:t>
      </w:r>
      <w:r>
        <w:rPr>
          <w:rFonts w:ascii="Times New Roman" w:hAnsi="Times New Roman" w:cs="Times New Roman" w:eastAsia="Times New Roman" w:hint="default"/>
        </w:rPr>
        <w:t>1</w:t>
      </w:r>
      <w:r>
        <w:rPr/>
        <w:t>）托管情况</w:t>
      </w:r>
      <w:r>
        <w:rPr>
          <w:b w:val="0"/>
          <w:bCs w:val="0"/>
        </w:rPr>
      </w:r>
    </w:p>
    <w:p>
      <w:pPr>
        <w:spacing w:line="240" w:lineRule="auto" w:before="7"/>
        <w:rPr>
          <w:rFonts w:ascii="宋体" w:hAnsi="宋体" w:cs="宋体" w:eastAsia="宋体" w:hint="default"/>
          <w:b/>
          <w:bCs/>
          <w:sz w:val="26"/>
          <w:szCs w:val="26"/>
        </w:rPr>
      </w:pPr>
    </w:p>
    <w:p>
      <w:pPr>
        <w:pStyle w:val="BodyText"/>
        <w:spacing w:line="357" w:lineRule="auto"/>
        <w:ind w:right="8412"/>
        <w:jc w:val="left"/>
      </w:pPr>
      <w:r>
        <w:rPr/>
        <w:t>□ 适用 √ 不适用 公司报告期不存在托管情况。</w:t>
      </w:r>
    </w:p>
    <w:p>
      <w:pPr>
        <w:spacing w:line="240" w:lineRule="auto" w:before="3"/>
        <w:rPr>
          <w:rFonts w:ascii="宋体" w:hAnsi="宋体" w:cs="宋体" w:eastAsia="宋体" w:hint="default"/>
          <w:sz w:val="20"/>
          <w:szCs w:val="20"/>
        </w:rPr>
      </w:pPr>
    </w:p>
    <w:p>
      <w:pPr>
        <w:pStyle w:val="Heading3"/>
        <w:spacing w:line="240" w:lineRule="auto"/>
        <w:ind w:right="0"/>
        <w:jc w:val="left"/>
        <w:rPr>
          <w:b w:val="0"/>
          <w:bCs w:val="0"/>
        </w:rPr>
      </w:pPr>
      <w:r>
        <w:rPr/>
        <w:t>（</w:t>
      </w:r>
      <w:r>
        <w:rPr>
          <w:rFonts w:ascii="Times New Roman" w:hAnsi="Times New Roman" w:cs="Times New Roman" w:eastAsia="Times New Roman" w:hint="default"/>
        </w:rPr>
        <w:t>2</w:t>
      </w:r>
      <w:r>
        <w:rPr/>
        <w:t>）承包情况</w:t>
      </w:r>
      <w:r>
        <w:rPr>
          <w:b w:val="0"/>
          <w:bCs w:val="0"/>
        </w:rPr>
      </w:r>
    </w:p>
    <w:p>
      <w:pPr>
        <w:spacing w:line="240" w:lineRule="auto" w:before="6"/>
        <w:rPr>
          <w:rFonts w:ascii="宋体" w:hAnsi="宋体" w:cs="宋体" w:eastAsia="宋体" w:hint="default"/>
          <w:b/>
          <w:bCs/>
          <w:sz w:val="26"/>
          <w:szCs w:val="26"/>
        </w:rPr>
      </w:pPr>
    </w:p>
    <w:p>
      <w:pPr>
        <w:pStyle w:val="BodyText"/>
        <w:spacing w:line="360" w:lineRule="auto"/>
        <w:ind w:right="8412"/>
        <w:jc w:val="left"/>
      </w:pPr>
      <w:r>
        <w:rPr/>
        <w:t>□ 适用 √ 不适用 公司报告期不存在承包情况。</w:t>
      </w:r>
    </w:p>
    <w:p>
      <w:pPr>
        <w:spacing w:line="240" w:lineRule="auto" w:before="1"/>
        <w:rPr>
          <w:rFonts w:ascii="宋体" w:hAnsi="宋体" w:cs="宋体" w:eastAsia="宋体" w:hint="default"/>
          <w:sz w:val="20"/>
          <w:szCs w:val="20"/>
        </w:rPr>
      </w:pPr>
    </w:p>
    <w:p>
      <w:pPr>
        <w:pStyle w:val="Heading3"/>
        <w:spacing w:line="240" w:lineRule="auto"/>
        <w:ind w:right="0"/>
        <w:jc w:val="left"/>
        <w:rPr>
          <w:b w:val="0"/>
          <w:bCs w:val="0"/>
        </w:rPr>
      </w:pPr>
      <w:r>
        <w:rPr/>
        <w:t>（</w:t>
      </w:r>
      <w:r>
        <w:rPr>
          <w:rFonts w:ascii="Times New Roman" w:hAnsi="Times New Roman" w:cs="Times New Roman" w:eastAsia="Times New Roman" w:hint="default"/>
        </w:rPr>
        <w:t>3</w:t>
      </w:r>
      <w:r>
        <w:rPr/>
        <w:t>）租赁情况</w:t>
      </w:r>
      <w:r>
        <w:rPr>
          <w:b w:val="0"/>
          <w:bCs w:val="0"/>
        </w:rPr>
      </w:r>
    </w:p>
    <w:p>
      <w:pPr>
        <w:spacing w:line="240" w:lineRule="auto" w:before="6"/>
        <w:rPr>
          <w:rFonts w:ascii="宋体" w:hAnsi="宋体" w:cs="宋体" w:eastAsia="宋体" w:hint="default"/>
          <w:b/>
          <w:bCs/>
          <w:sz w:val="26"/>
          <w:szCs w:val="26"/>
        </w:rPr>
      </w:pPr>
    </w:p>
    <w:p>
      <w:pPr>
        <w:pStyle w:val="BodyText"/>
        <w:spacing w:line="360" w:lineRule="auto"/>
        <w:ind w:right="9222"/>
        <w:jc w:val="left"/>
      </w:pPr>
      <w:r>
        <w:rPr/>
        <w:t>√ 适用 □ 不适用 租赁情况说明</w:t>
      </w:r>
    </w:p>
    <w:p>
      <w:pPr>
        <w:pStyle w:val="BodyText"/>
        <w:spacing w:line="300" w:lineRule="auto" w:before="26"/>
        <w:ind w:right="0"/>
        <w:jc w:val="left"/>
      </w:pPr>
      <w:r>
        <w:rPr>
          <w:spacing w:val="-2"/>
        </w:rPr>
        <w:t>深圳一卡易子公司</w:t>
      </w:r>
      <w:r>
        <w:rPr>
          <w:rFonts w:ascii="Times New Roman" w:hAnsi="Times New Roman" w:cs="Times New Roman" w:eastAsia="Times New Roman" w:hint="default"/>
          <w:spacing w:val="-2"/>
        </w:rPr>
        <w:t>2019</w:t>
      </w:r>
      <w:r>
        <w:rPr>
          <w:spacing w:val="-2"/>
        </w:rPr>
        <w:t>年租入深圳市龙华街道三联社区创业路19号弓村新城商业中心（汇海广场）C座20层01-03号，深圳市</w:t>
      </w:r>
      <w:r>
        <w:rPr>
          <w:spacing w:val="-50"/>
        </w:rPr>
        <w:t> </w:t>
      </w:r>
      <w:r>
        <w:rPr>
          <w:spacing w:val="-50"/>
        </w:rPr>
      </w:r>
      <w:r>
        <w:rPr>
          <w:spacing w:val="-1"/>
        </w:rPr>
        <w:t>汇海宏融投资发展有限公司所属的写字楼</w:t>
      </w:r>
      <w:r>
        <w:rPr>
          <w:rFonts w:ascii="Times New Roman" w:hAnsi="Times New Roman" w:cs="Times New Roman" w:eastAsia="Times New Roman" w:hint="default"/>
          <w:spacing w:val="-1"/>
        </w:rPr>
        <w:t>1584</w:t>
      </w:r>
      <w:r>
        <w:rPr>
          <w:spacing w:val="-1"/>
        </w:rPr>
        <w:t>平方米作为经营、办公场所，租赁期限为</w:t>
      </w:r>
      <w:r>
        <w:rPr>
          <w:rFonts w:ascii="Times New Roman" w:hAnsi="Times New Roman" w:cs="Times New Roman" w:eastAsia="Times New Roman" w:hint="default"/>
          <w:spacing w:val="-1"/>
        </w:rPr>
        <w:t>2019</w:t>
      </w:r>
      <w:r>
        <w:rPr>
          <w:spacing w:val="-1"/>
        </w:rPr>
        <w:t>年</w:t>
      </w:r>
      <w:r>
        <w:rPr>
          <w:rFonts w:ascii="Times New Roman" w:hAnsi="Times New Roman" w:cs="Times New Roman" w:eastAsia="Times New Roman" w:hint="default"/>
          <w:spacing w:val="-1"/>
        </w:rPr>
        <w:t>11</w:t>
      </w:r>
      <w:r>
        <w:rPr>
          <w:spacing w:val="-1"/>
        </w:rPr>
        <w:t>月</w:t>
      </w:r>
      <w:r>
        <w:rPr>
          <w:rFonts w:ascii="Times New Roman" w:hAnsi="Times New Roman" w:cs="Times New Roman" w:eastAsia="Times New Roman" w:hint="default"/>
          <w:spacing w:val="-1"/>
        </w:rPr>
        <w:t>15</w:t>
      </w:r>
      <w:r>
        <w:rPr>
          <w:spacing w:val="-1"/>
        </w:rPr>
        <w:t>日至</w:t>
      </w:r>
      <w:r>
        <w:rPr>
          <w:rFonts w:ascii="Times New Roman" w:hAnsi="Times New Roman" w:cs="Times New Roman" w:eastAsia="Times New Roman" w:hint="default"/>
          <w:spacing w:val="-1"/>
        </w:rPr>
        <w:t>2022</w:t>
      </w:r>
      <w:r>
        <w:rPr>
          <w:spacing w:val="-1"/>
        </w:rPr>
        <w:t>年</w:t>
      </w:r>
      <w:r>
        <w:rPr>
          <w:rFonts w:ascii="Times New Roman" w:hAnsi="Times New Roman" w:cs="Times New Roman" w:eastAsia="Times New Roman" w:hint="default"/>
          <w:spacing w:val="-1"/>
        </w:rPr>
        <w:t>11</w:t>
      </w:r>
      <w:r>
        <w:rPr>
          <w:spacing w:val="-1"/>
        </w:rPr>
        <w:t>月</w:t>
      </w:r>
      <w:r>
        <w:rPr>
          <w:rFonts w:ascii="Times New Roman" w:hAnsi="Times New Roman" w:cs="Times New Roman" w:eastAsia="Times New Roman" w:hint="default"/>
          <w:spacing w:val="-1"/>
        </w:rPr>
        <w:t>14</w:t>
      </w:r>
      <w:r>
        <w:rPr>
          <w:spacing w:val="-1"/>
        </w:rPr>
        <w:t>日。</w:t>
      </w:r>
      <w:r>
        <w:rPr>
          <w:spacing w:val="-42"/>
        </w:rPr>
        <w:t> </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15</w:t>
      </w:r>
      <w:r>
        <w:rPr/>
        <w:t>日至</w:t>
      </w:r>
      <w:r>
        <w:rPr>
          <w:rFonts w:ascii="Times New Roman" w:hAnsi="Times New Roman" w:cs="Times New Roman" w:eastAsia="Times New Roman" w:hint="default"/>
        </w:rPr>
        <w:t>2021</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14</w:t>
      </w:r>
      <w:r>
        <w:rPr/>
        <w:t>日年租金为</w:t>
      </w:r>
      <w:r>
        <w:rPr>
          <w:rFonts w:ascii="Times New Roman" w:hAnsi="Times New Roman" w:cs="Times New Roman" w:eastAsia="Times New Roman" w:hint="default"/>
        </w:rPr>
        <w:t>1,710,720.00</w:t>
      </w:r>
      <w:r>
        <w:rPr/>
        <w:t>元，</w:t>
      </w:r>
      <w:r>
        <w:rPr>
          <w:rFonts w:ascii="Times New Roman" w:hAnsi="Times New Roman" w:cs="Times New Roman" w:eastAsia="Times New Roman" w:hint="default"/>
        </w:rPr>
        <w:t>2021</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15</w:t>
      </w:r>
      <w:r>
        <w:rPr/>
        <w:t>日至</w:t>
      </w:r>
      <w:r>
        <w:rPr>
          <w:rFonts w:ascii="Times New Roman" w:hAnsi="Times New Roman" w:cs="Times New Roman" w:eastAsia="Times New Roman" w:hint="default"/>
        </w:rPr>
        <w:t>2022</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14</w:t>
      </w:r>
      <w:r>
        <w:rPr/>
        <w:t>日年租金</w:t>
      </w:r>
      <w:r>
        <w:rPr>
          <w:rFonts w:ascii="Times New Roman" w:hAnsi="Times New Roman" w:cs="Times New Roman" w:eastAsia="Times New Roman" w:hint="default"/>
        </w:rPr>
        <w:t>1,847,580.00</w:t>
      </w:r>
      <w:r>
        <w:rPr/>
        <w:t>元。</w:t>
      </w:r>
    </w:p>
    <w:p>
      <w:pPr>
        <w:pStyle w:val="BodyText"/>
        <w:spacing w:line="240" w:lineRule="auto" w:before="52"/>
        <w:ind w:right="0"/>
        <w:jc w:val="left"/>
      </w:pPr>
      <w:r>
        <w:rPr/>
        <w:t>为公司带来的损益达到公司报告期利润总额</w:t>
      </w:r>
      <w:r>
        <w:rPr>
          <w:spacing w:val="-46"/>
        </w:rPr>
        <w:t> </w:t>
      </w:r>
      <w:r>
        <w:rPr>
          <w:rFonts w:ascii="Times New Roman" w:hAnsi="Times New Roman" w:cs="Times New Roman" w:eastAsia="Times New Roman" w:hint="default"/>
        </w:rPr>
        <w:t>10%</w:t>
      </w:r>
      <w:r>
        <w:rPr/>
        <w:t>以上的项目</w:t>
      </w:r>
    </w:p>
    <w:p>
      <w:pPr>
        <w:pStyle w:val="BodyText"/>
        <w:spacing w:line="240" w:lineRule="auto" w:before="103"/>
        <w:ind w:right="0"/>
        <w:jc w:val="left"/>
      </w:pPr>
      <w:r>
        <w:rPr/>
        <w:t>□ 适用 √ 不适用</w:t>
      </w:r>
    </w:p>
    <w:p>
      <w:pPr>
        <w:pStyle w:val="BodyText"/>
        <w:spacing w:line="240" w:lineRule="auto" w:before="116"/>
        <w:ind w:right="0"/>
        <w:jc w:val="left"/>
      </w:pPr>
      <w:r>
        <w:rPr/>
        <w:t>公司报告期不存在为公司带来的损益达到公司报告期利润总额</w:t>
      </w:r>
      <w:r>
        <w:rPr>
          <w:spacing w:val="-48"/>
        </w:rPr>
        <w:t> </w:t>
      </w:r>
      <w:r>
        <w:rPr>
          <w:rFonts w:ascii="Times New Roman" w:hAnsi="Times New Roman" w:cs="Times New Roman" w:eastAsia="Times New Roman" w:hint="default"/>
        </w:rPr>
        <w:t>10%</w:t>
      </w:r>
      <w:r>
        <w:rPr/>
        <w:t>以上的租赁项目。</w:t>
      </w:r>
    </w:p>
    <w:p>
      <w:pPr>
        <w:spacing w:line="240" w:lineRule="auto" w:before="11"/>
        <w:rPr>
          <w:rFonts w:ascii="宋体" w:hAnsi="宋体" w:cs="宋体" w:eastAsia="宋体" w:hint="default"/>
          <w:sz w:val="25"/>
          <w:szCs w:val="25"/>
        </w:rPr>
      </w:pPr>
    </w:p>
    <w:p>
      <w:pPr>
        <w:pStyle w:val="Heading3"/>
        <w:spacing w:line="240" w:lineRule="auto"/>
        <w:ind w:right="0"/>
        <w:jc w:val="left"/>
        <w:rPr>
          <w:b w:val="0"/>
          <w:bCs w:val="0"/>
        </w:rPr>
      </w:pPr>
      <w:r>
        <w:rPr>
          <w:rFonts w:ascii="Times New Roman" w:hAnsi="Times New Roman" w:cs="Times New Roman" w:eastAsia="Times New Roman" w:hint="default"/>
        </w:rPr>
        <w:t>2</w:t>
      </w:r>
      <w:r>
        <w:rPr/>
        <w:t>、重大担保</w:t>
      </w:r>
      <w:r>
        <w:rPr>
          <w:b w:val="0"/>
          <w:bCs w:val="0"/>
        </w:rPr>
      </w:r>
    </w:p>
    <w:p>
      <w:pPr>
        <w:spacing w:line="240" w:lineRule="auto" w:before="7"/>
        <w:rPr>
          <w:rFonts w:ascii="宋体" w:hAnsi="宋体" w:cs="宋体" w:eastAsia="宋体" w:hint="default"/>
          <w:b/>
          <w:bCs/>
          <w:sz w:val="26"/>
          <w:szCs w:val="26"/>
        </w:rPr>
      </w:pPr>
    </w:p>
    <w:p>
      <w:pPr>
        <w:pStyle w:val="BodyText"/>
        <w:spacing w:line="360" w:lineRule="auto"/>
        <w:ind w:right="8052"/>
        <w:jc w:val="left"/>
      </w:pPr>
      <w:r>
        <w:rPr/>
        <w:t>□ 适用 √ 不适用 公司报告期不存在担保情况。</w:t>
      </w:r>
    </w:p>
    <w:p>
      <w:pPr>
        <w:spacing w:line="240" w:lineRule="auto" w:before="1"/>
        <w:rPr>
          <w:rFonts w:ascii="宋体" w:hAnsi="宋体" w:cs="宋体" w:eastAsia="宋体" w:hint="default"/>
          <w:sz w:val="20"/>
          <w:szCs w:val="20"/>
        </w:rPr>
      </w:pPr>
    </w:p>
    <w:p>
      <w:pPr>
        <w:pStyle w:val="Heading3"/>
        <w:spacing w:line="240" w:lineRule="auto"/>
        <w:ind w:right="0"/>
        <w:jc w:val="left"/>
        <w:rPr>
          <w:b w:val="0"/>
          <w:bCs w:val="0"/>
        </w:rPr>
      </w:pPr>
      <w:r>
        <w:rPr>
          <w:rFonts w:ascii="Times New Roman" w:hAnsi="Times New Roman" w:cs="Times New Roman" w:eastAsia="Times New Roman" w:hint="default"/>
        </w:rPr>
        <w:t>3</w:t>
      </w:r>
      <w:r>
        <w:rPr/>
        <w:t>、委托他人进行现金资产管理情况</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t>（</w:t>
      </w:r>
      <w:r>
        <w:rPr>
          <w:rFonts w:ascii="Times New Roman" w:hAnsi="Times New Roman" w:cs="Times New Roman" w:eastAsia="Times New Roman" w:hint="default"/>
        </w:rPr>
        <w:t>1</w:t>
      </w:r>
      <w:r>
        <w:rPr/>
        <w:t>）委托理财情况</w:t>
      </w:r>
      <w:r>
        <w:rPr>
          <w:b w:val="0"/>
          <w:bCs w:val="0"/>
        </w:rPr>
      </w:r>
    </w:p>
    <w:p>
      <w:pPr>
        <w:spacing w:line="240" w:lineRule="auto" w:before="1"/>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headerReference w:type="default" r:id="rId15"/>
          <w:pgSz w:w="11910" w:h="16840"/>
          <w:pgMar w:header="906" w:footer="1018" w:top="1100" w:bottom="1200" w:left="1020" w:right="0"/>
        </w:sectPr>
      </w:pPr>
    </w:p>
    <w:p>
      <w:pPr>
        <w:pStyle w:val="BodyText"/>
        <w:spacing w:line="357" w:lineRule="auto" w:before="44"/>
        <w:ind w:right="-20"/>
        <w:jc w:val="left"/>
      </w:pPr>
      <w:r>
        <w:rPr/>
        <w:t>√ 适用 □ 不适用 报告期内委托理财概况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pStyle w:val="BodyText"/>
        <w:spacing w:line="240" w:lineRule="auto"/>
        <w:ind w:right="0"/>
        <w:jc w:val="left"/>
      </w:pPr>
      <w:r>
        <w:rPr/>
        <w:t>单位：万元</w:t>
      </w:r>
    </w:p>
    <w:p>
      <w:pPr>
        <w:spacing w:after="0" w:line="240" w:lineRule="auto"/>
        <w:jc w:val="left"/>
        <w:sectPr>
          <w:type w:val="continuous"/>
          <w:pgSz w:w="11910" w:h="16840"/>
          <w:pgMar w:top="1100" w:bottom="1200" w:left="1020" w:right="0"/>
          <w:cols w:num="2" w:equalWidth="0">
            <w:col w:w="1914" w:space="6824"/>
            <w:col w:w="2152"/>
          </w:cols>
        </w:sectPr>
      </w:pP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868"/>
        <w:gridCol w:w="1962"/>
        <w:gridCol w:w="1981"/>
        <w:gridCol w:w="1909"/>
        <w:gridCol w:w="1847"/>
      </w:tblGrid>
      <w:tr>
        <w:trPr>
          <w:trHeight w:val="401" w:hRule="exact"/>
        </w:trPr>
        <w:tc>
          <w:tcPr>
            <w:tcW w:w="18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568" w:right="0"/>
              <w:jc w:val="left"/>
              <w:rPr>
                <w:rFonts w:ascii="宋体" w:hAnsi="宋体" w:cs="宋体" w:eastAsia="宋体" w:hint="default"/>
                <w:sz w:val="18"/>
                <w:szCs w:val="18"/>
              </w:rPr>
            </w:pPr>
            <w:r>
              <w:rPr>
                <w:rFonts w:ascii="宋体" w:hAnsi="宋体" w:cs="宋体" w:eastAsia="宋体" w:hint="default"/>
                <w:sz w:val="18"/>
                <w:szCs w:val="18"/>
              </w:rPr>
              <w:t>具体类型</w:t>
            </w:r>
          </w:p>
        </w:tc>
        <w:tc>
          <w:tcPr>
            <w:tcW w:w="19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66" w:right="0"/>
              <w:jc w:val="left"/>
              <w:rPr>
                <w:rFonts w:ascii="宋体" w:hAnsi="宋体" w:cs="宋体" w:eastAsia="宋体" w:hint="default"/>
                <w:sz w:val="18"/>
                <w:szCs w:val="18"/>
              </w:rPr>
            </w:pPr>
            <w:r>
              <w:rPr>
                <w:rFonts w:ascii="宋体" w:hAnsi="宋体" w:cs="宋体" w:eastAsia="宋体" w:hint="default"/>
                <w:sz w:val="18"/>
                <w:szCs w:val="18"/>
              </w:rPr>
              <w:t>委托理财的资金来源</w:t>
            </w:r>
          </w:p>
        </w:tc>
        <w:tc>
          <w:tcPr>
            <w:tcW w:w="198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355" w:right="0"/>
              <w:jc w:val="left"/>
              <w:rPr>
                <w:rFonts w:ascii="宋体" w:hAnsi="宋体" w:cs="宋体" w:eastAsia="宋体" w:hint="default"/>
                <w:sz w:val="18"/>
                <w:szCs w:val="18"/>
              </w:rPr>
            </w:pPr>
            <w:r>
              <w:rPr>
                <w:rFonts w:ascii="宋体" w:hAnsi="宋体" w:cs="宋体" w:eastAsia="宋体" w:hint="default"/>
                <w:sz w:val="18"/>
                <w:szCs w:val="18"/>
              </w:rPr>
              <w:t>委托理财发生额</w:t>
            </w:r>
          </w:p>
        </w:tc>
        <w:tc>
          <w:tcPr>
            <w:tcW w:w="190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98" w:right="0"/>
              <w:jc w:val="left"/>
              <w:rPr>
                <w:rFonts w:ascii="宋体" w:hAnsi="宋体" w:cs="宋体" w:eastAsia="宋体" w:hint="default"/>
                <w:sz w:val="18"/>
                <w:szCs w:val="18"/>
              </w:rPr>
            </w:pPr>
            <w:r>
              <w:rPr>
                <w:rFonts w:ascii="宋体" w:hAnsi="宋体" w:cs="宋体" w:eastAsia="宋体" w:hint="default"/>
                <w:sz w:val="18"/>
                <w:szCs w:val="18"/>
              </w:rPr>
              <w:t>未到期余额</w:t>
            </w:r>
          </w:p>
        </w:tc>
        <w:tc>
          <w:tcPr>
            <w:tcW w:w="184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97" w:right="0"/>
              <w:jc w:val="left"/>
              <w:rPr>
                <w:rFonts w:ascii="宋体" w:hAnsi="宋体" w:cs="宋体" w:eastAsia="宋体" w:hint="default"/>
                <w:sz w:val="18"/>
                <w:szCs w:val="18"/>
              </w:rPr>
            </w:pPr>
            <w:r>
              <w:rPr>
                <w:rFonts w:ascii="宋体" w:hAnsi="宋体" w:cs="宋体" w:eastAsia="宋体" w:hint="default"/>
                <w:sz w:val="18"/>
                <w:szCs w:val="18"/>
              </w:rPr>
              <w:t>逾期未收回的金额</w:t>
            </w:r>
          </w:p>
        </w:tc>
      </w:tr>
    </w:tbl>
    <w:p>
      <w:pPr>
        <w:spacing w:after="0" w:line="240" w:lineRule="auto"/>
        <w:jc w:val="left"/>
        <w:rPr>
          <w:rFonts w:ascii="宋体" w:hAnsi="宋体" w:cs="宋体" w:eastAsia="宋体" w:hint="default"/>
          <w:sz w:val="18"/>
          <w:szCs w:val="18"/>
        </w:rPr>
        <w:sectPr>
          <w:type w:val="continuous"/>
          <w:pgSz w:w="11910" w:h="16840"/>
          <w:pgMar w:top="1100" w:bottom="1200" w:left="1020" w:right="0"/>
        </w:sectPr>
      </w:pPr>
    </w:p>
    <w:p>
      <w:pPr>
        <w:spacing w:line="240" w:lineRule="auto" w:before="7"/>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868"/>
        <w:gridCol w:w="1962"/>
        <w:gridCol w:w="1981"/>
        <w:gridCol w:w="1909"/>
        <w:gridCol w:w="1847"/>
      </w:tblGrid>
      <w:tr>
        <w:trPr>
          <w:trHeight w:val="402" w:hRule="exact"/>
        </w:trPr>
        <w:tc>
          <w:tcPr>
            <w:tcW w:w="18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银行理财产品</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自筹</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80,961</w:t>
            </w:r>
          </w:p>
        </w:tc>
        <w:tc>
          <w:tcPr>
            <w:tcW w:w="1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37,920</w:t>
            </w:r>
          </w:p>
        </w:tc>
        <w:tc>
          <w:tcPr>
            <w:tcW w:w="18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830"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80,961</w:t>
            </w:r>
          </w:p>
        </w:tc>
        <w:tc>
          <w:tcPr>
            <w:tcW w:w="1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37,920</w:t>
            </w:r>
          </w:p>
        </w:tc>
        <w:tc>
          <w:tcPr>
            <w:tcW w:w="18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r>
    </w:tbl>
    <w:p>
      <w:pPr>
        <w:pStyle w:val="BodyText"/>
        <w:spacing w:line="240" w:lineRule="auto" w:before="50"/>
        <w:ind w:right="0"/>
        <w:jc w:val="both"/>
      </w:pPr>
      <w:r>
        <w:rPr/>
        <w:t>单项金额重大或安全性较低、流动性较差、不保本的高风险委托理财具体情况</w:t>
      </w:r>
    </w:p>
    <w:p>
      <w:pPr>
        <w:pStyle w:val="BodyText"/>
        <w:spacing w:line="357" w:lineRule="auto" w:before="116"/>
        <w:ind w:right="5712"/>
        <w:jc w:val="left"/>
      </w:pPr>
      <w:r>
        <w:rPr/>
        <w:t>□ 适用 √ 不适用 委托理财出现预期无法收回本金或存在其他可能导致减值的情形</w:t>
      </w:r>
    </w:p>
    <w:p>
      <w:pPr>
        <w:pStyle w:val="BodyText"/>
        <w:spacing w:line="240" w:lineRule="auto" w:before="28"/>
        <w:ind w:right="0"/>
        <w:jc w:val="both"/>
      </w:pPr>
      <w:r>
        <w:rPr/>
        <w:t>□ 适用 √ 不适用</w:t>
      </w:r>
    </w:p>
    <w:p>
      <w:pPr>
        <w:spacing w:line="240" w:lineRule="auto" w:before="12"/>
        <w:rPr>
          <w:rFonts w:ascii="宋体" w:hAnsi="宋体" w:cs="宋体" w:eastAsia="宋体" w:hint="default"/>
          <w:sz w:val="26"/>
          <w:szCs w:val="26"/>
        </w:rPr>
      </w:pPr>
    </w:p>
    <w:p>
      <w:pPr>
        <w:pStyle w:val="Heading3"/>
        <w:spacing w:line="240" w:lineRule="auto"/>
        <w:ind w:right="0"/>
        <w:jc w:val="both"/>
        <w:rPr>
          <w:b w:val="0"/>
          <w:bCs w:val="0"/>
        </w:rPr>
      </w:pPr>
      <w:r>
        <w:rPr/>
        <w:t>（</w:t>
      </w:r>
      <w:r>
        <w:rPr>
          <w:rFonts w:ascii="Times New Roman" w:hAnsi="Times New Roman" w:cs="Times New Roman" w:eastAsia="Times New Roman" w:hint="default"/>
        </w:rPr>
        <w:t>2</w:t>
      </w:r>
      <w:r>
        <w:rPr/>
        <w:t>）委托贷款情况</w:t>
      </w:r>
      <w:r>
        <w:rPr>
          <w:b w:val="0"/>
          <w:bCs w:val="0"/>
        </w:rPr>
      </w:r>
    </w:p>
    <w:p>
      <w:pPr>
        <w:spacing w:line="240" w:lineRule="auto" w:before="7"/>
        <w:rPr>
          <w:rFonts w:ascii="宋体" w:hAnsi="宋体" w:cs="宋体" w:eastAsia="宋体" w:hint="default"/>
          <w:b/>
          <w:bCs/>
          <w:sz w:val="26"/>
          <w:szCs w:val="26"/>
        </w:rPr>
      </w:pPr>
    </w:p>
    <w:p>
      <w:pPr>
        <w:pStyle w:val="BodyText"/>
        <w:spacing w:line="357" w:lineRule="auto"/>
        <w:ind w:right="8412"/>
        <w:jc w:val="left"/>
      </w:pPr>
      <w:r>
        <w:rPr/>
        <w:t>□ 适用 √ 不适用 公司报告期不存在委托贷款。</w:t>
      </w:r>
    </w:p>
    <w:p>
      <w:pPr>
        <w:spacing w:line="240" w:lineRule="auto" w:before="3"/>
        <w:rPr>
          <w:rFonts w:ascii="宋体" w:hAnsi="宋体" w:cs="宋体" w:eastAsia="宋体" w:hint="default"/>
          <w:sz w:val="20"/>
          <w:szCs w:val="20"/>
        </w:rPr>
      </w:pPr>
    </w:p>
    <w:p>
      <w:pPr>
        <w:pStyle w:val="Heading3"/>
        <w:spacing w:line="240" w:lineRule="auto"/>
        <w:ind w:right="0"/>
        <w:jc w:val="both"/>
        <w:rPr>
          <w:b w:val="0"/>
          <w:bCs w:val="0"/>
        </w:rPr>
      </w:pPr>
      <w:r>
        <w:rPr>
          <w:rFonts w:ascii="Times New Roman" w:hAnsi="Times New Roman" w:cs="Times New Roman" w:eastAsia="Times New Roman" w:hint="default"/>
        </w:rPr>
        <w:t>4</w:t>
      </w:r>
      <w:r>
        <w:rPr/>
        <w:t>、其他重大合同</w:t>
      </w:r>
      <w:r>
        <w:rPr>
          <w:b w:val="0"/>
          <w:bCs w:val="0"/>
        </w:rPr>
      </w:r>
    </w:p>
    <w:p>
      <w:pPr>
        <w:spacing w:line="240" w:lineRule="auto" w:before="6"/>
        <w:rPr>
          <w:rFonts w:ascii="宋体" w:hAnsi="宋体" w:cs="宋体" w:eastAsia="宋体" w:hint="default"/>
          <w:b/>
          <w:bCs/>
          <w:sz w:val="26"/>
          <w:szCs w:val="26"/>
        </w:rPr>
      </w:pPr>
    </w:p>
    <w:p>
      <w:pPr>
        <w:pStyle w:val="BodyText"/>
        <w:spacing w:line="357" w:lineRule="auto"/>
        <w:ind w:right="8052"/>
        <w:jc w:val="left"/>
      </w:pPr>
      <w:r>
        <w:rPr/>
        <w:t>□ 适用 √ 不适用 公司报告期不存在其他重大合同。</w:t>
      </w:r>
    </w:p>
    <w:p>
      <w:pPr>
        <w:spacing w:line="240" w:lineRule="auto" w:before="4"/>
        <w:rPr>
          <w:rFonts w:ascii="宋体" w:hAnsi="宋体" w:cs="宋体" w:eastAsia="宋体" w:hint="default"/>
          <w:sz w:val="18"/>
          <w:szCs w:val="18"/>
        </w:rPr>
      </w:pPr>
    </w:p>
    <w:p>
      <w:pPr>
        <w:pStyle w:val="Heading2"/>
        <w:spacing w:line="240" w:lineRule="auto"/>
        <w:ind w:right="0"/>
        <w:jc w:val="both"/>
        <w:rPr>
          <w:b w:val="0"/>
          <w:bCs w:val="0"/>
        </w:rPr>
      </w:pPr>
      <w:r>
        <w:rPr/>
        <w:t>十八、社会责任情况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both"/>
        <w:rPr>
          <w:b w:val="0"/>
          <w:bCs w:val="0"/>
        </w:rPr>
      </w:pPr>
      <w:r>
        <w:rPr>
          <w:rFonts w:ascii="Times New Roman" w:hAnsi="Times New Roman" w:cs="Times New Roman" w:eastAsia="Times New Roman" w:hint="default"/>
        </w:rPr>
        <w:t>1</w:t>
      </w:r>
      <w:r>
        <w:rPr/>
        <w:t>、履行社会责任情况</w:t>
      </w:r>
      <w:r>
        <w:rPr>
          <w:b w:val="0"/>
          <w:bCs w:val="0"/>
        </w:rPr>
      </w:r>
    </w:p>
    <w:p>
      <w:pPr>
        <w:spacing w:line="240" w:lineRule="auto" w:before="7"/>
        <w:rPr>
          <w:rFonts w:ascii="宋体" w:hAnsi="宋体" w:cs="宋体" w:eastAsia="宋体" w:hint="default"/>
          <w:b/>
          <w:bCs/>
          <w:sz w:val="26"/>
          <w:szCs w:val="26"/>
        </w:rPr>
      </w:pPr>
    </w:p>
    <w:p>
      <w:pPr>
        <w:pStyle w:val="BodyText"/>
        <w:spacing w:line="309" w:lineRule="auto"/>
        <w:ind w:right="0"/>
        <w:jc w:val="left"/>
      </w:pPr>
      <w:r>
        <w:rPr>
          <w:spacing w:val="-2"/>
        </w:rPr>
        <w:t>（</w:t>
      </w:r>
      <w:r>
        <w:rPr>
          <w:rFonts w:ascii="Times New Roman" w:hAnsi="Times New Roman" w:cs="Times New Roman" w:eastAsia="Times New Roman" w:hint="default"/>
          <w:spacing w:val="-2"/>
        </w:rPr>
        <w:t>1</w:t>
      </w:r>
      <w:r>
        <w:rPr>
          <w:spacing w:val="-2"/>
        </w:rPr>
        <w:t>）保障股东特别是中小股东的权益的责任：规范运作公司</w:t>
      </w:r>
      <w:r>
        <w:rPr>
          <w:rFonts w:ascii="Times New Roman" w:hAnsi="Times New Roman" w:cs="Times New Roman" w:eastAsia="Times New Roman" w:hint="default"/>
          <w:spacing w:val="-2"/>
        </w:rPr>
        <w:t>“</w:t>
      </w:r>
      <w:r>
        <w:rPr>
          <w:spacing w:val="-2"/>
        </w:rPr>
        <w:t>三会</w:t>
      </w:r>
      <w:r>
        <w:rPr>
          <w:rFonts w:ascii="Times New Roman" w:hAnsi="Times New Roman" w:cs="Times New Roman" w:eastAsia="Times New Roman" w:hint="default"/>
          <w:spacing w:val="-2"/>
        </w:rPr>
        <w:t>”</w:t>
      </w:r>
      <w:r>
        <w:rPr>
          <w:spacing w:val="-2"/>
        </w:rPr>
        <w:t>，及时准确完整地披露相关信息；建立投资者关系平台，</w:t>
      </w:r>
      <w:r>
        <w:rPr>
          <w:spacing w:val="-43"/>
        </w:rPr>
        <w:t> </w:t>
      </w:r>
      <w:r>
        <w:rPr>
          <w:spacing w:val="-43"/>
        </w:rPr>
      </w:r>
      <w:r>
        <w:rPr>
          <w:spacing w:val="-2"/>
        </w:rPr>
        <w:t>及时回答投资者的提问；做好投资者调研接待，真实完整介绍公司的经营现状和发展战略，确保广大投资者能公开、公平地</w:t>
      </w:r>
      <w:r>
        <w:rPr>
          <w:spacing w:val="-68"/>
        </w:rPr>
        <w:t> </w:t>
      </w:r>
      <w:r>
        <w:rPr>
          <w:spacing w:val="-68"/>
        </w:rPr>
      </w:r>
      <w:r>
        <w:rPr/>
        <w:t>获得公司信息，了解公司经营状况。</w:t>
      </w:r>
    </w:p>
    <w:p>
      <w:pPr>
        <w:pStyle w:val="BodyText"/>
        <w:spacing w:line="307" w:lineRule="auto" w:before="24"/>
        <w:ind w:right="1125"/>
        <w:jc w:val="both"/>
      </w:pPr>
      <w:r>
        <w:rPr/>
        <w:t>（</w:t>
      </w:r>
      <w:r>
        <w:rPr>
          <w:rFonts w:ascii="Times New Roman" w:hAnsi="Times New Roman" w:cs="Times New Roman" w:eastAsia="Times New Roman" w:hint="default"/>
        </w:rPr>
        <w:t>2</w:t>
      </w:r>
      <w:r>
        <w:rPr/>
        <w:t>）保护员工合法权益的责任：严格按照国家相关法律法规建立员工用工制度和保障制度，注重员工工作环境的改造和优</w:t>
      </w:r>
      <w:r>
        <w:rPr>
          <w:spacing w:val="-84"/>
        </w:rPr>
        <w:t> </w:t>
      </w:r>
      <w:r>
        <w:rPr>
          <w:spacing w:val="-84"/>
        </w:rPr>
      </w:r>
      <w:r>
        <w:rPr>
          <w:spacing w:val="-1"/>
        </w:rPr>
        <w:t>化，特殊工种享有特种补贴，公司通过了</w:t>
      </w:r>
      <w:r>
        <w:rPr>
          <w:rFonts w:ascii="Times New Roman" w:hAnsi="Times New Roman" w:cs="Times New Roman" w:eastAsia="Times New Roman" w:hint="default"/>
          <w:spacing w:val="-1"/>
        </w:rPr>
        <w:t>OHSAS18001</w:t>
      </w:r>
      <w:r>
        <w:rPr>
          <w:spacing w:val="-1"/>
        </w:rPr>
        <w:t>：</w:t>
      </w:r>
      <w:r>
        <w:rPr>
          <w:rFonts w:ascii="Times New Roman" w:hAnsi="Times New Roman" w:cs="Times New Roman" w:eastAsia="Times New Roman" w:hint="default"/>
          <w:spacing w:val="-1"/>
        </w:rPr>
        <w:t>2007</w:t>
      </w:r>
      <w:r>
        <w:rPr>
          <w:spacing w:val="-1"/>
        </w:rPr>
        <w:t>职业健康安全管理体系；积极发挥工会的作用，维护员工个人</w:t>
      </w:r>
      <w:r>
        <w:rPr>
          <w:spacing w:val="-75"/>
        </w:rPr>
        <w:t> </w:t>
      </w:r>
      <w:r>
        <w:rPr>
          <w:spacing w:val="-75"/>
        </w:rPr>
      </w:r>
      <w:r>
        <w:rPr>
          <w:spacing w:val="-2"/>
        </w:rPr>
        <w:t>合法权益；建立员工培训和持续教育制度，注重员工素质的培养和提高，建立人才成长通道；重视企业文化建设，构建企业</w:t>
      </w:r>
      <w:r>
        <w:rPr>
          <w:spacing w:val="-66"/>
        </w:rPr>
        <w:t> </w:t>
      </w:r>
      <w:r>
        <w:rPr>
          <w:spacing w:val="-66"/>
        </w:rPr>
      </w:r>
      <w:r>
        <w:rPr/>
        <w:t>与员工共同发展的环境。</w:t>
      </w:r>
    </w:p>
    <w:p>
      <w:pPr>
        <w:pStyle w:val="BodyText"/>
        <w:spacing w:line="300" w:lineRule="auto" w:before="26"/>
        <w:ind w:right="1120"/>
        <w:jc w:val="both"/>
      </w:pPr>
      <w:r>
        <w:rPr/>
        <w:t>（</w:t>
      </w:r>
      <w:r>
        <w:rPr>
          <w:rFonts w:ascii="Times New Roman" w:hAnsi="Times New Roman" w:cs="Times New Roman" w:eastAsia="Times New Roman" w:hint="default"/>
        </w:rPr>
        <w:t>3</w:t>
      </w:r>
      <w:r>
        <w:rPr/>
        <w:t>）保护债权人、消费者合法权益的责任：公司是江苏省</w:t>
      </w:r>
      <w:r>
        <w:rPr>
          <w:rFonts w:ascii="Times New Roman" w:hAnsi="Times New Roman" w:cs="Times New Roman" w:eastAsia="Times New Roman" w:hint="default"/>
        </w:rPr>
        <w:t>“</w:t>
      </w:r>
      <w:r>
        <w:rPr/>
        <w:t>重合同守信用</w:t>
      </w:r>
      <w:r>
        <w:rPr>
          <w:rFonts w:ascii="Times New Roman" w:hAnsi="Times New Roman" w:cs="Times New Roman" w:eastAsia="Times New Roman" w:hint="default"/>
        </w:rPr>
        <w:t>”</w:t>
      </w:r>
      <w:r>
        <w:rPr/>
        <w:t>单位，镇江市</w:t>
      </w:r>
      <w:r>
        <w:rPr>
          <w:rFonts w:ascii="Times New Roman" w:hAnsi="Times New Roman" w:cs="Times New Roman" w:eastAsia="Times New Roman" w:hint="default"/>
        </w:rPr>
        <w:t>“A</w:t>
      </w:r>
      <w:r>
        <w:rPr/>
        <w:t>纳税信用等级</w:t>
      </w:r>
      <w:r>
        <w:rPr>
          <w:rFonts w:ascii="Times New Roman" w:hAnsi="Times New Roman" w:cs="Times New Roman" w:eastAsia="Times New Roman" w:hint="default"/>
        </w:rPr>
        <w:t>”</w:t>
      </w:r>
      <w:r>
        <w:rPr/>
        <w:t>单位，</w:t>
      </w:r>
      <w:r>
        <w:rPr>
          <w:rFonts w:ascii="Times New Roman" w:hAnsi="Times New Roman" w:cs="Times New Roman" w:eastAsia="Times New Roman" w:hint="default"/>
        </w:rPr>
        <w:t>“AAA</w:t>
      </w:r>
      <w:r>
        <w:rPr/>
        <w:t>资信 等级</w:t>
      </w:r>
      <w:r>
        <w:rPr>
          <w:rFonts w:ascii="Times New Roman" w:hAnsi="Times New Roman" w:cs="Times New Roman" w:eastAsia="Times New Roman" w:hint="default"/>
        </w:rPr>
        <w:t>”</w:t>
      </w:r>
      <w:r>
        <w:rPr/>
        <w:t>单位，通过了</w:t>
      </w:r>
      <w:r>
        <w:rPr>
          <w:rFonts w:ascii="Times New Roman" w:hAnsi="Times New Roman" w:cs="Times New Roman" w:eastAsia="Times New Roman" w:hint="default"/>
        </w:rPr>
        <w:t>ISO9001</w:t>
      </w:r>
      <w:r>
        <w:rPr/>
        <w:t>：</w:t>
      </w:r>
      <w:r>
        <w:rPr>
          <w:rFonts w:ascii="Times New Roman" w:hAnsi="Times New Roman" w:cs="Times New Roman" w:eastAsia="Times New Roman" w:hint="default"/>
        </w:rPr>
        <w:t>2008</w:t>
      </w:r>
      <w:r>
        <w:rPr/>
        <w:t>质量管理体系、</w:t>
      </w:r>
      <w:r>
        <w:rPr>
          <w:rFonts w:ascii="Times New Roman" w:hAnsi="Times New Roman" w:cs="Times New Roman" w:eastAsia="Times New Roman" w:hint="default"/>
        </w:rPr>
        <w:t>ISO14001</w:t>
      </w:r>
      <w:r>
        <w:rPr/>
        <w:t>：</w:t>
      </w:r>
      <w:r>
        <w:rPr>
          <w:rFonts w:ascii="Times New Roman" w:hAnsi="Times New Roman" w:cs="Times New Roman" w:eastAsia="Times New Roman" w:hint="default"/>
        </w:rPr>
        <w:t>2004</w:t>
      </w:r>
      <w:r>
        <w:rPr/>
        <w:t>环境管理体系，注重与供应商的交流和沟通，以互惠互</w:t>
      </w:r>
      <w:r>
        <w:rPr>
          <w:spacing w:val="-42"/>
        </w:rPr>
        <w:t> </w:t>
      </w:r>
      <w:r>
        <w:rPr>
          <w:spacing w:val="-42"/>
        </w:rPr>
      </w:r>
      <w:r>
        <w:rPr/>
        <w:t>利、质量优先为前提，共同发展；重视产品质量的提高和服务的优化，保护消费者的合法权益。</w:t>
      </w:r>
    </w:p>
    <w:p>
      <w:pPr>
        <w:pStyle w:val="BodyText"/>
        <w:spacing w:line="300" w:lineRule="auto" w:before="31"/>
        <w:ind w:right="1032"/>
        <w:jc w:val="left"/>
      </w:pPr>
      <w:r>
        <w:rPr/>
        <w:t>（4）保护环境的社会责任：公司是高新企业，提供高端智能卡及解决方案，无</w:t>
      </w:r>
      <w:r>
        <w:rPr>
          <w:rFonts w:ascii="Times New Roman" w:hAnsi="Times New Roman" w:cs="Times New Roman" w:eastAsia="Times New Roman" w:hint="default"/>
        </w:rPr>
        <w:t>“</w:t>
      </w:r>
      <w:r>
        <w:rPr/>
        <w:t>三废</w:t>
      </w:r>
      <w:r>
        <w:rPr>
          <w:rFonts w:ascii="Times New Roman" w:hAnsi="Times New Roman" w:cs="Times New Roman" w:eastAsia="Times New Roman" w:hint="default"/>
        </w:rPr>
        <w:t>”</w:t>
      </w:r>
      <w:r>
        <w:rPr/>
        <w:t>污染；厂区实施园林式建设和规划，</w:t>
      </w:r>
      <w:r>
        <w:rPr>
          <w:spacing w:val="-73"/>
        </w:rPr>
        <w:t> </w:t>
      </w:r>
      <w:r>
        <w:rPr>
          <w:spacing w:val="-73"/>
        </w:rPr>
      </w:r>
      <w:r>
        <w:rPr/>
        <w:t>环境优美。</w:t>
      </w:r>
    </w:p>
    <w:p>
      <w:pPr>
        <w:pStyle w:val="BodyText"/>
        <w:spacing w:line="240" w:lineRule="auto" w:before="31"/>
        <w:ind w:right="0"/>
        <w:jc w:val="both"/>
      </w:pPr>
      <w:r>
        <w:rPr/>
        <w:t>（</w:t>
      </w:r>
      <w:r>
        <w:rPr>
          <w:rFonts w:ascii="Times New Roman" w:hAnsi="Times New Roman" w:cs="Times New Roman" w:eastAsia="Times New Roman" w:hint="default"/>
        </w:rPr>
        <w:t>5</w:t>
      </w:r>
      <w:r>
        <w:rPr/>
        <w:t>）其他社会责任：注重社区社会责任，每年为社区内的学校、敬老院等提供资助和服务，构建和谐的社区文化。</w:t>
      </w:r>
    </w:p>
    <w:p>
      <w:pPr>
        <w:spacing w:line="240" w:lineRule="auto" w:before="11"/>
        <w:rPr>
          <w:rFonts w:ascii="宋体" w:hAnsi="宋体" w:cs="宋体" w:eastAsia="宋体" w:hint="default"/>
          <w:sz w:val="25"/>
          <w:szCs w:val="25"/>
        </w:rPr>
      </w:pPr>
    </w:p>
    <w:p>
      <w:pPr>
        <w:pStyle w:val="Heading3"/>
        <w:spacing w:line="240" w:lineRule="auto"/>
        <w:ind w:right="0"/>
        <w:jc w:val="both"/>
        <w:rPr>
          <w:b w:val="0"/>
          <w:bCs w:val="0"/>
        </w:rPr>
      </w:pPr>
      <w:r>
        <w:rPr>
          <w:rFonts w:ascii="Times New Roman" w:hAnsi="Times New Roman" w:cs="Times New Roman" w:eastAsia="Times New Roman" w:hint="default"/>
        </w:rPr>
        <w:t>2</w:t>
      </w:r>
      <w:r>
        <w:rPr/>
        <w:t>、履行精准扶贫社会责任情况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both"/>
      </w:pPr>
      <w:r>
        <w:rPr/>
        <w:t>公司报告年度暂未开展精准扶贫工作，也暂无后续精准扶贫计划。</w:t>
      </w:r>
    </w:p>
    <w:p>
      <w:pPr>
        <w:spacing w:line="240" w:lineRule="auto" w:before="12"/>
        <w:rPr>
          <w:rFonts w:ascii="宋体" w:hAnsi="宋体" w:cs="宋体" w:eastAsia="宋体" w:hint="default"/>
          <w:sz w:val="26"/>
          <w:szCs w:val="26"/>
        </w:rPr>
      </w:pPr>
    </w:p>
    <w:p>
      <w:pPr>
        <w:pStyle w:val="Heading3"/>
        <w:spacing w:line="240" w:lineRule="auto"/>
        <w:ind w:right="0"/>
        <w:jc w:val="both"/>
        <w:rPr>
          <w:b w:val="0"/>
          <w:bCs w:val="0"/>
        </w:rPr>
      </w:pPr>
      <w:r>
        <w:rPr>
          <w:rFonts w:ascii="Times New Roman" w:hAnsi="Times New Roman" w:cs="Times New Roman" w:eastAsia="Times New Roman" w:hint="default"/>
        </w:rPr>
        <w:t>3</w:t>
      </w:r>
      <w:r>
        <w:rPr/>
        <w:t>、环境保护相关的情况</w:t>
      </w:r>
      <w:r>
        <w:rPr>
          <w:b w:val="0"/>
          <w:bCs w:val="0"/>
        </w:rPr>
      </w:r>
    </w:p>
    <w:p>
      <w:pPr>
        <w:spacing w:line="240" w:lineRule="auto" w:before="7"/>
        <w:rPr>
          <w:rFonts w:ascii="宋体" w:hAnsi="宋体" w:cs="宋体" w:eastAsia="宋体" w:hint="default"/>
          <w:b/>
          <w:bCs/>
          <w:sz w:val="26"/>
          <w:szCs w:val="26"/>
        </w:rPr>
      </w:pPr>
    </w:p>
    <w:p>
      <w:pPr>
        <w:pStyle w:val="BodyText"/>
        <w:spacing w:line="360" w:lineRule="auto"/>
        <w:ind w:right="5712"/>
        <w:jc w:val="left"/>
      </w:pPr>
      <w:r>
        <w:rPr/>
        <w:t>上市公司及其子公司是否属于环境保护部门公布的重点排污单位 不适用</w:t>
      </w:r>
    </w:p>
    <w:p>
      <w:pPr>
        <w:spacing w:after="0" w:line="360" w:lineRule="auto"/>
        <w:jc w:val="left"/>
        <w:sectPr>
          <w:pgSz w:w="11910" w:h="16840"/>
          <w:pgMar w:header="906" w:footer="1018" w:top="1100" w:bottom="1200" w:left="1020" w:right="0"/>
        </w:sectPr>
      </w:pPr>
    </w:p>
    <w:p>
      <w:pPr>
        <w:spacing w:line="240" w:lineRule="auto" w:before="11"/>
        <w:rPr>
          <w:rFonts w:ascii="宋体" w:hAnsi="宋体" w:cs="宋体" w:eastAsia="宋体" w:hint="default"/>
          <w:sz w:val="22"/>
          <w:szCs w:val="22"/>
        </w:rPr>
      </w:pPr>
    </w:p>
    <w:p>
      <w:pPr>
        <w:pStyle w:val="BodyText"/>
        <w:spacing w:line="316" w:lineRule="auto" w:before="44"/>
        <w:ind w:right="1122"/>
        <w:jc w:val="left"/>
      </w:pPr>
      <w:r>
        <w:rPr>
          <w:spacing w:val="-4"/>
        </w:rPr>
        <w:t>本公司严格按照有关环保法规及相应标准对废水、固废进行有效综合治理，积极践行企业环保责任。公司建立了ISO14001</w:t>
      </w:r>
      <w:r>
        <w:rPr>
          <w:spacing w:val="48"/>
        </w:rPr>
        <w:t> </w:t>
      </w:r>
      <w:r>
        <w:rPr/>
        <w:t>环</w:t>
      </w:r>
      <w:r>
        <w:rPr>
          <w:spacing w:val="-85"/>
        </w:rPr>
        <w:t> </w:t>
      </w:r>
      <w:r>
        <w:rPr>
          <w:spacing w:val="-85"/>
        </w:rPr>
      </w:r>
      <w:r>
        <w:rPr/>
        <w:t>境管理体系，将环境保护、节能减排工作纳入重要工作管理。</w:t>
      </w:r>
    </w:p>
    <w:p>
      <w:pPr>
        <w:spacing w:line="240" w:lineRule="auto" w:before="9"/>
        <w:rPr>
          <w:rFonts w:ascii="宋体" w:hAnsi="宋体" w:cs="宋体" w:eastAsia="宋体" w:hint="default"/>
          <w:sz w:val="20"/>
          <w:szCs w:val="20"/>
        </w:rPr>
      </w:pPr>
    </w:p>
    <w:p>
      <w:pPr>
        <w:pStyle w:val="Heading2"/>
        <w:spacing w:line="240" w:lineRule="auto"/>
        <w:ind w:right="0"/>
        <w:jc w:val="left"/>
        <w:rPr>
          <w:b w:val="0"/>
          <w:bCs w:val="0"/>
        </w:rPr>
      </w:pPr>
      <w:r>
        <w:rPr/>
        <w:t>十九、其他重大事项的说明</w:t>
      </w:r>
      <w:r>
        <w:rPr>
          <w:b w:val="0"/>
          <w:bCs w:val="0"/>
        </w:rPr>
      </w:r>
    </w:p>
    <w:p>
      <w:pPr>
        <w:spacing w:line="240" w:lineRule="auto" w:before="7"/>
        <w:rPr>
          <w:rFonts w:ascii="宋体" w:hAnsi="宋体" w:cs="宋体" w:eastAsia="宋体" w:hint="default"/>
          <w:b/>
          <w:bCs/>
          <w:sz w:val="26"/>
          <w:szCs w:val="26"/>
        </w:rPr>
      </w:pPr>
    </w:p>
    <w:p>
      <w:pPr>
        <w:pStyle w:val="BodyText"/>
        <w:spacing w:line="357" w:lineRule="auto"/>
        <w:ind w:right="7152"/>
        <w:jc w:val="left"/>
      </w:pPr>
      <w:r>
        <w:rPr/>
        <w:t>□ 适用 √ 不适用 公司报告期不存在需要说明的其他重大事项。</w:t>
      </w:r>
    </w:p>
    <w:p>
      <w:pPr>
        <w:spacing w:line="240" w:lineRule="auto" w:before="5"/>
        <w:rPr>
          <w:rFonts w:ascii="宋体" w:hAnsi="宋体" w:cs="宋体" w:eastAsia="宋体" w:hint="default"/>
          <w:sz w:val="18"/>
          <w:szCs w:val="18"/>
        </w:rPr>
      </w:pPr>
    </w:p>
    <w:p>
      <w:pPr>
        <w:pStyle w:val="Heading2"/>
        <w:spacing w:line="240" w:lineRule="auto"/>
        <w:ind w:right="0"/>
        <w:jc w:val="left"/>
        <w:rPr>
          <w:b w:val="0"/>
          <w:bCs w:val="0"/>
        </w:rPr>
      </w:pPr>
      <w:r>
        <w:rPr/>
        <w:t>二十、公司子公司重大事项</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 适用 √ 不适用</w:t>
      </w:r>
    </w:p>
    <w:p>
      <w:pPr>
        <w:spacing w:after="0" w:line="240" w:lineRule="auto"/>
        <w:jc w:val="left"/>
        <w:sectPr>
          <w:pgSz w:w="11910" w:h="16840"/>
          <w:pgMar w:header="906" w:footer="1018" w:top="1100" w:bottom="1200" w:left="10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7"/>
          <w:szCs w:val="17"/>
        </w:rPr>
      </w:pPr>
    </w:p>
    <w:p>
      <w:pPr>
        <w:pStyle w:val="Heading1"/>
        <w:spacing w:line="240" w:lineRule="auto"/>
        <w:ind w:left="3006" w:right="0"/>
        <w:jc w:val="left"/>
        <w:rPr>
          <w:b w:val="0"/>
          <w:bCs w:val="0"/>
        </w:rPr>
      </w:pPr>
      <w:bookmarkStart w:name="_TOC_250007" w:id="6"/>
      <w:r>
        <w:rPr/>
        <w:t>第六节股份变动及股东情况</w:t>
      </w:r>
      <w:bookmarkEnd w:id="6"/>
      <w:r>
        <w:rPr>
          <w:b w:val="0"/>
          <w:bCs w:val="0"/>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6"/>
          <w:szCs w:val="16"/>
        </w:rPr>
      </w:pPr>
    </w:p>
    <w:p>
      <w:pPr>
        <w:pStyle w:val="Heading2"/>
        <w:spacing w:line="240" w:lineRule="auto" w:before="26"/>
        <w:ind w:right="0"/>
        <w:jc w:val="left"/>
        <w:rPr>
          <w:b w:val="0"/>
          <w:bCs w:val="0"/>
        </w:rPr>
      </w:pPr>
      <w:r>
        <w:rPr/>
        <w:t>一、股份变动情况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r>
        <w:rPr>
          <w:rFonts w:ascii="Times New Roman" w:hAnsi="Times New Roman" w:cs="Times New Roman" w:eastAsia="Times New Roman" w:hint="default"/>
        </w:rPr>
        <w:t>1</w:t>
      </w:r>
      <w:r>
        <w:rPr/>
        <w:t>、股份变动情况</w:t>
      </w:r>
      <w:r>
        <w:rPr>
          <w:b w:val="0"/>
          <w:bCs w:val="0"/>
        </w:rPr>
      </w:r>
    </w:p>
    <w:p>
      <w:pPr>
        <w:spacing w:line="240" w:lineRule="auto" w:before="2"/>
        <w:rPr>
          <w:rFonts w:ascii="宋体" w:hAnsi="宋体" w:cs="宋体" w:eastAsia="宋体" w:hint="default"/>
          <w:b/>
          <w:bCs/>
          <w:sz w:val="23"/>
          <w:szCs w:val="23"/>
        </w:rPr>
      </w:pPr>
    </w:p>
    <w:p>
      <w:pPr>
        <w:pStyle w:val="BodyText"/>
        <w:spacing w:line="240" w:lineRule="auto" w:before="44"/>
        <w:ind w:left="0" w:right="1132"/>
        <w:jc w:val="right"/>
      </w:pPr>
      <w:r>
        <w:rPr>
          <w:spacing w:val="-1"/>
        </w:rPr>
        <w:t>单位：股</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227"/>
        <w:gridCol w:w="823"/>
        <w:gridCol w:w="823"/>
        <w:gridCol w:w="823"/>
        <w:gridCol w:w="822"/>
        <w:gridCol w:w="822"/>
        <w:gridCol w:w="822"/>
        <w:gridCol w:w="822"/>
        <w:gridCol w:w="794"/>
        <w:gridCol w:w="794"/>
      </w:tblGrid>
      <w:tr>
        <w:trPr>
          <w:trHeight w:val="402" w:hRule="exact"/>
        </w:trPr>
        <w:tc>
          <w:tcPr>
            <w:tcW w:w="2227" w:type="dxa"/>
            <w:vMerge w:val="restart"/>
            <w:tcBorders>
              <w:top w:val="single" w:sz="4" w:space="0" w:color="000000"/>
              <w:left w:val="single" w:sz="4" w:space="0" w:color="000000"/>
              <w:right w:val="single" w:sz="4" w:space="0" w:color="000000"/>
            </w:tcBorders>
            <w:shd w:val="clear" w:color="auto" w:fill="D3D3D3"/>
          </w:tcPr>
          <w:p>
            <w:pPr/>
          </w:p>
        </w:tc>
        <w:tc>
          <w:tcPr>
            <w:tcW w:w="1646"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368"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4111" w:type="dxa"/>
            <w:gridSpan w:val="5"/>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59" w:right="0"/>
              <w:jc w:val="left"/>
              <w:rPr>
                <w:rFonts w:ascii="宋体" w:hAnsi="宋体" w:cs="宋体" w:eastAsia="宋体" w:hint="default"/>
                <w:sz w:val="18"/>
                <w:szCs w:val="18"/>
              </w:rPr>
            </w:pPr>
            <w:r>
              <w:rPr>
                <w:rFonts w:ascii="宋体" w:hAnsi="宋体" w:cs="宋体" w:eastAsia="宋体" w:hint="default"/>
                <w:sz w:val="18"/>
                <w:szCs w:val="18"/>
              </w:rPr>
              <w:t>本次变动增减（＋，－）</w:t>
            </w:r>
          </w:p>
        </w:tc>
        <w:tc>
          <w:tcPr>
            <w:tcW w:w="1588"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338"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714" w:hRule="exact"/>
        </w:trPr>
        <w:tc>
          <w:tcPr>
            <w:tcW w:w="2227" w:type="dxa"/>
            <w:vMerge/>
            <w:tcBorders>
              <w:left w:val="single" w:sz="4" w:space="0" w:color="000000"/>
              <w:bottom w:val="single" w:sz="4" w:space="0" w:color="000000"/>
              <w:right w:val="single" w:sz="4" w:space="0" w:color="000000"/>
            </w:tcBorders>
            <w:shd w:val="clear" w:color="auto" w:fill="D3D3D3"/>
          </w:tcPr>
          <w:p>
            <w:pPr/>
          </w:p>
        </w:tc>
        <w:tc>
          <w:tcPr>
            <w:tcW w:w="82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26"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82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比例</w:t>
            </w:r>
          </w:p>
        </w:tc>
        <w:tc>
          <w:tcPr>
            <w:tcW w:w="82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0"/>
              <w:ind w:left="315" w:right="135" w:hanging="180"/>
              <w:jc w:val="left"/>
              <w:rPr>
                <w:rFonts w:ascii="宋体" w:hAnsi="宋体" w:cs="宋体" w:eastAsia="宋体" w:hint="default"/>
                <w:sz w:val="18"/>
                <w:szCs w:val="18"/>
              </w:rPr>
            </w:pPr>
            <w:r>
              <w:rPr>
                <w:rFonts w:ascii="宋体" w:hAnsi="宋体" w:cs="宋体" w:eastAsia="宋体" w:hint="default"/>
                <w:sz w:val="18"/>
                <w:szCs w:val="18"/>
              </w:rPr>
              <w:t>发行新 股</w:t>
            </w:r>
          </w:p>
        </w:tc>
        <w:tc>
          <w:tcPr>
            <w:tcW w:w="82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26"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82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0"/>
              <w:ind w:left="226" w:right="134" w:hanging="90"/>
              <w:jc w:val="left"/>
              <w:rPr>
                <w:rFonts w:ascii="宋体" w:hAnsi="宋体" w:cs="宋体" w:eastAsia="宋体" w:hint="default"/>
                <w:sz w:val="18"/>
                <w:szCs w:val="18"/>
              </w:rPr>
            </w:pPr>
            <w:r>
              <w:rPr>
                <w:rFonts w:ascii="宋体" w:hAnsi="宋体" w:cs="宋体" w:eastAsia="宋体" w:hint="default"/>
                <w:sz w:val="18"/>
                <w:szCs w:val="18"/>
              </w:rPr>
              <w:t>公积金 转股</w:t>
            </w:r>
          </w:p>
        </w:tc>
        <w:tc>
          <w:tcPr>
            <w:tcW w:w="82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82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小计</w:t>
            </w:r>
          </w:p>
        </w:tc>
        <w:tc>
          <w:tcPr>
            <w:tcW w:w="7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12"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7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比例</w:t>
            </w:r>
          </w:p>
        </w:tc>
      </w:tr>
      <w:tr>
        <w:trPr>
          <w:trHeight w:val="714" w:hRule="exact"/>
        </w:trPr>
        <w:tc>
          <w:tcPr>
            <w:tcW w:w="22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5" w:right="0"/>
              <w:jc w:val="left"/>
              <w:rPr>
                <w:rFonts w:ascii="Times New Roman" w:hAnsi="Times New Roman" w:cs="Times New Roman" w:eastAsia="Times New Roman" w:hint="default"/>
                <w:sz w:val="18"/>
                <w:szCs w:val="18"/>
              </w:rPr>
            </w:pPr>
            <w:r>
              <w:rPr>
                <w:rFonts w:ascii="Times New Roman"/>
                <w:sz w:val="18"/>
              </w:rPr>
              <w:t>108,923</w:t>
            </w:r>
          </w:p>
          <w:p>
            <w:pPr>
              <w:pStyle w:val="TableParagraph"/>
              <w:spacing w:line="240" w:lineRule="auto" w:before="105"/>
              <w:ind w:left="395" w:right="0"/>
              <w:jc w:val="left"/>
              <w:rPr>
                <w:rFonts w:ascii="Times New Roman" w:hAnsi="Times New Roman" w:cs="Times New Roman" w:eastAsia="Times New Roman" w:hint="default"/>
                <w:sz w:val="18"/>
                <w:szCs w:val="18"/>
              </w:rPr>
            </w:pPr>
            <w:r>
              <w:rPr>
                <w:rFonts w:ascii="Times New Roman"/>
                <w:sz w:val="18"/>
              </w:rPr>
              <w:t>,425</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3" w:right="0"/>
              <w:jc w:val="center"/>
              <w:rPr>
                <w:rFonts w:ascii="Times New Roman" w:hAnsi="Times New Roman" w:cs="Times New Roman" w:eastAsia="Times New Roman" w:hint="default"/>
                <w:sz w:val="18"/>
                <w:szCs w:val="18"/>
              </w:rPr>
            </w:pPr>
            <w:r>
              <w:rPr>
                <w:rFonts w:ascii="Times New Roman"/>
                <w:sz w:val="18"/>
              </w:rPr>
              <w:t>15.30%</w:t>
            </w:r>
          </w:p>
        </w:tc>
        <w:tc>
          <w:tcPr>
            <w:tcW w:w="823"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3" w:right="0"/>
              <w:jc w:val="center"/>
              <w:rPr>
                <w:rFonts w:ascii="Times New Roman" w:hAnsi="Times New Roman" w:cs="Times New Roman" w:eastAsia="Times New Roman" w:hint="default"/>
                <w:sz w:val="18"/>
                <w:szCs w:val="18"/>
              </w:rPr>
            </w:pPr>
            <w:r>
              <w:rPr>
                <w:rFonts w:ascii="Times New Roman"/>
                <w:sz w:val="18"/>
              </w:rPr>
              <w:t>-41,800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3" w:right="0"/>
              <w:jc w:val="center"/>
              <w:rPr>
                <w:rFonts w:ascii="Times New Roman" w:hAnsi="Times New Roman" w:cs="Times New Roman" w:eastAsia="Times New Roman" w:hint="default"/>
                <w:sz w:val="18"/>
                <w:szCs w:val="18"/>
              </w:rPr>
            </w:pPr>
            <w:r>
              <w:rPr>
                <w:rFonts w:ascii="Times New Roman"/>
                <w:sz w:val="18"/>
              </w:rPr>
              <w:t>-41,800</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5" w:right="0"/>
              <w:jc w:val="left"/>
              <w:rPr>
                <w:rFonts w:ascii="Times New Roman" w:hAnsi="Times New Roman" w:cs="Times New Roman" w:eastAsia="Times New Roman" w:hint="default"/>
                <w:sz w:val="18"/>
                <w:szCs w:val="18"/>
              </w:rPr>
            </w:pPr>
            <w:r>
              <w:rPr>
                <w:rFonts w:ascii="Times New Roman"/>
                <w:sz w:val="18"/>
              </w:rPr>
              <w:t>108,88</w:t>
            </w:r>
          </w:p>
          <w:p>
            <w:pPr>
              <w:pStyle w:val="TableParagraph"/>
              <w:spacing w:line="240" w:lineRule="auto" w:before="105"/>
              <w:ind w:left="275" w:right="0"/>
              <w:jc w:val="left"/>
              <w:rPr>
                <w:rFonts w:ascii="Times New Roman" w:hAnsi="Times New Roman" w:cs="Times New Roman" w:eastAsia="Times New Roman" w:hint="default"/>
                <w:sz w:val="18"/>
                <w:szCs w:val="18"/>
              </w:rPr>
            </w:pPr>
            <w:r>
              <w:rPr>
                <w:rFonts w:ascii="Times New Roman"/>
                <w:sz w:val="18"/>
              </w:rPr>
              <w:t>1,625</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 w:right="0"/>
              <w:jc w:val="center"/>
              <w:rPr>
                <w:rFonts w:ascii="Times New Roman" w:hAnsi="Times New Roman" w:cs="Times New Roman" w:eastAsia="Times New Roman" w:hint="default"/>
                <w:sz w:val="18"/>
                <w:szCs w:val="18"/>
              </w:rPr>
            </w:pPr>
            <w:r>
              <w:rPr>
                <w:rFonts w:ascii="Times New Roman"/>
                <w:sz w:val="18"/>
              </w:rPr>
              <w:t>15.62%</w:t>
            </w:r>
          </w:p>
        </w:tc>
      </w:tr>
      <w:tr>
        <w:trPr>
          <w:trHeight w:val="714" w:hRule="exact"/>
        </w:trPr>
        <w:tc>
          <w:tcPr>
            <w:tcW w:w="22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5" w:right="0"/>
              <w:jc w:val="left"/>
              <w:rPr>
                <w:rFonts w:ascii="Times New Roman" w:hAnsi="Times New Roman" w:cs="Times New Roman" w:eastAsia="Times New Roman" w:hint="default"/>
                <w:sz w:val="18"/>
                <w:szCs w:val="18"/>
              </w:rPr>
            </w:pPr>
            <w:r>
              <w:rPr>
                <w:rFonts w:ascii="Times New Roman"/>
                <w:sz w:val="18"/>
              </w:rPr>
              <w:t>108,923</w:t>
            </w:r>
          </w:p>
          <w:p>
            <w:pPr>
              <w:pStyle w:val="TableParagraph"/>
              <w:spacing w:line="240" w:lineRule="auto" w:before="105"/>
              <w:ind w:left="395" w:right="0"/>
              <w:jc w:val="left"/>
              <w:rPr>
                <w:rFonts w:ascii="Times New Roman" w:hAnsi="Times New Roman" w:cs="Times New Roman" w:eastAsia="Times New Roman" w:hint="default"/>
                <w:sz w:val="18"/>
                <w:szCs w:val="18"/>
              </w:rPr>
            </w:pPr>
            <w:r>
              <w:rPr>
                <w:rFonts w:ascii="Times New Roman"/>
                <w:sz w:val="18"/>
              </w:rPr>
              <w:t>,425</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3" w:right="0"/>
              <w:jc w:val="center"/>
              <w:rPr>
                <w:rFonts w:ascii="Times New Roman" w:hAnsi="Times New Roman" w:cs="Times New Roman" w:eastAsia="Times New Roman" w:hint="default"/>
                <w:sz w:val="18"/>
                <w:szCs w:val="18"/>
              </w:rPr>
            </w:pPr>
            <w:r>
              <w:rPr>
                <w:rFonts w:ascii="Times New Roman"/>
                <w:sz w:val="18"/>
              </w:rPr>
              <w:t>15.30%</w:t>
            </w:r>
          </w:p>
        </w:tc>
        <w:tc>
          <w:tcPr>
            <w:tcW w:w="823"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3" w:right="0"/>
              <w:jc w:val="center"/>
              <w:rPr>
                <w:rFonts w:ascii="Times New Roman" w:hAnsi="Times New Roman" w:cs="Times New Roman" w:eastAsia="Times New Roman" w:hint="default"/>
                <w:sz w:val="18"/>
                <w:szCs w:val="18"/>
              </w:rPr>
            </w:pPr>
            <w:r>
              <w:rPr>
                <w:rFonts w:ascii="Times New Roman"/>
                <w:sz w:val="18"/>
              </w:rPr>
              <w:t>-41,800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3" w:right="0"/>
              <w:jc w:val="center"/>
              <w:rPr>
                <w:rFonts w:ascii="Times New Roman" w:hAnsi="Times New Roman" w:cs="Times New Roman" w:eastAsia="Times New Roman" w:hint="default"/>
                <w:sz w:val="18"/>
                <w:szCs w:val="18"/>
              </w:rPr>
            </w:pPr>
            <w:r>
              <w:rPr>
                <w:rFonts w:ascii="Times New Roman"/>
                <w:sz w:val="18"/>
              </w:rPr>
              <w:t>-41,800</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5" w:right="0"/>
              <w:jc w:val="left"/>
              <w:rPr>
                <w:rFonts w:ascii="Times New Roman" w:hAnsi="Times New Roman" w:cs="Times New Roman" w:eastAsia="Times New Roman" w:hint="default"/>
                <w:sz w:val="18"/>
                <w:szCs w:val="18"/>
              </w:rPr>
            </w:pPr>
            <w:r>
              <w:rPr>
                <w:rFonts w:ascii="Times New Roman"/>
                <w:sz w:val="18"/>
              </w:rPr>
              <w:t>108,88</w:t>
            </w:r>
          </w:p>
          <w:p>
            <w:pPr>
              <w:pStyle w:val="TableParagraph"/>
              <w:spacing w:line="240" w:lineRule="auto" w:before="105"/>
              <w:ind w:left="275" w:right="0"/>
              <w:jc w:val="left"/>
              <w:rPr>
                <w:rFonts w:ascii="Times New Roman" w:hAnsi="Times New Roman" w:cs="Times New Roman" w:eastAsia="Times New Roman" w:hint="default"/>
                <w:sz w:val="18"/>
                <w:szCs w:val="18"/>
              </w:rPr>
            </w:pPr>
            <w:r>
              <w:rPr>
                <w:rFonts w:ascii="Times New Roman"/>
                <w:sz w:val="18"/>
              </w:rPr>
              <w:t>1,625</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 w:right="0"/>
              <w:jc w:val="center"/>
              <w:rPr>
                <w:rFonts w:ascii="Times New Roman" w:hAnsi="Times New Roman" w:cs="Times New Roman" w:eastAsia="Times New Roman" w:hint="default"/>
                <w:sz w:val="18"/>
                <w:szCs w:val="18"/>
              </w:rPr>
            </w:pPr>
            <w:r>
              <w:rPr>
                <w:rFonts w:ascii="Times New Roman"/>
                <w:sz w:val="18"/>
              </w:rPr>
              <w:t>15.62%</w:t>
            </w:r>
          </w:p>
        </w:tc>
      </w:tr>
      <w:tr>
        <w:trPr>
          <w:trHeight w:val="714" w:hRule="exact"/>
        </w:trPr>
        <w:tc>
          <w:tcPr>
            <w:tcW w:w="22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642" w:right="0"/>
              <w:jc w:val="left"/>
              <w:rPr>
                <w:rFonts w:ascii="宋体" w:hAnsi="宋体" w:cs="宋体" w:eastAsia="宋体" w:hint="default"/>
                <w:sz w:val="18"/>
                <w:szCs w:val="18"/>
              </w:rPr>
            </w:pPr>
            <w:r>
              <w:rPr>
                <w:rFonts w:ascii="宋体" w:hAnsi="宋体" w:cs="宋体" w:eastAsia="宋体" w:hint="default"/>
                <w:sz w:val="18"/>
                <w:szCs w:val="18"/>
              </w:rPr>
              <w:t>境内自然人持股</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5" w:right="0"/>
              <w:jc w:val="left"/>
              <w:rPr>
                <w:rFonts w:ascii="Times New Roman" w:hAnsi="Times New Roman" w:cs="Times New Roman" w:eastAsia="Times New Roman" w:hint="default"/>
                <w:sz w:val="18"/>
                <w:szCs w:val="18"/>
              </w:rPr>
            </w:pPr>
            <w:r>
              <w:rPr>
                <w:rFonts w:ascii="Times New Roman"/>
                <w:sz w:val="18"/>
              </w:rPr>
              <w:t>108,923</w:t>
            </w:r>
          </w:p>
          <w:p>
            <w:pPr>
              <w:pStyle w:val="TableParagraph"/>
              <w:spacing w:line="240" w:lineRule="auto" w:before="105"/>
              <w:ind w:left="395" w:right="0"/>
              <w:jc w:val="left"/>
              <w:rPr>
                <w:rFonts w:ascii="Times New Roman" w:hAnsi="Times New Roman" w:cs="Times New Roman" w:eastAsia="Times New Roman" w:hint="default"/>
                <w:sz w:val="18"/>
                <w:szCs w:val="18"/>
              </w:rPr>
            </w:pPr>
            <w:r>
              <w:rPr>
                <w:rFonts w:ascii="Times New Roman"/>
                <w:sz w:val="18"/>
              </w:rPr>
              <w:t>,425</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3" w:right="0"/>
              <w:jc w:val="center"/>
              <w:rPr>
                <w:rFonts w:ascii="Times New Roman" w:hAnsi="Times New Roman" w:cs="Times New Roman" w:eastAsia="Times New Roman" w:hint="default"/>
                <w:sz w:val="18"/>
                <w:szCs w:val="18"/>
              </w:rPr>
            </w:pPr>
            <w:r>
              <w:rPr>
                <w:rFonts w:ascii="Times New Roman"/>
                <w:sz w:val="18"/>
              </w:rPr>
              <w:t>15.30%</w:t>
            </w:r>
          </w:p>
        </w:tc>
        <w:tc>
          <w:tcPr>
            <w:tcW w:w="823"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3" w:right="0"/>
              <w:jc w:val="center"/>
              <w:rPr>
                <w:rFonts w:ascii="Times New Roman" w:hAnsi="Times New Roman" w:cs="Times New Roman" w:eastAsia="Times New Roman" w:hint="default"/>
                <w:sz w:val="18"/>
                <w:szCs w:val="18"/>
              </w:rPr>
            </w:pPr>
            <w:r>
              <w:rPr>
                <w:rFonts w:ascii="Times New Roman"/>
                <w:sz w:val="18"/>
              </w:rPr>
              <w:t>-41,800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3" w:right="0"/>
              <w:jc w:val="center"/>
              <w:rPr>
                <w:rFonts w:ascii="Times New Roman" w:hAnsi="Times New Roman" w:cs="Times New Roman" w:eastAsia="Times New Roman" w:hint="default"/>
                <w:sz w:val="18"/>
                <w:szCs w:val="18"/>
              </w:rPr>
            </w:pPr>
            <w:r>
              <w:rPr>
                <w:rFonts w:ascii="Times New Roman"/>
                <w:sz w:val="18"/>
              </w:rPr>
              <w:t>-41,800</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5" w:right="0"/>
              <w:jc w:val="left"/>
              <w:rPr>
                <w:rFonts w:ascii="Times New Roman" w:hAnsi="Times New Roman" w:cs="Times New Roman" w:eastAsia="Times New Roman" w:hint="default"/>
                <w:sz w:val="18"/>
                <w:szCs w:val="18"/>
              </w:rPr>
            </w:pPr>
            <w:r>
              <w:rPr>
                <w:rFonts w:ascii="Times New Roman"/>
                <w:sz w:val="18"/>
              </w:rPr>
              <w:t>108,88</w:t>
            </w:r>
          </w:p>
          <w:p>
            <w:pPr>
              <w:pStyle w:val="TableParagraph"/>
              <w:spacing w:line="240" w:lineRule="auto" w:before="105"/>
              <w:ind w:left="275" w:right="0"/>
              <w:jc w:val="left"/>
              <w:rPr>
                <w:rFonts w:ascii="Times New Roman" w:hAnsi="Times New Roman" w:cs="Times New Roman" w:eastAsia="Times New Roman" w:hint="default"/>
                <w:sz w:val="18"/>
                <w:szCs w:val="18"/>
              </w:rPr>
            </w:pPr>
            <w:r>
              <w:rPr>
                <w:rFonts w:ascii="Times New Roman"/>
                <w:sz w:val="18"/>
              </w:rPr>
              <w:t>1,625</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 w:right="0"/>
              <w:jc w:val="center"/>
              <w:rPr>
                <w:rFonts w:ascii="Times New Roman" w:hAnsi="Times New Roman" w:cs="Times New Roman" w:eastAsia="Times New Roman" w:hint="default"/>
                <w:sz w:val="18"/>
                <w:szCs w:val="18"/>
              </w:rPr>
            </w:pPr>
            <w:r>
              <w:rPr>
                <w:rFonts w:ascii="Times New Roman"/>
                <w:sz w:val="18"/>
              </w:rPr>
              <w:t>15.62%</w:t>
            </w:r>
          </w:p>
        </w:tc>
      </w:tr>
      <w:tr>
        <w:trPr>
          <w:trHeight w:val="714" w:hRule="exact"/>
        </w:trPr>
        <w:tc>
          <w:tcPr>
            <w:tcW w:w="22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二、无限售条件股份</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5" w:right="0"/>
              <w:jc w:val="left"/>
              <w:rPr>
                <w:rFonts w:ascii="Times New Roman" w:hAnsi="Times New Roman" w:cs="Times New Roman" w:eastAsia="Times New Roman" w:hint="default"/>
                <w:sz w:val="18"/>
                <w:szCs w:val="18"/>
              </w:rPr>
            </w:pPr>
            <w:r>
              <w:rPr>
                <w:rFonts w:ascii="Times New Roman"/>
                <w:sz w:val="18"/>
              </w:rPr>
              <w:t>603,105</w:t>
            </w:r>
          </w:p>
          <w:p>
            <w:pPr>
              <w:pStyle w:val="TableParagraph"/>
              <w:spacing w:line="240" w:lineRule="auto" w:before="105"/>
              <w:ind w:left="395" w:right="0"/>
              <w:jc w:val="left"/>
              <w:rPr>
                <w:rFonts w:ascii="Times New Roman" w:hAnsi="Times New Roman" w:cs="Times New Roman" w:eastAsia="Times New Roman" w:hint="default"/>
                <w:sz w:val="18"/>
                <w:szCs w:val="18"/>
              </w:rPr>
            </w:pPr>
            <w:r>
              <w:rPr>
                <w:rFonts w:ascii="Times New Roman"/>
                <w:sz w:val="18"/>
              </w:rPr>
              <w:t>,375</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3" w:right="0"/>
              <w:jc w:val="center"/>
              <w:rPr>
                <w:rFonts w:ascii="Times New Roman" w:hAnsi="Times New Roman" w:cs="Times New Roman" w:eastAsia="Times New Roman" w:hint="default"/>
                <w:sz w:val="18"/>
                <w:szCs w:val="18"/>
              </w:rPr>
            </w:pPr>
            <w:r>
              <w:rPr>
                <w:rFonts w:ascii="Times New Roman"/>
                <w:sz w:val="18"/>
              </w:rPr>
              <w:t>84.70%</w:t>
            </w:r>
          </w:p>
        </w:tc>
        <w:tc>
          <w:tcPr>
            <w:tcW w:w="823"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0" w:right="0"/>
              <w:jc w:val="left"/>
              <w:rPr>
                <w:rFonts w:ascii="Times New Roman" w:hAnsi="Times New Roman" w:cs="Times New Roman" w:eastAsia="Times New Roman" w:hint="default"/>
                <w:sz w:val="18"/>
                <w:szCs w:val="18"/>
              </w:rPr>
            </w:pPr>
            <w:r>
              <w:rPr>
                <w:rFonts w:ascii="Times New Roman"/>
                <w:sz w:val="18"/>
              </w:rPr>
              <w:t>-15,065,</w:t>
            </w:r>
          </w:p>
          <w:p>
            <w:pPr>
              <w:pStyle w:val="TableParagraph"/>
              <w:spacing w:line="240" w:lineRule="auto" w:before="105"/>
              <w:ind w:left="439" w:right="0"/>
              <w:jc w:val="left"/>
              <w:rPr>
                <w:rFonts w:ascii="Times New Roman" w:hAnsi="Times New Roman" w:cs="Times New Roman" w:eastAsia="Times New Roman" w:hint="default"/>
                <w:sz w:val="18"/>
                <w:szCs w:val="18"/>
              </w:rPr>
            </w:pPr>
            <w:r>
              <w:rPr>
                <w:rFonts w:ascii="Times New Roman"/>
                <w:sz w:val="18"/>
              </w:rPr>
              <w:t>646</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0" w:right="0"/>
              <w:jc w:val="left"/>
              <w:rPr>
                <w:rFonts w:ascii="Times New Roman" w:hAnsi="Times New Roman" w:cs="Times New Roman" w:eastAsia="Times New Roman" w:hint="default"/>
                <w:sz w:val="18"/>
                <w:szCs w:val="18"/>
              </w:rPr>
            </w:pPr>
            <w:r>
              <w:rPr>
                <w:rFonts w:ascii="Times New Roman"/>
                <w:sz w:val="18"/>
              </w:rPr>
              <w:t>-15,065,</w:t>
            </w:r>
          </w:p>
          <w:p>
            <w:pPr>
              <w:pStyle w:val="TableParagraph"/>
              <w:spacing w:line="240" w:lineRule="auto" w:before="105"/>
              <w:ind w:left="439" w:right="0"/>
              <w:jc w:val="left"/>
              <w:rPr>
                <w:rFonts w:ascii="Times New Roman" w:hAnsi="Times New Roman" w:cs="Times New Roman" w:eastAsia="Times New Roman" w:hint="default"/>
                <w:sz w:val="18"/>
                <w:szCs w:val="18"/>
              </w:rPr>
            </w:pPr>
            <w:r>
              <w:rPr>
                <w:rFonts w:ascii="Times New Roman"/>
                <w:sz w:val="18"/>
              </w:rPr>
              <w:t>646</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5" w:right="0"/>
              <w:jc w:val="left"/>
              <w:rPr>
                <w:rFonts w:ascii="Times New Roman" w:hAnsi="Times New Roman" w:cs="Times New Roman" w:eastAsia="Times New Roman" w:hint="default"/>
                <w:sz w:val="18"/>
                <w:szCs w:val="18"/>
              </w:rPr>
            </w:pPr>
            <w:r>
              <w:rPr>
                <w:rFonts w:ascii="Times New Roman"/>
                <w:sz w:val="18"/>
              </w:rPr>
              <w:t>588,03</w:t>
            </w:r>
          </w:p>
          <w:p>
            <w:pPr>
              <w:pStyle w:val="TableParagraph"/>
              <w:spacing w:line="240" w:lineRule="auto" w:before="105"/>
              <w:ind w:left="275" w:right="0"/>
              <w:jc w:val="left"/>
              <w:rPr>
                <w:rFonts w:ascii="Times New Roman" w:hAnsi="Times New Roman" w:cs="Times New Roman" w:eastAsia="Times New Roman" w:hint="default"/>
                <w:sz w:val="18"/>
                <w:szCs w:val="18"/>
              </w:rPr>
            </w:pPr>
            <w:r>
              <w:rPr>
                <w:rFonts w:ascii="Times New Roman"/>
                <w:sz w:val="18"/>
              </w:rPr>
              <w:t>9,729</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 w:right="0"/>
              <w:jc w:val="center"/>
              <w:rPr>
                <w:rFonts w:ascii="Times New Roman" w:hAnsi="Times New Roman" w:cs="Times New Roman" w:eastAsia="Times New Roman" w:hint="default"/>
                <w:sz w:val="18"/>
                <w:szCs w:val="18"/>
              </w:rPr>
            </w:pPr>
            <w:r>
              <w:rPr>
                <w:rFonts w:ascii="Times New Roman"/>
                <w:sz w:val="18"/>
              </w:rPr>
              <w:t>84.38%</w:t>
            </w:r>
          </w:p>
        </w:tc>
      </w:tr>
      <w:tr>
        <w:trPr>
          <w:trHeight w:val="714" w:hRule="exact"/>
        </w:trPr>
        <w:tc>
          <w:tcPr>
            <w:tcW w:w="22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5" w:right="0"/>
              <w:jc w:val="left"/>
              <w:rPr>
                <w:rFonts w:ascii="Times New Roman" w:hAnsi="Times New Roman" w:cs="Times New Roman" w:eastAsia="Times New Roman" w:hint="default"/>
                <w:sz w:val="18"/>
                <w:szCs w:val="18"/>
              </w:rPr>
            </w:pPr>
            <w:r>
              <w:rPr>
                <w:rFonts w:ascii="Times New Roman"/>
                <w:sz w:val="18"/>
              </w:rPr>
              <w:t>603,105</w:t>
            </w:r>
          </w:p>
          <w:p>
            <w:pPr>
              <w:pStyle w:val="TableParagraph"/>
              <w:spacing w:line="240" w:lineRule="auto" w:before="105"/>
              <w:ind w:left="395" w:right="0"/>
              <w:jc w:val="left"/>
              <w:rPr>
                <w:rFonts w:ascii="Times New Roman" w:hAnsi="Times New Roman" w:cs="Times New Roman" w:eastAsia="Times New Roman" w:hint="default"/>
                <w:sz w:val="18"/>
                <w:szCs w:val="18"/>
              </w:rPr>
            </w:pPr>
            <w:r>
              <w:rPr>
                <w:rFonts w:ascii="Times New Roman"/>
                <w:sz w:val="18"/>
              </w:rPr>
              <w:t>,375</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3" w:right="0"/>
              <w:jc w:val="center"/>
              <w:rPr>
                <w:rFonts w:ascii="Times New Roman" w:hAnsi="Times New Roman" w:cs="Times New Roman" w:eastAsia="Times New Roman" w:hint="default"/>
                <w:sz w:val="18"/>
                <w:szCs w:val="18"/>
              </w:rPr>
            </w:pPr>
            <w:r>
              <w:rPr>
                <w:rFonts w:ascii="Times New Roman"/>
                <w:sz w:val="18"/>
              </w:rPr>
              <w:t>84.70%</w:t>
            </w:r>
          </w:p>
        </w:tc>
        <w:tc>
          <w:tcPr>
            <w:tcW w:w="823"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0" w:right="0"/>
              <w:jc w:val="left"/>
              <w:rPr>
                <w:rFonts w:ascii="Times New Roman" w:hAnsi="Times New Roman" w:cs="Times New Roman" w:eastAsia="Times New Roman" w:hint="default"/>
                <w:sz w:val="18"/>
                <w:szCs w:val="18"/>
              </w:rPr>
            </w:pPr>
            <w:r>
              <w:rPr>
                <w:rFonts w:ascii="Times New Roman"/>
                <w:sz w:val="18"/>
              </w:rPr>
              <w:t>-15,065,</w:t>
            </w:r>
          </w:p>
          <w:p>
            <w:pPr>
              <w:pStyle w:val="TableParagraph"/>
              <w:spacing w:line="240" w:lineRule="auto" w:before="105"/>
              <w:ind w:left="439" w:right="0"/>
              <w:jc w:val="left"/>
              <w:rPr>
                <w:rFonts w:ascii="Times New Roman" w:hAnsi="Times New Roman" w:cs="Times New Roman" w:eastAsia="Times New Roman" w:hint="default"/>
                <w:sz w:val="18"/>
                <w:szCs w:val="18"/>
              </w:rPr>
            </w:pPr>
            <w:r>
              <w:rPr>
                <w:rFonts w:ascii="Times New Roman"/>
                <w:sz w:val="18"/>
              </w:rPr>
              <w:t>646</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0" w:right="0"/>
              <w:jc w:val="left"/>
              <w:rPr>
                <w:rFonts w:ascii="Times New Roman" w:hAnsi="Times New Roman" w:cs="Times New Roman" w:eastAsia="Times New Roman" w:hint="default"/>
                <w:sz w:val="18"/>
                <w:szCs w:val="18"/>
              </w:rPr>
            </w:pPr>
            <w:r>
              <w:rPr>
                <w:rFonts w:ascii="Times New Roman"/>
                <w:sz w:val="18"/>
              </w:rPr>
              <w:t>-15,065,</w:t>
            </w:r>
          </w:p>
          <w:p>
            <w:pPr>
              <w:pStyle w:val="TableParagraph"/>
              <w:spacing w:line="240" w:lineRule="auto" w:before="105"/>
              <w:ind w:left="439" w:right="0"/>
              <w:jc w:val="left"/>
              <w:rPr>
                <w:rFonts w:ascii="Times New Roman" w:hAnsi="Times New Roman" w:cs="Times New Roman" w:eastAsia="Times New Roman" w:hint="default"/>
                <w:sz w:val="18"/>
                <w:szCs w:val="18"/>
              </w:rPr>
            </w:pPr>
            <w:r>
              <w:rPr>
                <w:rFonts w:ascii="Times New Roman"/>
                <w:sz w:val="18"/>
              </w:rPr>
              <w:t>646</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5" w:right="0"/>
              <w:jc w:val="left"/>
              <w:rPr>
                <w:rFonts w:ascii="Times New Roman" w:hAnsi="Times New Roman" w:cs="Times New Roman" w:eastAsia="Times New Roman" w:hint="default"/>
                <w:sz w:val="18"/>
                <w:szCs w:val="18"/>
              </w:rPr>
            </w:pPr>
            <w:r>
              <w:rPr>
                <w:rFonts w:ascii="Times New Roman"/>
                <w:sz w:val="18"/>
              </w:rPr>
              <w:t>588,03</w:t>
            </w:r>
          </w:p>
          <w:p>
            <w:pPr>
              <w:pStyle w:val="TableParagraph"/>
              <w:spacing w:line="240" w:lineRule="auto" w:before="105"/>
              <w:ind w:left="275" w:right="0"/>
              <w:jc w:val="left"/>
              <w:rPr>
                <w:rFonts w:ascii="Times New Roman" w:hAnsi="Times New Roman" w:cs="Times New Roman" w:eastAsia="Times New Roman" w:hint="default"/>
                <w:sz w:val="18"/>
                <w:szCs w:val="18"/>
              </w:rPr>
            </w:pPr>
            <w:r>
              <w:rPr>
                <w:rFonts w:ascii="Times New Roman"/>
                <w:sz w:val="18"/>
              </w:rPr>
              <w:t>9,729</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 w:right="0"/>
              <w:jc w:val="center"/>
              <w:rPr>
                <w:rFonts w:ascii="Times New Roman" w:hAnsi="Times New Roman" w:cs="Times New Roman" w:eastAsia="Times New Roman" w:hint="default"/>
                <w:sz w:val="18"/>
                <w:szCs w:val="18"/>
              </w:rPr>
            </w:pPr>
            <w:r>
              <w:rPr>
                <w:rFonts w:ascii="Times New Roman"/>
                <w:sz w:val="18"/>
              </w:rPr>
              <w:t>84.38%</w:t>
            </w:r>
          </w:p>
        </w:tc>
      </w:tr>
      <w:tr>
        <w:trPr>
          <w:trHeight w:val="714" w:hRule="exact"/>
        </w:trPr>
        <w:tc>
          <w:tcPr>
            <w:tcW w:w="22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5" w:right="0"/>
              <w:jc w:val="left"/>
              <w:rPr>
                <w:rFonts w:ascii="Times New Roman" w:hAnsi="Times New Roman" w:cs="Times New Roman" w:eastAsia="Times New Roman" w:hint="default"/>
                <w:sz w:val="18"/>
                <w:szCs w:val="18"/>
              </w:rPr>
            </w:pPr>
            <w:r>
              <w:rPr>
                <w:rFonts w:ascii="Times New Roman"/>
                <w:sz w:val="18"/>
              </w:rPr>
              <w:t>712,028</w:t>
            </w:r>
          </w:p>
          <w:p>
            <w:pPr>
              <w:pStyle w:val="TableParagraph"/>
              <w:spacing w:line="240" w:lineRule="auto" w:before="105"/>
              <w:ind w:left="395" w:right="0"/>
              <w:jc w:val="left"/>
              <w:rPr>
                <w:rFonts w:ascii="Times New Roman" w:hAnsi="Times New Roman" w:cs="Times New Roman" w:eastAsia="Times New Roman" w:hint="default"/>
                <w:sz w:val="18"/>
                <w:szCs w:val="18"/>
              </w:rPr>
            </w:pPr>
            <w:r>
              <w:rPr>
                <w:rFonts w:ascii="Times New Roman"/>
                <w:sz w:val="18"/>
              </w:rPr>
              <w:t>,800</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23"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0" w:right="0"/>
              <w:jc w:val="left"/>
              <w:rPr>
                <w:rFonts w:ascii="Times New Roman" w:hAnsi="Times New Roman" w:cs="Times New Roman" w:eastAsia="Times New Roman" w:hint="default"/>
                <w:sz w:val="18"/>
                <w:szCs w:val="18"/>
              </w:rPr>
            </w:pPr>
            <w:r>
              <w:rPr>
                <w:rFonts w:ascii="Times New Roman"/>
                <w:sz w:val="18"/>
              </w:rPr>
              <w:t>-15,107,</w:t>
            </w:r>
          </w:p>
          <w:p>
            <w:pPr>
              <w:pStyle w:val="TableParagraph"/>
              <w:spacing w:line="240" w:lineRule="auto" w:before="105"/>
              <w:ind w:left="439" w:right="0"/>
              <w:jc w:val="left"/>
              <w:rPr>
                <w:rFonts w:ascii="Times New Roman" w:hAnsi="Times New Roman" w:cs="Times New Roman" w:eastAsia="Times New Roman" w:hint="default"/>
                <w:sz w:val="18"/>
                <w:szCs w:val="18"/>
              </w:rPr>
            </w:pPr>
            <w:r>
              <w:rPr>
                <w:rFonts w:ascii="Times New Roman"/>
                <w:sz w:val="18"/>
              </w:rPr>
              <w:t>446</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0" w:right="0"/>
              <w:jc w:val="left"/>
              <w:rPr>
                <w:rFonts w:ascii="Times New Roman" w:hAnsi="Times New Roman" w:cs="Times New Roman" w:eastAsia="Times New Roman" w:hint="default"/>
                <w:sz w:val="18"/>
                <w:szCs w:val="18"/>
              </w:rPr>
            </w:pPr>
            <w:r>
              <w:rPr>
                <w:rFonts w:ascii="Times New Roman"/>
                <w:sz w:val="18"/>
              </w:rPr>
              <w:t>-15,107,</w:t>
            </w:r>
          </w:p>
          <w:p>
            <w:pPr>
              <w:pStyle w:val="TableParagraph"/>
              <w:spacing w:line="240" w:lineRule="auto" w:before="105"/>
              <w:ind w:left="439" w:right="0"/>
              <w:jc w:val="left"/>
              <w:rPr>
                <w:rFonts w:ascii="Times New Roman" w:hAnsi="Times New Roman" w:cs="Times New Roman" w:eastAsia="Times New Roman" w:hint="default"/>
                <w:sz w:val="18"/>
                <w:szCs w:val="18"/>
              </w:rPr>
            </w:pPr>
            <w:r>
              <w:rPr>
                <w:rFonts w:ascii="Times New Roman"/>
                <w:sz w:val="18"/>
              </w:rPr>
              <w:t>446</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5" w:right="0"/>
              <w:jc w:val="left"/>
              <w:rPr>
                <w:rFonts w:ascii="Times New Roman" w:hAnsi="Times New Roman" w:cs="Times New Roman" w:eastAsia="Times New Roman" w:hint="default"/>
                <w:sz w:val="18"/>
                <w:szCs w:val="18"/>
              </w:rPr>
            </w:pPr>
            <w:r>
              <w:rPr>
                <w:rFonts w:ascii="Times New Roman"/>
                <w:sz w:val="18"/>
              </w:rPr>
              <w:t>696,92</w:t>
            </w:r>
          </w:p>
          <w:p>
            <w:pPr>
              <w:pStyle w:val="TableParagraph"/>
              <w:spacing w:line="240" w:lineRule="auto" w:before="105"/>
              <w:ind w:left="275" w:right="0"/>
              <w:jc w:val="left"/>
              <w:rPr>
                <w:rFonts w:ascii="Times New Roman" w:hAnsi="Times New Roman" w:cs="Times New Roman" w:eastAsia="Times New Roman" w:hint="default"/>
                <w:sz w:val="18"/>
                <w:szCs w:val="18"/>
              </w:rPr>
            </w:pPr>
            <w:r>
              <w:rPr>
                <w:rFonts w:ascii="Times New Roman"/>
                <w:sz w:val="18"/>
              </w:rPr>
              <w:t>1,354</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pStyle w:val="BodyText"/>
        <w:spacing w:line="240" w:lineRule="auto" w:before="49"/>
        <w:ind w:right="0"/>
        <w:jc w:val="left"/>
      </w:pPr>
      <w:r>
        <w:rPr/>
        <w:t>股份变动的原因</w:t>
      </w:r>
    </w:p>
    <w:p>
      <w:pPr>
        <w:pStyle w:val="BodyText"/>
        <w:spacing w:line="240" w:lineRule="auto" w:before="116"/>
        <w:ind w:right="0"/>
        <w:jc w:val="left"/>
      </w:pPr>
      <w:r>
        <w:rPr/>
        <w:t>√ 适用 □ 不适用</w:t>
      </w:r>
    </w:p>
    <w:p>
      <w:pPr>
        <w:pStyle w:val="BodyText"/>
        <w:spacing w:line="240" w:lineRule="auto" w:before="116"/>
        <w:ind w:right="0"/>
        <w:jc w:val="left"/>
      </w:pPr>
      <w:r>
        <w:rPr>
          <w:rFonts w:ascii="Times New Roman" w:hAnsi="Times New Roman" w:cs="Times New Roman" w:eastAsia="Times New Roman" w:hint="default"/>
        </w:rPr>
        <w:t>1.</w:t>
      </w:r>
      <w:r>
        <w:rPr/>
        <w:t>报告期内公司董监高限售股解禁变动；</w:t>
      </w:r>
    </w:p>
    <w:p>
      <w:pPr>
        <w:pStyle w:val="BodyText"/>
        <w:spacing w:line="240" w:lineRule="auto" w:before="63"/>
        <w:ind w:right="0"/>
        <w:jc w:val="left"/>
      </w:pPr>
      <w:r>
        <w:rPr>
          <w:rFonts w:ascii="Times New Roman" w:hAnsi="Times New Roman" w:cs="Times New Roman" w:eastAsia="Times New Roman" w:hint="default"/>
        </w:rPr>
        <w:t>2.</w:t>
      </w:r>
      <w:r>
        <w:rPr/>
        <w:t>报告期内公司高管股份锁定。</w:t>
      </w:r>
    </w:p>
    <w:p>
      <w:pPr>
        <w:pStyle w:val="BodyText"/>
        <w:spacing w:line="316" w:lineRule="auto" w:before="62"/>
        <w:ind w:right="1122"/>
        <w:jc w:val="left"/>
      </w:pPr>
      <w:r>
        <w:rPr/>
        <w:t>3.截至2019年7月5日公司回购股份事宜期限已届满，共计回购15,107,446股，本次回购股份注销事宜已于2019年7月26日办 理完成。</w:t>
      </w:r>
    </w:p>
    <w:p>
      <w:pPr>
        <w:spacing w:line="240" w:lineRule="auto" w:before="0"/>
        <w:rPr>
          <w:rFonts w:ascii="宋体" w:hAnsi="宋体" w:cs="宋体" w:eastAsia="宋体" w:hint="default"/>
          <w:sz w:val="18"/>
          <w:szCs w:val="18"/>
        </w:rPr>
      </w:pPr>
    </w:p>
    <w:p>
      <w:pPr>
        <w:pStyle w:val="BodyText"/>
        <w:spacing w:line="240" w:lineRule="auto" w:before="135"/>
        <w:ind w:right="0"/>
        <w:jc w:val="left"/>
      </w:pPr>
      <w:r>
        <w:rPr/>
        <w:t>股份变动的批准情况</w:t>
      </w:r>
    </w:p>
    <w:p>
      <w:pPr>
        <w:pStyle w:val="BodyText"/>
        <w:spacing w:line="338" w:lineRule="auto" w:before="116"/>
        <w:ind w:right="1122"/>
        <w:jc w:val="left"/>
      </w:pPr>
      <w:r>
        <w:rPr/>
        <w:t>√ 适用 □ 不适用 1.公司于2018年6月19日召开的第六届董事会第十二次临时会议以及2018年7月6日召开的2018年第一次临时股东大会审议通 </w:t>
      </w:r>
      <w:r>
        <w:rPr>
          <w:spacing w:val="-2"/>
        </w:rPr>
        <w:t>过了《关于公司回购股份的预案》，回购股份的期限为自股东大会审议通过回购股份方案之日起12个月内，即2018年7月6日</w:t>
      </w:r>
    </w:p>
    <w:p>
      <w:pPr>
        <w:pStyle w:val="BodyText"/>
        <w:spacing w:line="316" w:lineRule="auto" w:before="2"/>
        <w:ind w:right="1122"/>
        <w:jc w:val="left"/>
      </w:pPr>
      <w:r>
        <w:rPr/>
        <w:t>至2019年7月6日，以不超过人民币7.20元/股的价格回购公司股份，回购总金额不超过20,000.00万元，不低于10,000.00万 元。 2.公司于2019年8月16日召开的第七届董事会第二次临时会议以及2019年9月16日召开的2019年第二次临时股东大会审议通 </w:t>
      </w:r>
      <w:r>
        <w:rPr>
          <w:spacing w:val="-2"/>
        </w:rPr>
        <w:t>过了《关于变更公司注册资本的议案》，同意本次回购注销完成后，将公司总股本从712,028,800股变更至696,921,354股，</w:t>
      </w:r>
      <w:r>
        <w:rPr>
          <w:spacing w:val="-51"/>
        </w:rPr>
        <w:t> </w:t>
      </w:r>
      <w:r>
        <w:rPr>
          <w:spacing w:val="-51"/>
        </w:rPr>
      </w:r>
      <w:r>
        <w:rPr/>
        <w:t>公司注册资本由人民币712,028,800元变更至人民币696,921,354元。</w:t>
      </w:r>
    </w:p>
    <w:p>
      <w:pPr>
        <w:spacing w:after="0" w:line="316" w:lineRule="auto"/>
        <w:jc w:val="left"/>
        <w:sectPr>
          <w:pgSz w:w="11910" w:h="16840"/>
          <w:pgMar w:header="906" w:footer="1018" w:top="1100" w:bottom="1200" w:left="1020" w:right="0"/>
        </w:sectPr>
      </w:pPr>
    </w:p>
    <w:p>
      <w:pPr>
        <w:spacing w:line="240" w:lineRule="auto" w:before="11"/>
        <w:rPr>
          <w:rFonts w:ascii="宋体" w:hAnsi="宋体" w:cs="宋体" w:eastAsia="宋体" w:hint="default"/>
          <w:sz w:val="22"/>
          <w:szCs w:val="22"/>
        </w:rPr>
      </w:pPr>
    </w:p>
    <w:p>
      <w:pPr>
        <w:pStyle w:val="BodyText"/>
        <w:spacing w:line="240" w:lineRule="auto" w:before="44"/>
        <w:ind w:right="0"/>
        <w:jc w:val="left"/>
      </w:pPr>
      <w:r>
        <w:rPr/>
        <w:t>股份变动的过户情况</w:t>
      </w:r>
    </w:p>
    <w:p>
      <w:pPr>
        <w:pStyle w:val="BodyText"/>
        <w:spacing w:line="360" w:lineRule="auto" w:before="116"/>
        <w:ind w:right="8772"/>
        <w:jc w:val="left"/>
      </w:pPr>
      <w:r>
        <w:rPr/>
        <w:t>□ 适用 √ 不适用 股份回购的实施进展情况</w:t>
      </w:r>
    </w:p>
    <w:p>
      <w:pPr>
        <w:pStyle w:val="BodyText"/>
        <w:spacing w:line="338" w:lineRule="auto" w:before="26"/>
        <w:ind w:right="0"/>
        <w:jc w:val="left"/>
      </w:pPr>
      <w:r>
        <w:rPr/>
        <w:t>√ 适用 □ 不适用 </w:t>
      </w:r>
      <w:r>
        <w:rPr>
          <w:spacing w:val="-2"/>
        </w:rPr>
        <w:t>公司于2018年7月6日至2019年7月5日期间实施了股份回购，公司通过股票回购专用证券账户以集中竞价交易方式累计回购股</w:t>
      </w:r>
      <w:r>
        <w:rPr>
          <w:spacing w:val="-52"/>
        </w:rPr>
        <w:t> </w:t>
      </w:r>
      <w:r>
        <w:rPr>
          <w:spacing w:val="-52"/>
        </w:rPr>
      </w:r>
      <w:r>
        <w:rPr>
          <w:spacing w:val="-2"/>
        </w:rPr>
        <w:t>份15,107,446股,占回购股份方案实施前公司总股本的2.122%，最高成交价为7.210元/股（由于股票价格波动较快，于7.210</w:t>
      </w:r>
    </w:p>
    <w:p>
      <w:pPr>
        <w:pStyle w:val="BodyText"/>
        <w:spacing w:line="316" w:lineRule="auto" w:before="2"/>
        <w:ind w:right="0"/>
        <w:jc w:val="left"/>
      </w:pPr>
      <w:r>
        <w:rPr>
          <w:spacing w:val="-3"/>
        </w:rPr>
        <w:t>元成交10,000股），最低成交价为5.350元/股，成交均价为6.554元/股，支付的总金额为99,019,502.79元（含交易费用）。</w:t>
      </w:r>
      <w:r>
        <w:rPr>
          <w:spacing w:val="-60"/>
        </w:rPr>
        <w:t> </w:t>
      </w:r>
      <w:r>
        <w:rPr>
          <w:spacing w:val="-60"/>
        </w:rPr>
      </w:r>
      <w:r>
        <w:rPr/>
        <w:t>公司已于2019年7月26日在中国证券登记结算有限责任公司深圳分公司办理完毕上述15,107,446股回购股份注销手续。</w:t>
      </w:r>
    </w:p>
    <w:p>
      <w:pPr>
        <w:spacing w:line="240" w:lineRule="auto" w:before="0"/>
        <w:rPr>
          <w:rFonts w:ascii="宋体" w:hAnsi="宋体" w:cs="宋体" w:eastAsia="宋体" w:hint="default"/>
          <w:sz w:val="18"/>
          <w:szCs w:val="18"/>
        </w:rPr>
      </w:pPr>
    </w:p>
    <w:p>
      <w:pPr>
        <w:pStyle w:val="BodyText"/>
        <w:spacing w:line="240" w:lineRule="auto" w:before="135"/>
        <w:ind w:right="0"/>
        <w:jc w:val="left"/>
      </w:pPr>
      <w:r>
        <w:rPr/>
        <w:t>采用集中竞价方式减持回购股份的实施进展情况</w:t>
      </w:r>
    </w:p>
    <w:p>
      <w:pPr>
        <w:pStyle w:val="BodyText"/>
        <w:spacing w:line="357" w:lineRule="auto" w:before="116"/>
        <w:ind w:right="1392"/>
        <w:jc w:val="left"/>
      </w:pPr>
      <w:r>
        <w:rPr/>
        <w:t>□ 适用 √ 不适用 股份变动对最近一年和最近一期基本每股收益和稀释每股收益、归属于公司普通股股东的每股净资产等财务指标的影响</w:t>
      </w:r>
    </w:p>
    <w:p>
      <w:pPr>
        <w:pStyle w:val="BodyText"/>
        <w:spacing w:line="338" w:lineRule="auto" w:before="28"/>
        <w:ind w:right="1032"/>
        <w:jc w:val="left"/>
      </w:pPr>
      <w:r>
        <w:rPr/>
        <w:t>√ 适用 □ 不适用 </w:t>
      </w:r>
      <w:r>
        <w:rPr>
          <w:spacing w:val="-2"/>
        </w:rPr>
        <w:t>按新股本696,921,354股摊薄计算，公司本报告期全面摊薄每股收益为0.1245元/股，归属于公司普通股股东的每股净资产为</w:t>
      </w:r>
      <w:r>
        <w:rPr>
          <w:spacing w:val="-46"/>
        </w:rPr>
        <w:t> </w:t>
      </w:r>
      <w:r>
        <w:rPr>
          <w:spacing w:val="-46"/>
        </w:rPr>
      </w:r>
      <w:r>
        <w:rPr/>
        <w:t>2.77元。</w:t>
      </w:r>
    </w:p>
    <w:p>
      <w:pPr>
        <w:pStyle w:val="BodyText"/>
        <w:spacing w:line="240" w:lineRule="auto" w:before="42"/>
        <w:ind w:right="0"/>
        <w:jc w:val="left"/>
      </w:pPr>
      <w:r>
        <w:rPr/>
        <w:t>公司认为必要或证券监管机构要求披露的其他内容</w:t>
      </w:r>
    </w:p>
    <w:p>
      <w:pPr>
        <w:pStyle w:val="BodyText"/>
        <w:spacing w:line="240" w:lineRule="auto" w:before="116"/>
        <w:ind w:right="0"/>
        <w:jc w:val="left"/>
      </w:pPr>
      <w:r>
        <w:rPr/>
        <w:t>□ 适用 √ 不适用</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2</w:t>
      </w:r>
      <w:r>
        <w:rPr/>
        <w:t>、限售股份变动情况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0"/>
        <w:jc w:val="left"/>
      </w:pPr>
      <w:r>
        <w:rPr/>
        <w:t>√ 适用 □ 不适用</w:t>
      </w:r>
    </w:p>
    <w:p>
      <w:pPr>
        <w:pStyle w:val="BodyText"/>
        <w:spacing w:line="240" w:lineRule="auto" w:before="116"/>
        <w:ind w:left="0" w:right="1132"/>
        <w:jc w:val="right"/>
      </w:pPr>
      <w:r>
        <w:rPr>
          <w:spacing w:val="-1"/>
        </w:rPr>
        <w:t>单位：股</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9"/>
        <w:gridCol w:w="1367"/>
        <w:gridCol w:w="1367"/>
        <w:gridCol w:w="1367"/>
        <w:gridCol w:w="1367"/>
        <w:gridCol w:w="1367"/>
        <w:gridCol w:w="1367"/>
      </w:tblGrid>
      <w:tr>
        <w:trPr>
          <w:trHeight w:val="714" w:hRule="exact"/>
        </w:trPr>
        <w:tc>
          <w:tcPr>
            <w:tcW w:w="136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18"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37"/>
              <w:jc w:val="right"/>
              <w:rPr>
                <w:rFonts w:ascii="宋体" w:hAnsi="宋体" w:cs="宋体" w:eastAsia="宋体" w:hint="default"/>
                <w:sz w:val="18"/>
                <w:szCs w:val="18"/>
              </w:rPr>
            </w:pPr>
            <w:r>
              <w:rPr>
                <w:rFonts w:ascii="宋体" w:hAnsi="宋体" w:cs="宋体" w:eastAsia="宋体" w:hint="default"/>
                <w:sz w:val="18"/>
                <w:szCs w:val="18"/>
              </w:rPr>
              <w:t>期初限售股数</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497" w:right="137" w:hanging="360"/>
              <w:jc w:val="left"/>
              <w:rPr>
                <w:rFonts w:ascii="宋体" w:hAnsi="宋体" w:cs="宋体" w:eastAsia="宋体" w:hint="default"/>
                <w:sz w:val="18"/>
                <w:szCs w:val="18"/>
              </w:rPr>
            </w:pPr>
            <w:r>
              <w:rPr>
                <w:rFonts w:ascii="宋体" w:hAnsi="宋体" w:cs="宋体" w:eastAsia="宋体" w:hint="default"/>
                <w:sz w:val="18"/>
                <w:szCs w:val="18"/>
              </w:rPr>
              <w:t>本期增加限售 股数</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498" w:right="137" w:hanging="360"/>
              <w:jc w:val="left"/>
              <w:rPr>
                <w:rFonts w:ascii="宋体" w:hAnsi="宋体" w:cs="宋体" w:eastAsia="宋体" w:hint="default"/>
                <w:sz w:val="18"/>
                <w:szCs w:val="18"/>
              </w:rPr>
            </w:pPr>
            <w:r>
              <w:rPr>
                <w:rFonts w:ascii="宋体" w:hAnsi="宋体" w:cs="宋体" w:eastAsia="宋体" w:hint="default"/>
                <w:sz w:val="18"/>
                <w:szCs w:val="18"/>
              </w:rPr>
              <w:t>本期解除限售 股数</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37"/>
              <w:jc w:val="right"/>
              <w:rPr>
                <w:rFonts w:ascii="宋体" w:hAnsi="宋体" w:cs="宋体" w:eastAsia="宋体" w:hint="default"/>
                <w:sz w:val="18"/>
                <w:szCs w:val="18"/>
              </w:rPr>
            </w:pPr>
            <w:r>
              <w:rPr>
                <w:rFonts w:ascii="宋体" w:hAnsi="宋体" w:cs="宋体" w:eastAsia="宋体" w:hint="default"/>
                <w:sz w:val="18"/>
                <w:szCs w:val="18"/>
              </w:rPr>
              <w:t>期末限售股数</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317"/>
              <w:jc w:val="right"/>
              <w:rPr>
                <w:rFonts w:ascii="宋体" w:hAnsi="宋体" w:cs="宋体" w:eastAsia="宋体" w:hint="default"/>
                <w:sz w:val="18"/>
                <w:szCs w:val="18"/>
              </w:rPr>
            </w:pPr>
            <w:r>
              <w:rPr>
                <w:rFonts w:ascii="宋体" w:hAnsi="宋体" w:cs="宋体" w:eastAsia="宋体" w:hint="default"/>
                <w:sz w:val="18"/>
                <w:szCs w:val="18"/>
              </w:rPr>
              <w:t>限售原因</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38" w:right="0"/>
              <w:jc w:val="left"/>
              <w:rPr>
                <w:rFonts w:ascii="宋体" w:hAnsi="宋体" w:cs="宋体" w:eastAsia="宋体" w:hint="default"/>
                <w:sz w:val="18"/>
                <w:szCs w:val="18"/>
              </w:rPr>
            </w:pPr>
            <w:r>
              <w:rPr>
                <w:rFonts w:ascii="宋体" w:hAnsi="宋体" w:cs="宋体" w:eastAsia="宋体" w:hint="default"/>
                <w:sz w:val="18"/>
                <w:szCs w:val="18"/>
              </w:rPr>
              <w:t>解除限售日期</w:t>
            </w:r>
          </w:p>
        </w:tc>
      </w:tr>
      <w:tr>
        <w:trPr>
          <w:trHeight w:val="356" w:hRule="exact"/>
        </w:trPr>
        <w:tc>
          <w:tcPr>
            <w:tcW w:w="1369" w:type="dxa"/>
            <w:tcBorders>
              <w:top w:val="single" w:sz="4" w:space="0" w:color="000000"/>
              <w:left w:val="single" w:sz="4" w:space="0" w:color="000000"/>
              <w:bottom w:val="nil" w:sz="6" w:space="0" w:color="auto"/>
              <w:right w:val="single" w:sz="4" w:space="0" w:color="000000"/>
            </w:tcBorders>
          </w:tcPr>
          <w:p>
            <w:pPr/>
          </w:p>
        </w:tc>
        <w:tc>
          <w:tcPr>
            <w:tcW w:w="1367" w:type="dxa"/>
            <w:tcBorders>
              <w:top w:val="single" w:sz="4" w:space="0" w:color="000000"/>
              <w:left w:val="single" w:sz="4" w:space="0" w:color="000000"/>
              <w:bottom w:val="nil" w:sz="6" w:space="0" w:color="auto"/>
              <w:right w:val="single" w:sz="4" w:space="0" w:color="000000"/>
            </w:tcBorders>
          </w:tcPr>
          <w:p>
            <w:pPr/>
          </w:p>
        </w:tc>
        <w:tc>
          <w:tcPr>
            <w:tcW w:w="1367" w:type="dxa"/>
            <w:vMerge w:val="restart"/>
            <w:tcBorders>
              <w:top w:val="single" w:sz="4" w:space="0" w:color="000000"/>
              <w:left w:val="single" w:sz="4" w:space="0" w:color="000000"/>
              <w:right w:val="single" w:sz="4" w:space="0" w:color="000000"/>
            </w:tcBorders>
          </w:tcPr>
          <w:p>
            <w:pPr/>
          </w:p>
        </w:tc>
        <w:tc>
          <w:tcPr>
            <w:tcW w:w="1367" w:type="dxa"/>
            <w:tcBorders>
              <w:top w:val="single" w:sz="4" w:space="0" w:color="000000"/>
              <w:left w:val="single" w:sz="4" w:space="0" w:color="000000"/>
              <w:bottom w:val="nil" w:sz="6" w:space="0" w:color="auto"/>
              <w:right w:val="single" w:sz="4" w:space="0" w:color="000000"/>
            </w:tcBorders>
          </w:tcPr>
          <w:p>
            <w:pPr/>
          </w:p>
        </w:tc>
        <w:tc>
          <w:tcPr>
            <w:tcW w:w="1367" w:type="dxa"/>
            <w:tcBorders>
              <w:top w:val="single" w:sz="4" w:space="0" w:color="000000"/>
              <w:left w:val="single" w:sz="4" w:space="0" w:color="000000"/>
              <w:bottom w:val="nil" w:sz="6" w:space="0" w:color="auto"/>
              <w:right w:val="single" w:sz="4" w:space="0" w:color="000000"/>
            </w:tcBorders>
          </w:tcPr>
          <w:p>
            <w:pPr/>
          </w:p>
        </w:tc>
        <w:tc>
          <w:tcPr>
            <w:tcW w:w="1367" w:type="dxa"/>
            <w:tcBorders>
              <w:top w:val="single" w:sz="4" w:space="0" w:color="000000"/>
              <w:left w:val="single" w:sz="4" w:space="0" w:color="000000"/>
              <w:bottom w:val="nil" w:sz="6" w:space="0" w:color="auto"/>
              <w:right w:val="single" w:sz="4" w:space="0" w:color="000000"/>
            </w:tcBorders>
          </w:tcPr>
          <w:p>
            <w:pPr/>
          </w:p>
        </w:tc>
        <w:tc>
          <w:tcPr>
            <w:tcW w:w="136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高管锁定股每</w:t>
            </w:r>
          </w:p>
        </w:tc>
      </w:tr>
      <w:tr>
        <w:trPr>
          <w:trHeight w:val="624" w:hRule="exact"/>
        </w:trPr>
        <w:tc>
          <w:tcPr>
            <w:tcW w:w="1369"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高山</w:t>
            </w:r>
          </w:p>
        </w:tc>
        <w:tc>
          <w:tcPr>
            <w:tcW w:w="136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2"/>
                <w:sz w:val="18"/>
              </w:rPr>
              <w:t>118,800</w:t>
            </w:r>
          </w:p>
        </w:tc>
        <w:tc>
          <w:tcPr>
            <w:tcW w:w="1367" w:type="dxa"/>
            <w:vMerge/>
            <w:tcBorders>
              <w:left w:val="single" w:sz="4" w:space="0" w:color="000000"/>
              <w:right w:val="single" w:sz="4" w:space="0" w:color="000000"/>
            </w:tcBorders>
          </w:tcPr>
          <w:p>
            <w:pPr/>
          </w:p>
        </w:tc>
        <w:tc>
          <w:tcPr>
            <w:tcW w:w="136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2"/>
                <w:sz w:val="18"/>
              </w:rPr>
              <w:t>118,800</w:t>
            </w:r>
          </w:p>
        </w:tc>
        <w:tc>
          <w:tcPr>
            <w:tcW w:w="136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352"/>
              <w:jc w:val="right"/>
              <w:rPr>
                <w:rFonts w:ascii="宋体" w:hAnsi="宋体" w:cs="宋体" w:eastAsia="宋体" w:hint="default"/>
                <w:sz w:val="18"/>
                <w:szCs w:val="18"/>
              </w:rPr>
            </w:pPr>
            <w:r>
              <w:rPr>
                <w:rFonts w:ascii="宋体" w:hAnsi="宋体" w:cs="宋体" w:eastAsia="宋体" w:hint="default"/>
                <w:sz w:val="18"/>
                <w:szCs w:val="18"/>
              </w:rPr>
              <w:t>高管锁定股</w:t>
            </w:r>
          </w:p>
        </w:tc>
        <w:tc>
          <w:tcPr>
            <w:tcW w:w="1367"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3" w:right="171"/>
              <w:jc w:val="left"/>
              <w:rPr>
                <w:rFonts w:ascii="宋体" w:hAnsi="宋体" w:cs="宋体" w:eastAsia="宋体" w:hint="default"/>
                <w:sz w:val="18"/>
                <w:szCs w:val="18"/>
              </w:rPr>
            </w:pPr>
            <w:r>
              <w:rPr>
                <w:rFonts w:ascii="宋体" w:hAnsi="宋体" w:cs="宋体" w:eastAsia="宋体" w:hint="default"/>
                <w:sz w:val="18"/>
                <w:szCs w:val="18"/>
              </w:rPr>
              <w:t>年年初按上年 末持股数的</w:t>
            </w:r>
          </w:p>
        </w:tc>
      </w:tr>
      <w:tr>
        <w:trPr>
          <w:trHeight w:val="358" w:hRule="exact"/>
        </w:trPr>
        <w:tc>
          <w:tcPr>
            <w:tcW w:w="1369" w:type="dxa"/>
            <w:tcBorders>
              <w:top w:val="nil" w:sz="6" w:space="0" w:color="auto"/>
              <w:left w:val="single" w:sz="4" w:space="0" w:color="000000"/>
              <w:bottom w:val="single" w:sz="4" w:space="0" w:color="000000"/>
              <w:right w:val="single" w:sz="4" w:space="0" w:color="000000"/>
            </w:tcBorders>
          </w:tcPr>
          <w:p>
            <w:pPr/>
          </w:p>
        </w:tc>
        <w:tc>
          <w:tcPr>
            <w:tcW w:w="1367" w:type="dxa"/>
            <w:tcBorders>
              <w:top w:val="nil" w:sz="6" w:space="0" w:color="auto"/>
              <w:left w:val="single" w:sz="4" w:space="0" w:color="000000"/>
              <w:bottom w:val="single" w:sz="4" w:space="0" w:color="000000"/>
              <w:right w:val="single" w:sz="4" w:space="0" w:color="000000"/>
            </w:tcBorders>
          </w:tcPr>
          <w:p>
            <w:pPr/>
          </w:p>
        </w:tc>
        <w:tc>
          <w:tcPr>
            <w:tcW w:w="1367" w:type="dxa"/>
            <w:vMerge/>
            <w:tcBorders>
              <w:left w:val="single" w:sz="4" w:space="0" w:color="000000"/>
              <w:bottom w:val="single" w:sz="4" w:space="0" w:color="000000"/>
              <w:right w:val="single" w:sz="4" w:space="0" w:color="000000"/>
            </w:tcBorders>
          </w:tcPr>
          <w:p>
            <w:pPr/>
          </w:p>
        </w:tc>
        <w:tc>
          <w:tcPr>
            <w:tcW w:w="1367" w:type="dxa"/>
            <w:tcBorders>
              <w:top w:val="nil" w:sz="6" w:space="0" w:color="auto"/>
              <w:left w:val="single" w:sz="4" w:space="0" w:color="000000"/>
              <w:bottom w:val="single" w:sz="4" w:space="0" w:color="000000"/>
              <w:right w:val="single" w:sz="4" w:space="0" w:color="000000"/>
            </w:tcBorders>
          </w:tcPr>
          <w:p>
            <w:pPr/>
          </w:p>
        </w:tc>
        <w:tc>
          <w:tcPr>
            <w:tcW w:w="1367" w:type="dxa"/>
            <w:tcBorders>
              <w:top w:val="nil" w:sz="6" w:space="0" w:color="auto"/>
              <w:left w:val="single" w:sz="4" w:space="0" w:color="000000"/>
              <w:bottom w:val="single" w:sz="4" w:space="0" w:color="000000"/>
              <w:right w:val="single" w:sz="4" w:space="0" w:color="000000"/>
            </w:tcBorders>
          </w:tcPr>
          <w:p>
            <w:pPr/>
          </w:p>
        </w:tc>
        <w:tc>
          <w:tcPr>
            <w:tcW w:w="1367" w:type="dxa"/>
            <w:tcBorders>
              <w:top w:val="nil" w:sz="6" w:space="0" w:color="auto"/>
              <w:left w:val="single" w:sz="4" w:space="0" w:color="000000"/>
              <w:bottom w:val="single" w:sz="4" w:space="0" w:color="000000"/>
              <w:right w:val="single" w:sz="4" w:space="0" w:color="000000"/>
            </w:tcBorders>
          </w:tcPr>
          <w:p>
            <w:pPr/>
          </w:p>
        </w:tc>
        <w:tc>
          <w:tcPr>
            <w:tcW w:w="136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25%</w:t>
            </w:r>
            <w:r>
              <w:rPr>
                <w:rFonts w:ascii="宋体" w:hAnsi="宋体" w:cs="宋体" w:eastAsia="宋体" w:hint="default"/>
                <w:sz w:val="18"/>
                <w:szCs w:val="18"/>
              </w:rPr>
              <w:t>解除限售</w:t>
            </w:r>
          </w:p>
        </w:tc>
      </w:tr>
      <w:tr>
        <w:trPr>
          <w:trHeight w:val="356" w:hRule="exact"/>
        </w:trPr>
        <w:tc>
          <w:tcPr>
            <w:tcW w:w="1369" w:type="dxa"/>
            <w:tcBorders>
              <w:top w:val="single" w:sz="4" w:space="0" w:color="000000"/>
              <w:left w:val="single" w:sz="4" w:space="0" w:color="000000"/>
              <w:bottom w:val="nil" w:sz="6" w:space="0" w:color="auto"/>
              <w:right w:val="single" w:sz="4" w:space="0" w:color="000000"/>
            </w:tcBorders>
          </w:tcPr>
          <w:p>
            <w:pPr/>
          </w:p>
        </w:tc>
        <w:tc>
          <w:tcPr>
            <w:tcW w:w="1367" w:type="dxa"/>
            <w:tcBorders>
              <w:top w:val="single" w:sz="4" w:space="0" w:color="000000"/>
              <w:left w:val="single" w:sz="4" w:space="0" w:color="000000"/>
              <w:bottom w:val="nil" w:sz="6" w:space="0" w:color="auto"/>
              <w:right w:val="single" w:sz="4" w:space="0" w:color="000000"/>
            </w:tcBorders>
          </w:tcPr>
          <w:p>
            <w:pPr/>
          </w:p>
        </w:tc>
        <w:tc>
          <w:tcPr>
            <w:tcW w:w="1367" w:type="dxa"/>
            <w:tcBorders>
              <w:top w:val="single" w:sz="4" w:space="0" w:color="000000"/>
              <w:left w:val="single" w:sz="4" w:space="0" w:color="000000"/>
              <w:bottom w:val="nil" w:sz="6" w:space="0" w:color="auto"/>
              <w:right w:val="single" w:sz="4" w:space="0" w:color="000000"/>
            </w:tcBorders>
          </w:tcPr>
          <w:p>
            <w:pPr/>
          </w:p>
        </w:tc>
        <w:tc>
          <w:tcPr>
            <w:tcW w:w="1367" w:type="dxa"/>
            <w:vMerge w:val="restart"/>
            <w:tcBorders>
              <w:top w:val="single" w:sz="4" w:space="0" w:color="000000"/>
              <w:left w:val="single" w:sz="4" w:space="0" w:color="000000"/>
              <w:right w:val="single" w:sz="4" w:space="0" w:color="000000"/>
            </w:tcBorders>
          </w:tcPr>
          <w:p>
            <w:pPr/>
          </w:p>
        </w:tc>
        <w:tc>
          <w:tcPr>
            <w:tcW w:w="1367" w:type="dxa"/>
            <w:tcBorders>
              <w:top w:val="single" w:sz="4" w:space="0" w:color="000000"/>
              <w:left w:val="single" w:sz="4" w:space="0" w:color="000000"/>
              <w:bottom w:val="nil" w:sz="6" w:space="0" w:color="auto"/>
              <w:right w:val="single" w:sz="4" w:space="0" w:color="000000"/>
            </w:tcBorders>
          </w:tcPr>
          <w:p>
            <w:pPr/>
          </w:p>
        </w:tc>
        <w:tc>
          <w:tcPr>
            <w:tcW w:w="1367" w:type="dxa"/>
            <w:tcBorders>
              <w:top w:val="single" w:sz="4" w:space="0" w:color="000000"/>
              <w:left w:val="single" w:sz="4" w:space="0" w:color="000000"/>
              <w:bottom w:val="nil" w:sz="6" w:space="0" w:color="auto"/>
              <w:right w:val="single" w:sz="4" w:space="0" w:color="000000"/>
            </w:tcBorders>
          </w:tcPr>
          <w:p>
            <w:pPr/>
          </w:p>
        </w:tc>
        <w:tc>
          <w:tcPr>
            <w:tcW w:w="136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高管锁定股每</w:t>
            </w:r>
          </w:p>
        </w:tc>
      </w:tr>
      <w:tr>
        <w:trPr>
          <w:trHeight w:val="624" w:hRule="exact"/>
        </w:trPr>
        <w:tc>
          <w:tcPr>
            <w:tcW w:w="1369"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赵长健</w:t>
            </w:r>
          </w:p>
        </w:tc>
        <w:tc>
          <w:tcPr>
            <w:tcW w:w="136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231,000</w:t>
            </w:r>
          </w:p>
        </w:tc>
        <w:tc>
          <w:tcPr>
            <w:tcW w:w="136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77,000</w:t>
            </w:r>
          </w:p>
        </w:tc>
        <w:tc>
          <w:tcPr>
            <w:tcW w:w="1367" w:type="dxa"/>
            <w:vMerge/>
            <w:tcBorders>
              <w:left w:val="single" w:sz="4" w:space="0" w:color="000000"/>
              <w:right w:val="single" w:sz="4" w:space="0" w:color="000000"/>
            </w:tcBorders>
          </w:tcPr>
          <w:p>
            <w:pPr/>
          </w:p>
        </w:tc>
        <w:tc>
          <w:tcPr>
            <w:tcW w:w="136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308,000</w:t>
            </w:r>
          </w:p>
        </w:tc>
        <w:tc>
          <w:tcPr>
            <w:tcW w:w="1367"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352"/>
              <w:jc w:val="right"/>
              <w:rPr>
                <w:rFonts w:ascii="宋体" w:hAnsi="宋体" w:cs="宋体" w:eastAsia="宋体" w:hint="default"/>
                <w:sz w:val="18"/>
                <w:szCs w:val="18"/>
              </w:rPr>
            </w:pPr>
            <w:r>
              <w:rPr>
                <w:rFonts w:ascii="宋体" w:hAnsi="宋体" w:cs="宋体" w:eastAsia="宋体" w:hint="default"/>
                <w:sz w:val="18"/>
                <w:szCs w:val="18"/>
              </w:rPr>
              <w:t>高管锁定股</w:t>
            </w:r>
          </w:p>
        </w:tc>
        <w:tc>
          <w:tcPr>
            <w:tcW w:w="1367" w:type="dxa"/>
            <w:tcBorders>
              <w:top w:val="nil" w:sz="6" w:space="0" w:color="auto"/>
              <w:left w:val="single" w:sz="4" w:space="0" w:color="000000"/>
              <w:bottom w:val="nil" w:sz="6" w:space="0" w:color="auto"/>
              <w:right w:val="single" w:sz="4" w:space="0" w:color="000000"/>
            </w:tcBorders>
          </w:tcPr>
          <w:p>
            <w:pPr>
              <w:pStyle w:val="TableParagraph"/>
              <w:spacing w:line="319" w:lineRule="auto" w:before="10"/>
              <w:ind w:left="103" w:right="171"/>
              <w:jc w:val="left"/>
              <w:rPr>
                <w:rFonts w:ascii="宋体" w:hAnsi="宋体" w:cs="宋体" w:eastAsia="宋体" w:hint="default"/>
                <w:sz w:val="18"/>
                <w:szCs w:val="18"/>
              </w:rPr>
            </w:pPr>
            <w:r>
              <w:rPr>
                <w:rFonts w:ascii="宋体" w:hAnsi="宋体" w:cs="宋体" w:eastAsia="宋体" w:hint="default"/>
                <w:sz w:val="18"/>
                <w:szCs w:val="18"/>
              </w:rPr>
              <w:t>年年初按上年 末持股数的</w:t>
            </w:r>
          </w:p>
        </w:tc>
      </w:tr>
      <w:tr>
        <w:trPr>
          <w:trHeight w:val="358" w:hRule="exact"/>
        </w:trPr>
        <w:tc>
          <w:tcPr>
            <w:tcW w:w="1369" w:type="dxa"/>
            <w:tcBorders>
              <w:top w:val="nil" w:sz="6" w:space="0" w:color="auto"/>
              <w:left w:val="single" w:sz="4" w:space="0" w:color="000000"/>
              <w:bottom w:val="single" w:sz="4" w:space="0" w:color="000000"/>
              <w:right w:val="single" w:sz="4" w:space="0" w:color="000000"/>
            </w:tcBorders>
          </w:tcPr>
          <w:p>
            <w:pPr/>
          </w:p>
        </w:tc>
        <w:tc>
          <w:tcPr>
            <w:tcW w:w="1367" w:type="dxa"/>
            <w:tcBorders>
              <w:top w:val="nil" w:sz="6" w:space="0" w:color="auto"/>
              <w:left w:val="single" w:sz="4" w:space="0" w:color="000000"/>
              <w:bottom w:val="single" w:sz="4" w:space="0" w:color="000000"/>
              <w:right w:val="single" w:sz="4" w:space="0" w:color="000000"/>
            </w:tcBorders>
          </w:tcPr>
          <w:p>
            <w:pPr/>
          </w:p>
        </w:tc>
        <w:tc>
          <w:tcPr>
            <w:tcW w:w="1367" w:type="dxa"/>
            <w:tcBorders>
              <w:top w:val="nil" w:sz="6" w:space="0" w:color="auto"/>
              <w:left w:val="single" w:sz="4" w:space="0" w:color="000000"/>
              <w:bottom w:val="single" w:sz="4" w:space="0" w:color="000000"/>
              <w:right w:val="single" w:sz="4" w:space="0" w:color="000000"/>
            </w:tcBorders>
          </w:tcPr>
          <w:p>
            <w:pPr/>
          </w:p>
        </w:tc>
        <w:tc>
          <w:tcPr>
            <w:tcW w:w="1367" w:type="dxa"/>
            <w:vMerge/>
            <w:tcBorders>
              <w:left w:val="single" w:sz="4" w:space="0" w:color="000000"/>
              <w:bottom w:val="single" w:sz="4" w:space="0" w:color="000000"/>
              <w:right w:val="single" w:sz="4" w:space="0" w:color="000000"/>
            </w:tcBorders>
          </w:tcPr>
          <w:p>
            <w:pPr/>
          </w:p>
        </w:tc>
        <w:tc>
          <w:tcPr>
            <w:tcW w:w="1367" w:type="dxa"/>
            <w:tcBorders>
              <w:top w:val="nil" w:sz="6" w:space="0" w:color="auto"/>
              <w:left w:val="single" w:sz="4" w:space="0" w:color="000000"/>
              <w:bottom w:val="single" w:sz="4" w:space="0" w:color="000000"/>
              <w:right w:val="single" w:sz="4" w:space="0" w:color="000000"/>
            </w:tcBorders>
          </w:tcPr>
          <w:p>
            <w:pPr/>
          </w:p>
        </w:tc>
        <w:tc>
          <w:tcPr>
            <w:tcW w:w="1367" w:type="dxa"/>
            <w:tcBorders>
              <w:top w:val="nil" w:sz="6" w:space="0" w:color="auto"/>
              <w:left w:val="single" w:sz="4" w:space="0" w:color="000000"/>
              <w:bottom w:val="single" w:sz="4" w:space="0" w:color="000000"/>
              <w:right w:val="single" w:sz="4" w:space="0" w:color="000000"/>
            </w:tcBorders>
          </w:tcPr>
          <w:p>
            <w:pPr/>
          </w:p>
        </w:tc>
        <w:tc>
          <w:tcPr>
            <w:tcW w:w="136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25%</w:t>
            </w:r>
            <w:r>
              <w:rPr>
                <w:rFonts w:ascii="宋体" w:hAnsi="宋体" w:cs="宋体" w:eastAsia="宋体" w:hint="default"/>
                <w:sz w:val="18"/>
                <w:szCs w:val="18"/>
              </w:rPr>
              <w:t>解除限售</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349,800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77,000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2"/>
                <w:sz w:val="18"/>
              </w:rPr>
              <w:t>118,800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308,000</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0"/>
        <w:rPr>
          <w:rFonts w:ascii="宋体" w:hAnsi="宋体" w:cs="宋体" w:eastAsia="宋体" w:hint="default"/>
          <w:sz w:val="18"/>
          <w:szCs w:val="18"/>
        </w:rPr>
      </w:pPr>
    </w:p>
    <w:p>
      <w:pPr>
        <w:pStyle w:val="Heading2"/>
        <w:spacing w:line="240" w:lineRule="auto" w:before="26"/>
        <w:ind w:right="0"/>
        <w:jc w:val="left"/>
        <w:rPr>
          <w:b w:val="0"/>
          <w:bCs w:val="0"/>
        </w:rPr>
      </w:pPr>
      <w:r>
        <w:rPr/>
        <w:t>二、证券发行与上市情况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r>
        <w:rPr>
          <w:rFonts w:ascii="Times New Roman" w:hAnsi="Times New Roman" w:cs="Times New Roman" w:eastAsia="Times New Roman" w:hint="default"/>
        </w:rPr>
        <w:t>1</w:t>
      </w:r>
      <w:r>
        <w:rPr/>
        <w:t>、报告期内证券发行（不含优先股）情况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 适用 √ 不适用</w:t>
      </w:r>
    </w:p>
    <w:p>
      <w:pPr>
        <w:spacing w:after="0" w:line="240" w:lineRule="auto"/>
        <w:jc w:val="left"/>
        <w:sectPr>
          <w:pgSz w:w="11910" w:h="16840"/>
          <w:pgMar w:header="906" w:footer="1018" w:top="1100" w:bottom="1200" w:left="1020" w:right="0"/>
        </w:sectPr>
      </w:pPr>
    </w:p>
    <w:p>
      <w:pPr>
        <w:spacing w:line="240" w:lineRule="auto" w:before="9"/>
        <w:rPr>
          <w:rFonts w:ascii="宋体" w:hAnsi="宋体" w:cs="宋体" w:eastAsia="宋体" w:hint="default"/>
          <w:sz w:val="21"/>
          <w:szCs w:val="21"/>
        </w:rPr>
      </w:pPr>
    </w:p>
    <w:p>
      <w:pPr>
        <w:pStyle w:val="Heading3"/>
        <w:spacing w:line="240" w:lineRule="auto" w:before="35"/>
        <w:ind w:right="0"/>
        <w:jc w:val="left"/>
        <w:rPr>
          <w:b w:val="0"/>
          <w:bCs w:val="0"/>
        </w:rPr>
      </w:pPr>
      <w:r>
        <w:rPr>
          <w:rFonts w:ascii="Times New Roman" w:hAnsi="Times New Roman" w:cs="Times New Roman" w:eastAsia="Times New Roman" w:hint="default"/>
        </w:rPr>
        <w:t>2</w:t>
      </w:r>
      <w:r>
        <w:rPr/>
        <w:t>、公司股份总数及股东结构的变动、公司资产和负债结构的变动情况说明</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 适用 □ 不适用</w:t>
      </w:r>
    </w:p>
    <w:p>
      <w:pPr>
        <w:pStyle w:val="BodyText"/>
        <w:spacing w:line="316" w:lineRule="auto" w:before="116"/>
        <w:ind w:right="1131"/>
        <w:jc w:val="both"/>
      </w:pPr>
      <w:r>
        <w:rPr>
          <w:spacing w:val="-2"/>
        </w:rPr>
        <w:t>（1）公司于2018年6月19日召开的第六届董事会第十二次临时会议以及2018年7月6日召开的2018年第一次临时股东大会审议</w:t>
      </w:r>
      <w:r>
        <w:rPr>
          <w:spacing w:val="-46"/>
        </w:rPr>
        <w:t> </w:t>
      </w:r>
      <w:r>
        <w:rPr>
          <w:spacing w:val="-46"/>
        </w:rPr>
      </w:r>
      <w:r>
        <w:rPr>
          <w:spacing w:val="-2"/>
        </w:rPr>
        <w:t>通过了《关于公司回购股份的预案》，回购股份的期限为自股东大会审议通过回购股份方案之日起12个月内，即2018年7月6</w:t>
      </w:r>
      <w:r>
        <w:rPr>
          <w:spacing w:val="-65"/>
        </w:rPr>
        <w:t> </w:t>
      </w:r>
      <w:r>
        <w:rPr>
          <w:spacing w:val="-65"/>
        </w:rPr>
      </w:r>
      <w:r>
        <w:rPr/>
        <w:t>日至2019年7月6日，以不超过人民币7.20元/股的价格回购公司股份，回购总金额不超过20,000.00万元，不低于10,000.00</w:t>
      </w:r>
      <w:r>
        <w:rPr/>
        <w:t> 万元。</w:t>
      </w:r>
    </w:p>
    <w:p>
      <w:pPr>
        <w:pStyle w:val="BodyText"/>
        <w:spacing w:line="316" w:lineRule="auto" w:before="18"/>
        <w:ind w:right="1122"/>
        <w:jc w:val="left"/>
      </w:pPr>
      <w:r>
        <w:rPr/>
        <w:t>（2）截至2019年7月6日，本次回购的实施期限已满，公司通过股票回购专用证券账户以集中竞价交易方式累计回购股份 15,107,446股，占回购股份方案实施前公司总股本的2.122%，最高成交价为7.210元/股（由于股票价格波动较快，于7.210 </w:t>
      </w:r>
      <w:r>
        <w:rPr>
          <w:spacing w:val="-3"/>
        </w:rPr>
        <w:t>元成交10,000股），最低成交价为5.350元/股，成交均价为6.554元/股，支付的总金额为99,019,502.79元（含交易费用）。</w:t>
      </w:r>
    </w:p>
    <w:p>
      <w:pPr>
        <w:pStyle w:val="BodyText"/>
        <w:spacing w:line="316" w:lineRule="auto" w:before="18"/>
        <w:ind w:right="1032"/>
        <w:jc w:val="left"/>
      </w:pPr>
      <w:r>
        <w:rPr/>
        <w:t>（3）公司已于2019年7月26日在中国证券登记结算有限责任公司深圳分公司办理完毕上述15,107,446股回购股份注销手续， </w:t>
      </w:r>
      <w:r>
        <w:rPr>
          <w:spacing w:val="-2"/>
        </w:rPr>
        <w:t>注销数量、完成日期、注销期限均符合回购股份法律法规的相关要求，本次注销的回购股份不会对公司的财务状况和经营成</w:t>
      </w:r>
      <w:r>
        <w:rPr>
          <w:spacing w:val="-66"/>
        </w:rPr>
        <w:t> </w:t>
      </w:r>
      <w:r>
        <w:rPr>
          <w:spacing w:val="-66"/>
        </w:rPr>
      </w:r>
      <w:r>
        <w:rPr/>
        <w:t>果产生实质性影响。</w:t>
      </w:r>
    </w:p>
    <w:p>
      <w:pPr>
        <w:pStyle w:val="BodyText"/>
        <w:spacing w:line="316" w:lineRule="auto" w:before="18"/>
        <w:ind w:right="0"/>
        <w:jc w:val="left"/>
      </w:pPr>
      <w:r>
        <w:rPr/>
        <w:t>（4）公司于2019年8月16日召开的第七届董事会第二次临时会议以及2019年9月16日召开的2019年第二次临时股东大会审议 </w:t>
      </w:r>
      <w:r>
        <w:rPr>
          <w:spacing w:val="-3"/>
        </w:rPr>
        <w:t>通过了《关于变更公司注册资本的议案》，同意本次回购注销完成后，将公司总股本从712,028,800股变更至696,921,354股，</w:t>
      </w:r>
      <w:r>
        <w:rPr>
          <w:spacing w:val="-65"/>
        </w:rPr>
        <w:t> </w:t>
      </w:r>
      <w:r>
        <w:rPr>
          <w:spacing w:val="-65"/>
        </w:rPr>
      </w:r>
      <w:r>
        <w:rPr/>
        <w:t>公司注册资本由人民币712,028,800元变更至人民币696,921,354元。</w:t>
      </w:r>
    </w:p>
    <w:p>
      <w:pPr>
        <w:spacing w:line="240" w:lineRule="auto" w:before="7"/>
        <w:rPr>
          <w:rFonts w:ascii="宋体" w:hAnsi="宋体" w:cs="宋体" w:eastAsia="宋体" w:hint="default"/>
          <w:sz w:val="22"/>
          <w:szCs w:val="22"/>
        </w:rPr>
      </w:pPr>
    </w:p>
    <w:p>
      <w:pPr>
        <w:pStyle w:val="Heading3"/>
        <w:spacing w:line="240" w:lineRule="auto"/>
        <w:ind w:right="0"/>
        <w:jc w:val="left"/>
        <w:rPr>
          <w:b w:val="0"/>
          <w:bCs w:val="0"/>
        </w:rPr>
      </w:pPr>
      <w:r>
        <w:rPr>
          <w:rFonts w:ascii="Times New Roman" w:hAnsi="Times New Roman" w:cs="Times New Roman" w:eastAsia="Times New Roman" w:hint="default"/>
        </w:rPr>
        <w:t>3</w:t>
      </w:r>
      <w:r>
        <w:rPr/>
        <w:t>、现存的内部职工股情况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
        <w:rPr>
          <w:rFonts w:ascii="宋体" w:hAnsi="宋体" w:cs="宋体" w:eastAsia="宋体" w:hint="default"/>
          <w:sz w:val="25"/>
          <w:szCs w:val="25"/>
        </w:rPr>
      </w:pPr>
    </w:p>
    <w:p>
      <w:pPr>
        <w:pStyle w:val="Heading2"/>
        <w:spacing w:line="240" w:lineRule="auto"/>
        <w:ind w:right="0"/>
        <w:jc w:val="left"/>
        <w:rPr>
          <w:b w:val="0"/>
          <w:bCs w:val="0"/>
        </w:rPr>
      </w:pPr>
      <w:r>
        <w:rPr/>
        <w:t>三、股东和实际控制人情况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r>
        <w:rPr>
          <w:rFonts w:ascii="Times New Roman" w:hAnsi="Times New Roman" w:cs="Times New Roman" w:eastAsia="Times New Roman" w:hint="default"/>
        </w:rPr>
        <w:t>1</w:t>
      </w:r>
      <w:r>
        <w:rPr/>
        <w:t>、公司股东数量及持股情况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0" w:right="1132"/>
        <w:jc w:val="right"/>
      </w:pPr>
      <w:r>
        <w:rPr>
          <w:spacing w:val="-1"/>
        </w:rPr>
        <w:t>单位：股</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195"/>
        <w:gridCol w:w="274"/>
        <w:gridCol w:w="922"/>
        <w:gridCol w:w="490"/>
        <w:gridCol w:w="748"/>
        <w:gridCol w:w="827"/>
        <w:gridCol w:w="328"/>
        <w:gridCol w:w="461"/>
        <w:gridCol w:w="761"/>
        <w:gridCol w:w="866"/>
        <w:gridCol w:w="305"/>
        <w:gridCol w:w="1044"/>
        <w:gridCol w:w="152"/>
        <w:gridCol w:w="1196"/>
      </w:tblGrid>
      <w:tr>
        <w:trPr>
          <w:trHeight w:val="2274" w:hRule="exact"/>
        </w:trPr>
        <w:tc>
          <w:tcPr>
            <w:tcW w:w="11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316" w:lineRule="auto"/>
              <w:ind w:left="102" w:right="180"/>
              <w:jc w:val="both"/>
              <w:rPr>
                <w:rFonts w:ascii="宋体" w:hAnsi="宋体" w:cs="宋体" w:eastAsia="宋体" w:hint="default"/>
                <w:sz w:val="18"/>
                <w:szCs w:val="18"/>
              </w:rPr>
            </w:pPr>
            <w:r>
              <w:rPr>
                <w:rFonts w:ascii="宋体" w:hAnsi="宋体" w:cs="宋体" w:eastAsia="宋体" w:hint="default"/>
                <w:sz w:val="18"/>
                <w:szCs w:val="18"/>
              </w:rPr>
              <w:t>报告期末普 通股股东总 数</w:t>
            </w:r>
          </w:p>
        </w:tc>
        <w:tc>
          <w:tcPr>
            <w:tcW w:w="119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588" w:right="0"/>
              <w:jc w:val="left"/>
              <w:rPr>
                <w:rFonts w:ascii="Times New Roman" w:hAnsi="Times New Roman" w:cs="Times New Roman" w:eastAsia="Times New Roman" w:hint="default"/>
                <w:sz w:val="18"/>
                <w:szCs w:val="18"/>
              </w:rPr>
            </w:pPr>
            <w:r>
              <w:rPr>
                <w:rFonts w:ascii="Times New Roman"/>
                <w:sz w:val="18"/>
              </w:rPr>
              <w:t>75,658</w:t>
            </w:r>
          </w:p>
        </w:tc>
        <w:tc>
          <w:tcPr>
            <w:tcW w:w="1237"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316" w:lineRule="auto"/>
              <w:ind w:left="102" w:right="223"/>
              <w:jc w:val="both"/>
              <w:rPr>
                <w:rFonts w:ascii="宋体" w:hAnsi="宋体" w:cs="宋体" w:eastAsia="宋体" w:hint="default"/>
                <w:sz w:val="18"/>
                <w:szCs w:val="18"/>
              </w:rPr>
            </w:pPr>
            <w:r>
              <w:rPr>
                <w:rFonts w:ascii="宋体" w:hAnsi="宋体" w:cs="宋体" w:eastAsia="宋体" w:hint="default"/>
                <w:sz w:val="18"/>
                <w:szCs w:val="18"/>
              </w:rPr>
              <w:t>年度报告披 露日前上一 月末普通股 股东总数</w:t>
            </w:r>
          </w:p>
        </w:tc>
        <w:tc>
          <w:tcPr>
            <w:tcW w:w="115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546" w:right="0"/>
              <w:jc w:val="left"/>
              <w:rPr>
                <w:rFonts w:ascii="Times New Roman" w:hAnsi="Times New Roman" w:cs="Times New Roman" w:eastAsia="Times New Roman" w:hint="default"/>
                <w:sz w:val="18"/>
                <w:szCs w:val="18"/>
              </w:rPr>
            </w:pPr>
            <w:r>
              <w:rPr>
                <w:rFonts w:ascii="Times New Roman"/>
                <w:sz w:val="18"/>
              </w:rPr>
              <w:t>69,806</w:t>
            </w:r>
          </w:p>
        </w:tc>
        <w:tc>
          <w:tcPr>
            <w:tcW w:w="1222"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6"/>
              <w:ind w:left="103" w:right="37"/>
              <w:jc w:val="left"/>
              <w:rPr>
                <w:rFonts w:ascii="宋体" w:hAnsi="宋体" w:cs="宋体" w:eastAsia="宋体" w:hint="default"/>
                <w:sz w:val="18"/>
                <w:szCs w:val="18"/>
              </w:rPr>
            </w:pPr>
            <w:r>
              <w:rPr>
                <w:rFonts w:ascii="宋体" w:hAnsi="宋体" w:cs="宋体" w:eastAsia="宋体" w:hint="default"/>
                <w:sz w:val="18"/>
                <w:szCs w:val="18"/>
              </w:rPr>
              <w:t>报告期末表 决权恢复的 优先股股东 </w:t>
            </w:r>
            <w:r>
              <w:rPr>
                <w:rFonts w:ascii="宋体" w:hAnsi="宋体" w:cs="宋体" w:eastAsia="宋体" w:hint="default"/>
                <w:spacing w:val="-2"/>
                <w:sz w:val="18"/>
                <w:szCs w:val="18"/>
              </w:rPr>
              <w:t>总数（如有）</w:t>
            </w:r>
          </w:p>
          <w:p>
            <w:pPr>
              <w:pStyle w:val="TableParagraph"/>
              <w:spacing w:line="240" w:lineRule="auto" w:before="18"/>
              <w:ind w:left="103" w:right="0"/>
              <w:jc w:val="left"/>
              <w:rPr>
                <w:rFonts w:ascii="宋体" w:hAnsi="宋体" w:cs="宋体" w:eastAsia="宋体" w:hint="default"/>
                <w:sz w:val="18"/>
                <w:szCs w:val="18"/>
              </w:rPr>
            </w:pPr>
            <w:r>
              <w:rPr>
                <w:rFonts w:ascii="宋体" w:hAnsi="宋体" w:cs="宋体" w:eastAsia="宋体" w:hint="default"/>
                <w:sz w:val="18"/>
                <w:szCs w:val="18"/>
              </w:rPr>
              <w:t>（参见注</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8</w:t>
            </w:r>
            <w:r>
              <w:rPr>
                <w:rFonts w:ascii="宋体" w:hAnsi="宋体" w:cs="宋体" w:eastAsia="宋体" w:hint="default"/>
                <w:sz w:val="18"/>
                <w:szCs w:val="18"/>
              </w:rPr>
              <w:t>）</w:t>
            </w:r>
          </w:p>
        </w:tc>
        <w:tc>
          <w:tcPr>
            <w:tcW w:w="117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196"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02" w:right="181"/>
              <w:jc w:val="both"/>
              <w:rPr>
                <w:rFonts w:ascii="宋体" w:hAnsi="宋体" w:cs="宋体" w:eastAsia="宋体" w:hint="default"/>
                <w:sz w:val="18"/>
                <w:szCs w:val="18"/>
              </w:rPr>
            </w:pPr>
            <w:r>
              <w:rPr>
                <w:rFonts w:ascii="宋体" w:hAnsi="宋体" w:cs="宋体" w:eastAsia="宋体" w:hint="default"/>
                <w:sz w:val="18"/>
                <w:szCs w:val="18"/>
              </w:rPr>
              <w:t>年度报告披 露日前上一 月末表决权 恢复的优先 股股东总数</w:t>
            </w:r>
          </w:p>
          <w:p>
            <w:pPr>
              <w:pStyle w:val="TableParagraph"/>
              <w:spacing w:line="319" w:lineRule="auto" w:before="18"/>
              <w:ind w:left="102" w:right="101"/>
              <w:jc w:val="both"/>
              <w:rPr>
                <w:rFonts w:ascii="宋体" w:hAnsi="宋体" w:cs="宋体" w:eastAsia="宋体" w:hint="default"/>
                <w:sz w:val="18"/>
                <w:szCs w:val="18"/>
              </w:rPr>
            </w:pPr>
            <w:r>
              <w:rPr>
                <w:rFonts w:ascii="宋体" w:hAnsi="宋体" w:cs="宋体" w:eastAsia="宋体" w:hint="default"/>
                <w:spacing w:val="-17"/>
                <w:sz w:val="18"/>
                <w:szCs w:val="18"/>
              </w:rPr>
              <w:t>（如有）（参</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见注</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8</w:t>
            </w:r>
            <w:r>
              <w:rPr>
                <w:rFonts w:ascii="宋体" w:hAnsi="宋体" w:cs="宋体" w:eastAsia="宋体" w:hint="default"/>
                <w:sz w:val="18"/>
                <w:szCs w:val="18"/>
              </w:rPr>
              <w:t>）</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9568" w:type="dxa"/>
            <w:gridSpan w:val="14"/>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3061" w:right="0"/>
              <w:jc w:val="left"/>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以上的股东或前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名股东持股情况</w:t>
            </w:r>
          </w:p>
        </w:tc>
      </w:tr>
      <w:tr>
        <w:trPr>
          <w:trHeight w:val="402" w:hRule="exact"/>
        </w:trPr>
        <w:tc>
          <w:tcPr>
            <w:tcW w:w="1469" w:type="dxa"/>
            <w:gridSpan w:val="2"/>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369"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412" w:type="dxa"/>
            <w:gridSpan w:val="2"/>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340" w:right="0"/>
              <w:jc w:val="left"/>
              <w:rPr>
                <w:rFonts w:ascii="宋体" w:hAnsi="宋体" w:cs="宋体" w:eastAsia="宋体" w:hint="default"/>
                <w:sz w:val="18"/>
                <w:szCs w:val="18"/>
              </w:rPr>
            </w:pPr>
            <w:r>
              <w:rPr>
                <w:rFonts w:ascii="宋体" w:hAnsi="宋体" w:cs="宋体" w:eastAsia="宋体" w:hint="default"/>
                <w:sz w:val="18"/>
                <w:szCs w:val="18"/>
              </w:rPr>
              <w:t>股东性质</w:t>
            </w:r>
          </w:p>
        </w:tc>
        <w:tc>
          <w:tcPr>
            <w:tcW w:w="748"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6"/>
              <w:ind w:left="299" w:right="76" w:hanging="180"/>
              <w:jc w:val="left"/>
              <w:rPr>
                <w:rFonts w:ascii="宋体" w:hAnsi="宋体" w:cs="宋体" w:eastAsia="宋体" w:hint="default"/>
                <w:sz w:val="18"/>
                <w:szCs w:val="18"/>
              </w:rPr>
            </w:pPr>
            <w:r>
              <w:rPr>
                <w:rFonts w:ascii="宋体" w:hAnsi="宋体" w:cs="宋体" w:eastAsia="宋体" w:hint="default"/>
                <w:sz w:val="18"/>
                <w:szCs w:val="18"/>
              </w:rPr>
              <w:t>持股比 例</w:t>
            </w:r>
          </w:p>
        </w:tc>
        <w:tc>
          <w:tcPr>
            <w:tcW w:w="827"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158" w:right="116"/>
              <w:jc w:val="both"/>
              <w:rPr>
                <w:rFonts w:ascii="宋体" w:hAnsi="宋体" w:cs="宋体" w:eastAsia="宋体" w:hint="default"/>
                <w:sz w:val="18"/>
                <w:szCs w:val="18"/>
              </w:rPr>
            </w:pPr>
            <w:r>
              <w:rPr>
                <w:rFonts w:ascii="宋体" w:hAnsi="宋体" w:cs="宋体" w:eastAsia="宋体" w:hint="default"/>
                <w:sz w:val="18"/>
                <w:szCs w:val="18"/>
              </w:rPr>
              <w:t>报告期 末持股 数量</w:t>
            </w:r>
          </w:p>
        </w:tc>
        <w:tc>
          <w:tcPr>
            <w:tcW w:w="789" w:type="dxa"/>
            <w:gridSpan w:val="2"/>
            <w:vMerge w:val="restart"/>
            <w:tcBorders>
              <w:top w:val="single" w:sz="4" w:space="0" w:color="000000"/>
              <w:left w:val="single" w:sz="4" w:space="0" w:color="000000"/>
              <w:right w:val="single" w:sz="4" w:space="0" w:color="000000"/>
            </w:tcBorders>
            <w:shd w:val="clear" w:color="auto" w:fill="D3D3D3"/>
          </w:tcPr>
          <w:p>
            <w:pPr>
              <w:pStyle w:val="TableParagraph"/>
              <w:spacing w:line="316" w:lineRule="auto" w:before="50"/>
              <w:ind w:left="118" w:right="118"/>
              <w:jc w:val="center"/>
              <w:rPr>
                <w:rFonts w:ascii="宋体" w:hAnsi="宋体" w:cs="宋体" w:eastAsia="宋体" w:hint="default"/>
                <w:sz w:val="18"/>
                <w:szCs w:val="18"/>
              </w:rPr>
            </w:pPr>
            <w:r>
              <w:rPr>
                <w:rFonts w:ascii="宋体" w:hAnsi="宋体" w:cs="宋体" w:eastAsia="宋体" w:hint="default"/>
                <w:sz w:val="18"/>
                <w:szCs w:val="18"/>
              </w:rPr>
              <w:t>报告期 内增减 变动情 况</w:t>
            </w:r>
          </w:p>
        </w:tc>
        <w:tc>
          <w:tcPr>
            <w:tcW w:w="761" w:type="dxa"/>
            <w:vMerge w:val="restart"/>
            <w:tcBorders>
              <w:top w:val="single" w:sz="4" w:space="0" w:color="000000"/>
              <w:left w:val="single" w:sz="4" w:space="0" w:color="000000"/>
              <w:right w:val="single" w:sz="4" w:space="0" w:color="000000"/>
            </w:tcBorders>
            <w:shd w:val="clear" w:color="auto" w:fill="D3D3D3"/>
          </w:tcPr>
          <w:p>
            <w:pPr>
              <w:pStyle w:val="TableParagraph"/>
              <w:spacing w:line="316" w:lineRule="auto" w:before="50"/>
              <w:ind w:left="117" w:right="91"/>
              <w:jc w:val="both"/>
              <w:rPr>
                <w:rFonts w:ascii="宋体" w:hAnsi="宋体" w:cs="宋体" w:eastAsia="宋体" w:hint="default"/>
                <w:sz w:val="18"/>
                <w:szCs w:val="18"/>
              </w:rPr>
            </w:pPr>
            <w:r>
              <w:rPr>
                <w:rFonts w:ascii="宋体" w:hAnsi="宋体" w:cs="宋体" w:eastAsia="宋体" w:hint="default"/>
                <w:sz w:val="18"/>
                <w:szCs w:val="18"/>
              </w:rPr>
              <w:t>持有有 限售条 件的股 份数量</w:t>
            </w:r>
          </w:p>
        </w:tc>
        <w:tc>
          <w:tcPr>
            <w:tcW w:w="866" w:type="dxa"/>
            <w:vMerge w:val="restart"/>
            <w:tcBorders>
              <w:top w:val="single" w:sz="4" w:space="0" w:color="000000"/>
              <w:left w:val="single" w:sz="4" w:space="0" w:color="000000"/>
              <w:right w:val="single" w:sz="4" w:space="0" w:color="000000"/>
            </w:tcBorders>
            <w:shd w:val="clear" w:color="auto" w:fill="D3D3D3"/>
          </w:tcPr>
          <w:p>
            <w:pPr>
              <w:pStyle w:val="TableParagraph"/>
              <w:spacing w:line="316" w:lineRule="auto" w:before="50"/>
              <w:ind w:left="171" w:right="143"/>
              <w:jc w:val="both"/>
              <w:rPr>
                <w:rFonts w:ascii="宋体" w:hAnsi="宋体" w:cs="宋体" w:eastAsia="宋体" w:hint="default"/>
                <w:sz w:val="18"/>
                <w:szCs w:val="18"/>
              </w:rPr>
            </w:pPr>
            <w:r>
              <w:rPr>
                <w:rFonts w:ascii="宋体" w:hAnsi="宋体" w:cs="宋体" w:eastAsia="宋体" w:hint="default"/>
                <w:sz w:val="18"/>
                <w:szCs w:val="18"/>
              </w:rPr>
              <w:t>持有无 限售条 件的股 份数量</w:t>
            </w:r>
          </w:p>
        </w:tc>
        <w:tc>
          <w:tcPr>
            <w:tcW w:w="2697" w:type="dxa"/>
            <w:gridSpan w:val="4"/>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713" w:right="0"/>
              <w:jc w:val="left"/>
              <w:rPr>
                <w:rFonts w:ascii="宋体" w:hAnsi="宋体" w:cs="宋体" w:eastAsia="宋体" w:hint="default"/>
                <w:sz w:val="18"/>
                <w:szCs w:val="18"/>
              </w:rPr>
            </w:pPr>
            <w:r>
              <w:rPr>
                <w:rFonts w:ascii="宋体" w:hAnsi="宋体" w:cs="宋体" w:eastAsia="宋体" w:hint="default"/>
                <w:sz w:val="18"/>
                <w:szCs w:val="18"/>
              </w:rPr>
              <w:t>质押或冻结情况</w:t>
            </w:r>
          </w:p>
        </w:tc>
      </w:tr>
      <w:tr>
        <w:trPr>
          <w:trHeight w:val="936" w:hRule="exact"/>
        </w:trPr>
        <w:tc>
          <w:tcPr>
            <w:tcW w:w="1469" w:type="dxa"/>
            <w:gridSpan w:val="2"/>
            <w:vMerge/>
            <w:tcBorders>
              <w:left w:val="single" w:sz="4" w:space="0" w:color="000000"/>
              <w:bottom w:val="single" w:sz="4" w:space="0" w:color="000000"/>
              <w:right w:val="single" w:sz="4" w:space="0" w:color="000000"/>
            </w:tcBorders>
            <w:shd w:val="clear" w:color="auto" w:fill="D3D3D3"/>
          </w:tcPr>
          <w:p>
            <w:pPr/>
          </w:p>
        </w:tc>
        <w:tc>
          <w:tcPr>
            <w:tcW w:w="1412" w:type="dxa"/>
            <w:gridSpan w:val="2"/>
            <w:vMerge/>
            <w:tcBorders>
              <w:left w:val="single" w:sz="4" w:space="0" w:color="000000"/>
              <w:bottom w:val="single" w:sz="4" w:space="0" w:color="000000"/>
              <w:right w:val="single" w:sz="4" w:space="0" w:color="000000"/>
            </w:tcBorders>
            <w:shd w:val="clear" w:color="auto" w:fill="D3D3D3"/>
          </w:tcPr>
          <w:p>
            <w:pPr/>
          </w:p>
        </w:tc>
        <w:tc>
          <w:tcPr>
            <w:tcW w:w="748" w:type="dxa"/>
            <w:vMerge/>
            <w:tcBorders>
              <w:left w:val="single" w:sz="4" w:space="0" w:color="000000"/>
              <w:bottom w:val="single" w:sz="4" w:space="0" w:color="000000"/>
              <w:right w:val="single" w:sz="4" w:space="0" w:color="000000"/>
            </w:tcBorders>
            <w:shd w:val="clear" w:color="auto" w:fill="D3D3D3"/>
          </w:tcPr>
          <w:p>
            <w:pPr/>
          </w:p>
        </w:tc>
        <w:tc>
          <w:tcPr>
            <w:tcW w:w="827" w:type="dxa"/>
            <w:vMerge/>
            <w:tcBorders>
              <w:left w:val="single" w:sz="4" w:space="0" w:color="000000"/>
              <w:bottom w:val="single" w:sz="4" w:space="0" w:color="000000"/>
              <w:right w:val="single" w:sz="4" w:space="0" w:color="000000"/>
            </w:tcBorders>
            <w:shd w:val="clear" w:color="auto" w:fill="D3D3D3"/>
          </w:tcPr>
          <w:p>
            <w:pPr/>
          </w:p>
        </w:tc>
        <w:tc>
          <w:tcPr>
            <w:tcW w:w="789" w:type="dxa"/>
            <w:gridSpan w:val="2"/>
            <w:vMerge/>
            <w:tcBorders>
              <w:left w:val="single" w:sz="4" w:space="0" w:color="000000"/>
              <w:bottom w:val="single" w:sz="4" w:space="0" w:color="000000"/>
              <w:right w:val="single" w:sz="4" w:space="0" w:color="000000"/>
            </w:tcBorders>
            <w:shd w:val="clear" w:color="auto" w:fill="D3D3D3"/>
          </w:tcPr>
          <w:p>
            <w:pPr/>
          </w:p>
        </w:tc>
        <w:tc>
          <w:tcPr>
            <w:tcW w:w="761" w:type="dxa"/>
            <w:vMerge/>
            <w:tcBorders>
              <w:left w:val="single" w:sz="4" w:space="0" w:color="000000"/>
              <w:bottom w:val="single" w:sz="4" w:space="0" w:color="000000"/>
              <w:right w:val="single" w:sz="4" w:space="0" w:color="000000"/>
            </w:tcBorders>
            <w:shd w:val="clear" w:color="auto" w:fill="D3D3D3"/>
          </w:tcPr>
          <w:p>
            <w:pPr/>
          </w:p>
        </w:tc>
        <w:tc>
          <w:tcPr>
            <w:tcW w:w="866" w:type="dxa"/>
            <w:vMerge/>
            <w:tcBorders>
              <w:left w:val="single" w:sz="4" w:space="0" w:color="000000"/>
              <w:bottom w:val="single" w:sz="4" w:space="0" w:color="000000"/>
              <w:right w:val="single" w:sz="4" w:space="0" w:color="000000"/>
            </w:tcBorders>
            <w:shd w:val="clear" w:color="auto" w:fill="D3D3D3"/>
          </w:tcPr>
          <w:p>
            <w:pPr/>
          </w:p>
        </w:tc>
        <w:tc>
          <w:tcPr>
            <w:tcW w:w="1349"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left="308" w:right="0"/>
              <w:jc w:val="left"/>
              <w:rPr>
                <w:rFonts w:ascii="宋体" w:hAnsi="宋体" w:cs="宋体" w:eastAsia="宋体" w:hint="default"/>
                <w:sz w:val="18"/>
                <w:szCs w:val="18"/>
              </w:rPr>
            </w:pPr>
            <w:r>
              <w:rPr>
                <w:rFonts w:ascii="宋体" w:hAnsi="宋体" w:cs="宋体" w:eastAsia="宋体" w:hint="default"/>
                <w:sz w:val="18"/>
                <w:szCs w:val="18"/>
              </w:rPr>
              <w:t>股份状态</w:t>
            </w:r>
          </w:p>
        </w:tc>
        <w:tc>
          <w:tcPr>
            <w:tcW w:w="1348"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数量</w:t>
            </w:r>
          </w:p>
        </w:tc>
      </w:tr>
      <w:tr>
        <w:trPr>
          <w:trHeight w:val="714"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钱京</w:t>
            </w:r>
          </w:p>
        </w:tc>
        <w:tc>
          <w:tcPr>
            <w:tcW w:w="14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60"/>
              <w:jc w:val="right"/>
              <w:rPr>
                <w:rFonts w:ascii="Times New Roman" w:hAnsi="Times New Roman" w:cs="Times New Roman" w:eastAsia="Times New Roman" w:hint="default"/>
                <w:sz w:val="18"/>
                <w:szCs w:val="18"/>
              </w:rPr>
            </w:pPr>
            <w:r>
              <w:rPr>
                <w:rFonts w:ascii="Times New Roman"/>
                <w:sz w:val="18"/>
              </w:rPr>
              <w:t>20.65%</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8" w:right="0"/>
              <w:jc w:val="left"/>
              <w:rPr>
                <w:rFonts w:ascii="Times New Roman" w:hAnsi="Times New Roman" w:cs="Times New Roman" w:eastAsia="Times New Roman" w:hint="default"/>
                <w:sz w:val="18"/>
                <w:szCs w:val="18"/>
              </w:rPr>
            </w:pPr>
            <w:r>
              <w:rPr>
                <w:rFonts w:ascii="Times New Roman"/>
                <w:sz w:val="18"/>
              </w:rPr>
              <w:t>143,92</w:t>
            </w:r>
          </w:p>
          <w:p>
            <w:pPr>
              <w:pStyle w:val="TableParagraph"/>
              <w:spacing w:line="240" w:lineRule="auto" w:before="105"/>
              <w:ind w:left="308" w:right="0"/>
              <w:jc w:val="left"/>
              <w:rPr>
                <w:rFonts w:ascii="Times New Roman" w:hAnsi="Times New Roman" w:cs="Times New Roman" w:eastAsia="Times New Roman" w:hint="default"/>
                <w:sz w:val="18"/>
                <w:szCs w:val="18"/>
              </w:rPr>
            </w:pPr>
            <w:r>
              <w:rPr>
                <w:rFonts w:ascii="Times New Roman"/>
                <w:sz w:val="18"/>
              </w:rPr>
              <w:t>5,147</w:t>
            </w:r>
          </w:p>
        </w:tc>
        <w:tc>
          <w:tcPr>
            <w:tcW w:w="78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8" w:right="0"/>
              <w:jc w:val="left"/>
              <w:rPr>
                <w:rFonts w:ascii="Times New Roman" w:hAnsi="Times New Roman" w:cs="Times New Roman" w:eastAsia="Times New Roman" w:hint="default"/>
                <w:sz w:val="18"/>
                <w:szCs w:val="18"/>
              </w:rPr>
            </w:pPr>
            <w:r>
              <w:rPr>
                <w:rFonts w:ascii="Times New Roman"/>
                <w:sz w:val="18"/>
              </w:rPr>
              <w:t>107,94</w:t>
            </w:r>
          </w:p>
          <w:p>
            <w:pPr>
              <w:pStyle w:val="TableParagraph"/>
              <w:spacing w:line="240" w:lineRule="auto" w:before="105"/>
              <w:ind w:left="268" w:right="0"/>
              <w:jc w:val="left"/>
              <w:rPr>
                <w:rFonts w:ascii="Times New Roman" w:hAnsi="Times New Roman" w:cs="Times New Roman" w:eastAsia="Times New Roman" w:hint="default"/>
                <w:sz w:val="18"/>
                <w:szCs w:val="18"/>
              </w:rPr>
            </w:pPr>
            <w:r>
              <w:rPr>
                <w:rFonts w:ascii="Times New Roman"/>
                <w:sz w:val="18"/>
              </w:rPr>
              <w:t>3,860</w:t>
            </w:r>
          </w:p>
        </w:tc>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3" w:right="0"/>
              <w:jc w:val="left"/>
              <w:rPr>
                <w:rFonts w:ascii="Times New Roman" w:hAnsi="Times New Roman" w:cs="Times New Roman" w:eastAsia="Times New Roman" w:hint="default"/>
                <w:sz w:val="18"/>
                <w:szCs w:val="18"/>
              </w:rPr>
            </w:pPr>
            <w:r>
              <w:rPr>
                <w:rFonts w:ascii="Times New Roman"/>
                <w:sz w:val="18"/>
              </w:rPr>
              <w:t>35,981,</w:t>
            </w:r>
          </w:p>
          <w:p>
            <w:pPr>
              <w:pStyle w:val="TableParagraph"/>
              <w:spacing w:line="240" w:lineRule="auto" w:before="105"/>
              <w:ind w:left="483" w:right="0"/>
              <w:jc w:val="left"/>
              <w:rPr>
                <w:rFonts w:ascii="Times New Roman" w:hAnsi="Times New Roman" w:cs="Times New Roman" w:eastAsia="Times New Roman" w:hint="default"/>
                <w:sz w:val="18"/>
                <w:szCs w:val="18"/>
              </w:rPr>
            </w:pPr>
            <w:r>
              <w:rPr>
                <w:rFonts w:ascii="Times New Roman"/>
                <w:sz w:val="18"/>
              </w:rPr>
              <w:t>287</w:t>
            </w:r>
          </w:p>
        </w:tc>
        <w:tc>
          <w:tcPr>
            <w:tcW w:w="13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34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24" w:right="0"/>
              <w:jc w:val="left"/>
              <w:rPr>
                <w:rFonts w:ascii="Times New Roman" w:hAnsi="Times New Roman" w:cs="Times New Roman" w:eastAsia="Times New Roman" w:hint="default"/>
                <w:sz w:val="18"/>
                <w:szCs w:val="18"/>
              </w:rPr>
            </w:pPr>
            <w:r>
              <w:rPr>
                <w:rFonts w:ascii="Times New Roman"/>
                <w:sz w:val="18"/>
              </w:rPr>
              <w:t>61,199,997</w:t>
            </w:r>
          </w:p>
        </w:tc>
      </w:tr>
      <w:tr>
        <w:trPr>
          <w:trHeight w:val="1025"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2" w:right="274"/>
              <w:jc w:val="both"/>
              <w:rPr>
                <w:rFonts w:ascii="宋体" w:hAnsi="宋体" w:cs="宋体" w:eastAsia="宋体" w:hint="default"/>
                <w:sz w:val="18"/>
                <w:szCs w:val="18"/>
              </w:rPr>
            </w:pPr>
            <w:r>
              <w:rPr>
                <w:rFonts w:ascii="宋体" w:hAnsi="宋体" w:cs="宋体" w:eastAsia="宋体" w:hint="default"/>
                <w:sz w:val="18"/>
                <w:szCs w:val="18"/>
              </w:rPr>
              <w:t>中央汇金资产 管理有限责任 公司</w:t>
            </w:r>
          </w:p>
        </w:tc>
        <w:tc>
          <w:tcPr>
            <w:tcW w:w="14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103" w:right="0"/>
              <w:jc w:val="left"/>
              <w:rPr>
                <w:rFonts w:ascii="宋体" w:hAnsi="宋体" w:cs="宋体" w:eastAsia="宋体" w:hint="default"/>
                <w:sz w:val="18"/>
                <w:szCs w:val="18"/>
              </w:rPr>
            </w:pPr>
            <w:r>
              <w:rPr>
                <w:rFonts w:ascii="宋体" w:hAnsi="宋体" w:cs="宋体" w:eastAsia="宋体" w:hint="default"/>
                <w:sz w:val="18"/>
                <w:szCs w:val="18"/>
              </w:rPr>
              <w:t>国有法人</w:t>
            </w:r>
          </w:p>
        </w:tc>
        <w:tc>
          <w:tcPr>
            <w:tcW w:w="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60"/>
              <w:jc w:val="right"/>
              <w:rPr>
                <w:rFonts w:ascii="Times New Roman" w:hAnsi="Times New Roman" w:cs="Times New Roman" w:eastAsia="Times New Roman" w:hint="default"/>
                <w:sz w:val="18"/>
                <w:szCs w:val="18"/>
              </w:rPr>
            </w:pPr>
            <w:r>
              <w:rPr>
                <w:rFonts w:ascii="Times New Roman"/>
                <w:w w:val="95"/>
                <w:sz w:val="18"/>
              </w:rPr>
              <w:t>2.02%</w:t>
            </w:r>
            <w:r>
              <w:rPr>
                <w:rFonts w:ascii="Times New Roman"/>
                <w:sz w:val="18"/>
              </w:rPr>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73" w:right="0"/>
              <w:jc w:val="left"/>
              <w:rPr>
                <w:rFonts w:ascii="Times New Roman" w:hAnsi="Times New Roman" w:cs="Times New Roman" w:eastAsia="Times New Roman" w:hint="default"/>
                <w:sz w:val="18"/>
                <w:szCs w:val="18"/>
              </w:rPr>
            </w:pPr>
            <w:r>
              <w:rPr>
                <w:rFonts w:ascii="Times New Roman"/>
                <w:sz w:val="18"/>
              </w:rPr>
              <w:t>14,048,</w:t>
            </w:r>
          </w:p>
          <w:p>
            <w:pPr>
              <w:pStyle w:val="TableParagraph"/>
              <w:spacing w:line="240" w:lineRule="auto" w:before="105"/>
              <w:ind w:left="443" w:right="0"/>
              <w:jc w:val="left"/>
              <w:rPr>
                <w:rFonts w:ascii="Times New Roman" w:hAnsi="Times New Roman" w:cs="Times New Roman" w:eastAsia="Times New Roman" w:hint="default"/>
                <w:sz w:val="18"/>
                <w:szCs w:val="18"/>
              </w:rPr>
            </w:pPr>
            <w:r>
              <w:rPr>
                <w:rFonts w:ascii="Times New Roman"/>
                <w:sz w:val="18"/>
              </w:rPr>
              <w:t>600</w:t>
            </w:r>
          </w:p>
        </w:tc>
        <w:tc>
          <w:tcPr>
            <w:tcW w:w="78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0</w:t>
            </w:r>
          </w:p>
        </w:tc>
        <w:tc>
          <w:tcPr>
            <w:tcW w:w="761" w:type="dxa"/>
            <w:tcBorders>
              <w:top w:val="single" w:sz="4" w:space="0" w:color="000000"/>
              <w:left w:val="single" w:sz="4" w:space="0" w:color="000000"/>
              <w:bottom w:val="single" w:sz="4" w:space="0" w:color="000000"/>
              <w:right w:val="single" w:sz="4" w:space="0" w:color="000000"/>
            </w:tcBorders>
          </w:tcPr>
          <w:p>
            <w:pPr/>
          </w:p>
        </w:tc>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13" w:right="0"/>
              <w:jc w:val="left"/>
              <w:rPr>
                <w:rFonts w:ascii="Times New Roman" w:hAnsi="Times New Roman" w:cs="Times New Roman" w:eastAsia="Times New Roman" w:hint="default"/>
                <w:sz w:val="18"/>
                <w:szCs w:val="18"/>
              </w:rPr>
            </w:pPr>
            <w:r>
              <w:rPr>
                <w:rFonts w:ascii="Times New Roman"/>
                <w:sz w:val="18"/>
              </w:rPr>
              <w:t>14,048,</w:t>
            </w:r>
          </w:p>
          <w:p>
            <w:pPr>
              <w:pStyle w:val="TableParagraph"/>
              <w:spacing w:line="240" w:lineRule="auto" w:before="105"/>
              <w:ind w:left="483" w:right="0"/>
              <w:jc w:val="left"/>
              <w:rPr>
                <w:rFonts w:ascii="Times New Roman" w:hAnsi="Times New Roman" w:cs="Times New Roman" w:eastAsia="Times New Roman" w:hint="default"/>
                <w:sz w:val="18"/>
                <w:szCs w:val="18"/>
              </w:rPr>
            </w:pPr>
            <w:r>
              <w:rPr>
                <w:rFonts w:ascii="Times New Roman"/>
                <w:sz w:val="18"/>
              </w:rPr>
              <w:t>600</w:t>
            </w:r>
          </w:p>
        </w:tc>
        <w:tc>
          <w:tcPr>
            <w:tcW w:w="1349" w:type="dxa"/>
            <w:gridSpan w:val="2"/>
            <w:tcBorders>
              <w:top w:val="single" w:sz="4" w:space="0" w:color="000000"/>
              <w:left w:val="single" w:sz="4" w:space="0" w:color="000000"/>
              <w:bottom w:val="single" w:sz="4" w:space="0" w:color="000000"/>
              <w:right w:val="single" w:sz="4" w:space="0" w:color="000000"/>
            </w:tcBorders>
          </w:tcPr>
          <w:p>
            <w:pPr/>
          </w:p>
        </w:tc>
        <w:tc>
          <w:tcPr>
            <w:tcW w:w="1348" w:type="dxa"/>
            <w:gridSpan w:val="2"/>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6" w:footer="1018" w:top="1100" w:bottom="1200" w:left="1020" w:right="0"/>
        </w:sectPr>
      </w:pPr>
    </w:p>
    <w:p>
      <w:pPr>
        <w:spacing w:line="240" w:lineRule="auto" w:before="0"/>
        <w:rPr>
          <w:rFonts w:ascii="Times New Roman" w:hAnsi="Times New Roman" w:cs="Times New Roman" w:eastAsia="Times New Roman" w:hint="default"/>
          <w:sz w:val="29"/>
          <w:szCs w:val="29"/>
        </w:rPr>
      </w:pPr>
    </w:p>
    <w:tbl>
      <w:tblPr>
        <w:tblW w:w="0" w:type="auto"/>
        <w:jc w:val="left"/>
        <w:tblInd w:w="109" w:type="dxa"/>
        <w:tblLayout w:type="fixed"/>
        <w:tblCellMar>
          <w:top w:w="0" w:type="dxa"/>
          <w:left w:w="0" w:type="dxa"/>
          <w:bottom w:w="0" w:type="dxa"/>
          <w:right w:w="0" w:type="dxa"/>
        </w:tblCellMar>
        <w:tblLook w:val="01E0"/>
      </w:tblPr>
      <w:tblGrid>
        <w:gridCol w:w="1469"/>
        <w:gridCol w:w="1412"/>
        <w:gridCol w:w="788"/>
        <w:gridCol w:w="786"/>
        <w:gridCol w:w="789"/>
        <w:gridCol w:w="787"/>
        <w:gridCol w:w="840"/>
        <w:gridCol w:w="1349"/>
        <w:gridCol w:w="1348"/>
      </w:tblGrid>
      <w:tr>
        <w:trPr>
          <w:trHeight w:val="714"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马晓兰</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1.16%</w:t>
            </w:r>
            <w:r>
              <w:rPr>
                <w:rFonts w:ascii="Times New Roman"/>
                <w:sz w:val="18"/>
              </w:rPr>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2" w:right="0"/>
              <w:jc w:val="left"/>
              <w:rPr>
                <w:rFonts w:ascii="Times New Roman" w:hAnsi="Times New Roman" w:cs="Times New Roman" w:eastAsia="Times New Roman" w:hint="default"/>
                <w:sz w:val="18"/>
                <w:szCs w:val="18"/>
              </w:rPr>
            </w:pPr>
            <w:r>
              <w:rPr>
                <w:rFonts w:ascii="Times New Roman"/>
                <w:sz w:val="18"/>
              </w:rPr>
              <w:t>8,092,8</w:t>
            </w:r>
          </w:p>
          <w:p>
            <w:pPr>
              <w:pStyle w:val="TableParagraph"/>
              <w:spacing w:line="240" w:lineRule="auto" w:before="105"/>
              <w:ind w:left="492" w:right="0"/>
              <w:jc w:val="left"/>
              <w:rPr>
                <w:rFonts w:ascii="Times New Roman" w:hAnsi="Times New Roman" w:cs="Times New Roman" w:eastAsia="Times New Roman" w:hint="default"/>
                <w:sz w:val="18"/>
                <w:szCs w:val="18"/>
              </w:rPr>
            </w:pPr>
            <w:r>
              <w:rPr>
                <w:rFonts w:ascii="Times New Roman"/>
                <w:sz w:val="18"/>
              </w:rPr>
              <w:t>00</w:t>
            </w:r>
          </w:p>
        </w:tc>
        <w:tc>
          <w:tcPr>
            <w:tcW w:w="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2" w:right="0"/>
              <w:jc w:val="left"/>
              <w:rPr>
                <w:rFonts w:ascii="Times New Roman" w:hAnsi="Times New Roman" w:cs="Times New Roman" w:eastAsia="Times New Roman" w:hint="default"/>
                <w:sz w:val="18"/>
                <w:szCs w:val="18"/>
              </w:rPr>
            </w:pPr>
            <w:r>
              <w:rPr>
                <w:rFonts w:ascii="Times New Roman"/>
                <w:sz w:val="18"/>
              </w:rPr>
              <w:t>562,40</w:t>
            </w:r>
          </w:p>
          <w:p>
            <w:pPr>
              <w:pStyle w:val="TableParagraph"/>
              <w:spacing w:line="240" w:lineRule="auto" w:before="105"/>
              <w:ind w:left="102" w:right="0"/>
              <w:jc w:val="left"/>
              <w:rPr>
                <w:rFonts w:ascii="Times New Roman" w:hAnsi="Times New Roman" w:cs="Times New Roman" w:eastAsia="Times New Roman" w:hint="default"/>
                <w:sz w:val="18"/>
                <w:szCs w:val="18"/>
              </w:rPr>
            </w:pPr>
            <w:r>
              <w:rPr>
                <w:rFonts w:ascii="Times New Roman"/>
                <w:sz w:val="18"/>
              </w:rPr>
              <w:t>0</w:t>
            </w:r>
          </w:p>
        </w:tc>
        <w:tc>
          <w:tcPr>
            <w:tcW w:w="787"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7" w:right="0"/>
              <w:jc w:val="left"/>
              <w:rPr>
                <w:rFonts w:ascii="Times New Roman" w:hAnsi="Times New Roman" w:cs="Times New Roman" w:eastAsia="Times New Roman" w:hint="default"/>
                <w:sz w:val="18"/>
                <w:szCs w:val="18"/>
              </w:rPr>
            </w:pPr>
            <w:r>
              <w:rPr>
                <w:rFonts w:ascii="Times New Roman"/>
                <w:sz w:val="18"/>
              </w:rPr>
              <w:t>8,092,8</w:t>
            </w:r>
          </w:p>
          <w:p>
            <w:pPr>
              <w:pStyle w:val="TableParagraph"/>
              <w:spacing w:line="240" w:lineRule="auto" w:before="105"/>
              <w:ind w:left="547" w:right="0"/>
              <w:jc w:val="left"/>
              <w:rPr>
                <w:rFonts w:ascii="Times New Roman" w:hAnsi="Times New Roman" w:cs="Times New Roman" w:eastAsia="Times New Roman" w:hint="default"/>
                <w:sz w:val="18"/>
                <w:szCs w:val="18"/>
              </w:rPr>
            </w:pPr>
            <w:r>
              <w:rPr>
                <w:rFonts w:ascii="Times New Roman"/>
                <w:sz w:val="18"/>
              </w:rPr>
              <w:t>00</w:t>
            </w:r>
          </w:p>
        </w:tc>
        <w:tc>
          <w:tcPr>
            <w:tcW w:w="1349" w:type="dxa"/>
            <w:tcBorders>
              <w:top w:val="single" w:sz="4" w:space="0" w:color="000000"/>
              <w:left w:val="single" w:sz="4" w:space="0" w:color="000000"/>
              <w:bottom w:val="single" w:sz="4" w:space="0" w:color="000000"/>
              <w:right w:val="single" w:sz="4" w:space="0" w:color="000000"/>
            </w:tcBorders>
          </w:tcPr>
          <w:p>
            <w:pPr/>
          </w:p>
        </w:tc>
        <w:tc>
          <w:tcPr>
            <w:tcW w:w="134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蒋国梁</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0.83%</w:t>
            </w:r>
            <w:r>
              <w:rPr>
                <w:rFonts w:ascii="Times New Roman"/>
                <w:sz w:val="18"/>
              </w:rPr>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2" w:right="0"/>
              <w:jc w:val="left"/>
              <w:rPr>
                <w:rFonts w:ascii="Times New Roman" w:hAnsi="Times New Roman" w:cs="Times New Roman" w:eastAsia="Times New Roman" w:hint="default"/>
                <w:sz w:val="18"/>
                <w:szCs w:val="18"/>
              </w:rPr>
            </w:pPr>
            <w:r>
              <w:rPr>
                <w:rFonts w:ascii="Times New Roman"/>
                <w:sz w:val="18"/>
              </w:rPr>
              <w:t>5,790,2</w:t>
            </w:r>
          </w:p>
          <w:p>
            <w:pPr>
              <w:pStyle w:val="TableParagraph"/>
              <w:spacing w:line="240" w:lineRule="auto" w:before="105"/>
              <w:ind w:left="492" w:right="0"/>
              <w:jc w:val="left"/>
              <w:rPr>
                <w:rFonts w:ascii="Times New Roman" w:hAnsi="Times New Roman" w:cs="Times New Roman" w:eastAsia="Times New Roman" w:hint="default"/>
                <w:sz w:val="18"/>
                <w:szCs w:val="18"/>
              </w:rPr>
            </w:pPr>
            <w:r>
              <w:rPr>
                <w:rFonts w:ascii="Times New Roman"/>
                <w:sz w:val="18"/>
              </w:rPr>
              <w:t>00</w:t>
            </w:r>
          </w:p>
        </w:tc>
        <w:tc>
          <w:tcPr>
            <w:tcW w:w="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50,200</w:t>
            </w:r>
          </w:p>
        </w:tc>
        <w:tc>
          <w:tcPr>
            <w:tcW w:w="787"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7" w:right="0"/>
              <w:jc w:val="left"/>
              <w:rPr>
                <w:rFonts w:ascii="Times New Roman" w:hAnsi="Times New Roman" w:cs="Times New Roman" w:eastAsia="Times New Roman" w:hint="default"/>
                <w:sz w:val="18"/>
                <w:szCs w:val="18"/>
              </w:rPr>
            </w:pPr>
            <w:r>
              <w:rPr>
                <w:rFonts w:ascii="Times New Roman"/>
                <w:sz w:val="18"/>
              </w:rPr>
              <w:t>5,790,2</w:t>
            </w:r>
          </w:p>
          <w:p>
            <w:pPr>
              <w:pStyle w:val="TableParagraph"/>
              <w:spacing w:line="240" w:lineRule="auto" w:before="105"/>
              <w:ind w:left="547" w:right="0"/>
              <w:jc w:val="left"/>
              <w:rPr>
                <w:rFonts w:ascii="Times New Roman" w:hAnsi="Times New Roman" w:cs="Times New Roman" w:eastAsia="Times New Roman" w:hint="default"/>
                <w:sz w:val="18"/>
                <w:szCs w:val="18"/>
              </w:rPr>
            </w:pPr>
            <w:r>
              <w:rPr>
                <w:rFonts w:ascii="Times New Roman"/>
                <w:sz w:val="18"/>
              </w:rPr>
              <w:t>00</w:t>
            </w:r>
          </w:p>
        </w:tc>
        <w:tc>
          <w:tcPr>
            <w:tcW w:w="1349" w:type="dxa"/>
            <w:tcBorders>
              <w:top w:val="single" w:sz="4" w:space="0" w:color="000000"/>
              <w:left w:val="single" w:sz="4" w:space="0" w:color="000000"/>
              <w:bottom w:val="single" w:sz="4" w:space="0" w:color="000000"/>
              <w:right w:val="single" w:sz="4" w:space="0" w:color="000000"/>
            </w:tcBorders>
          </w:tcPr>
          <w:p>
            <w:pPr/>
          </w:p>
        </w:tc>
        <w:tc>
          <w:tcPr>
            <w:tcW w:w="134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2" w:right="274"/>
              <w:jc w:val="left"/>
              <w:rPr>
                <w:rFonts w:ascii="宋体" w:hAnsi="宋体" w:cs="宋体" w:eastAsia="宋体" w:hint="default"/>
                <w:sz w:val="18"/>
                <w:szCs w:val="18"/>
              </w:rPr>
            </w:pPr>
            <w:r>
              <w:rPr>
                <w:rFonts w:ascii="宋体" w:hAnsi="宋体" w:cs="宋体" w:eastAsia="宋体" w:hint="default"/>
                <w:sz w:val="18"/>
                <w:szCs w:val="18"/>
              </w:rPr>
              <w:t>浙江锦鑫建设 工程有限公司</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3" w:right="218"/>
              <w:jc w:val="left"/>
              <w:rPr>
                <w:rFonts w:ascii="宋体" w:hAnsi="宋体" w:cs="宋体" w:eastAsia="宋体" w:hint="default"/>
                <w:sz w:val="18"/>
                <w:szCs w:val="18"/>
              </w:rPr>
            </w:pPr>
            <w:r>
              <w:rPr>
                <w:rFonts w:ascii="宋体" w:hAnsi="宋体" w:cs="宋体" w:eastAsia="宋体" w:hint="default"/>
                <w:sz w:val="18"/>
                <w:szCs w:val="18"/>
              </w:rPr>
              <w:t>境内非国有法 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0.64%</w:t>
            </w:r>
            <w:r>
              <w:rPr>
                <w:rFonts w:ascii="Times New Roman"/>
                <w:sz w:val="18"/>
              </w:rPr>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2" w:right="0"/>
              <w:jc w:val="left"/>
              <w:rPr>
                <w:rFonts w:ascii="Times New Roman" w:hAnsi="Times New Roman" w:cs="Times New Roman" w:eastAsia="Times New Roman" w:hint="default"/>
                <w:sz w:val="18"/>
                <w:szCs w:val="18"/>
              </w:rPr>
            </w:pPr>
            <w:r>
              <w:rPr>
                <w:rFonts w:ascii="Times New Roman"/>
                <w:sz w:val="18"/>
              </w:rPr>
              <w:t>4,480,0</w:t>
            </w:r>
          </w:p>
          <w:p>
            <w:pPr>
              <w:pStyle w:val="TableParagraph"/>
              <w:spacing w:line="240" w:lineRule="auto" w:before="105"/>
              <w:ind w:left="492" w:right="0"/>
              <w:jc w:val="left"/>
              <w:rPr>
                <w:rFonts w:ascii="Times New Roman" w:hAnsi="Times New Roman" w:cs="Times New Roman" w:eastAsia="Times New Roman" w:hint="default"/>
                <w:sz w:val="18"/>
                <w:szCs w:val="18"/>
              </w:rPr>
            </w:pPr>
            <w:r>
              <w:rPr>
                <w:rFonts w:ascii="Times New Roman"/>
                <w:sz w:val="18"/>
              </w:rPr>
              <w:t>00</w:t>
            </w:r>
          </w:p>
        </w:tc>
        <w:tc>
          <w:tcPr>
            <w:tcW w:w="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2" w:right="0"/>
              <w:jc w:val="left"/>
              <w:rPr>
                <w:rFonts w:ascii="Times New Roman" w:hAnsi="Times New Roman" w:cs="Times New Roman" w:eastAsia="Times New Roman" w:hint="default"/>
                <w:sz w:val="18"/>
                <w:szCs w:val="18"/>
              </w:rPr>
            </w:pPr>
            <w:r>
              <w:rPr>
                <w:rFonts w:ascii="Times New Roman"/>
                <w:sz w:val="18"/>
              </w:rPr>
              <w:t>-2,577,</w:t>
            </w:r>
          </w:p>
          <w:p>
            <w:pPr>
              <w:pStyle w:val="TableParagraph"/>
              <w:spacing w:line="240" w:lineRule="auto" w:before="105"/>
              <w:ind w:left="102" w:right="0"/>
              <w:jc w:val="left"/>
              <w:rPr>
                <w:rFonts w:ascii="Times New Roman" w:hAnsi="Times New Roman" w:cs="Times New Roman" w:eastAsia="Times New Roman" w:hint="default"/>
                <w:sz w:val="18"/>
                <w:szCs w:val="18"/>
              </w:rPr>
            </w:pPr>
            <w:r>
              <w:rPr>
                <w:rFonts w:ascii="Times New Roman"/>
                <w:sz w:val="18"/>
              </w:rPr>
              <w:t>500</w:t>
            </w:r>
          </w:p>
        </w:tc>
        <w:tc>
          <w:tcPr>
            <w:tcW w:w="787"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7" w:right="0"/>
              <w:jc w:val="left"/>
              <w:rPr>
                <w:rFonts w:ascii="Times New Roman" w:hAnsi="Times New Roman" w:cs="Times New Roman" w:eastAsia="Times New Roman" w:hint="default"/>
                <w:sz w:val="18"/>
                <w:szCs w:val="18"/>
              </w:rPr>
            </w:pPr>
            <w:r>
              <w:rPr>
                <w:rFonts w:ascii="Times New Roman"/>
                <w:sz w:val="18"/>
              </w:rPr>
              <w:t>4,480,0</w:t>
            </w:r>
          </w:p>
          <w:p>
            <w:pPr>
              <w:pStyle w:val="TableParagraph"/>
              <w:spacing w:line="240" w:lineRule="auto" w:before="105"/>
              <w:ind w:left="547" w:right="0"/>
              <w:jc w:val="left"/>
              <w:rPr>
                <w:rFonts w:ascii="Times New Roman" w:hAnsi="Times New Roman" w:cs="Times New Roman" w:eastAsia="Times New Roman" w:hint="default"/>
                <w:sz w:val="18"/>
                <w:szCs w:val="18"/>
              </w:rPr>
            </w:pPr>
            <w:r>
              <w:rPr>
                <w:rFonts w:ascii="Times New Roman"/>
                <w:sz w:val="18"/>
              </w:rPr>
              <w:t>00</w:t>
            </w:r>
          </w:p>
        </w:tc>
        <w:tc>
          <w:tcPr>
            <w:tcW w:w="1349" w:type="dxa"/>
            <w:tcBorders>
              <w:top w:val="single" w:sz="4" w:space="0" w:color="000000"/>
              <w:left w:val="single" w:sz="4" w:space="0" w:color="000000"/>
              <w:bottom w:val="single" w:sz="4" w:space="0" w:color="000000"/>
              <w:right w:val="single" w:sz="4" w:space="0" w:color="000000"/>
            </w:tcBorders>
          </w:tcPr>
          <w:p>
            <w:pPr/>
          </w:p>
        </w:tc>
        <w:tc>
          <w:tcPr>
            <w:tcW w:w="1348" w:type="dxa"/>
            <w:tcBorders>
              <w:top w:val="single" w:sz="4" w:space="0" w:color="000000"/>
              <w:left w:val="single" w:sz="4" w:space="0" w:color="000000"/>
              <w:bottom w:val="single" w:sz="4" w:space="0" w:color="000000"/>
              <w:right w:val="single" w:sz="4" w:space="0" w:color="000000"/>
            </w:tcBorders>
          </w:tcPr>
          <w:p>
            <w:pPr/>
          </w:p>
        </w:tc>
      </w:tr>
      <w:tr>
        <w:trPr>
          <w:trHeight w:val="1962"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0"/>
              <w:ind w:left="102" w:right="214"/>
              <w:jc w:val="left"/>
              <w:rPr>
                <w:rFonts w:ascii="宋体" w:hAnsi="宋体" w:cs="宋体" w:eastAsia="宋体" w:hint="default"/>
                <w:sz w:val="18"/>
                <w:szCs w:val="18"/>
              </w:rPr>
            </w:pPr>
            <w:r>
              <w:rPr>
                <w:rFonts w:ascii="宋体" w:hAnsi="宋体" w:cs="宋体" w:eastAsia="宋体" w:hint="default"/>
                <w:sz w:val="18"/>
                <w:szCs w:val="18"/>
              </w:rPr>
              <w:t>中国银行股份 有限公司－国 泰</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CES</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半导体 行业交易型开 放式指数证券 投资基金</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0.56%</w:t>
            </w:r>
            <w:r>
              <w:rPr>
                <w:rFonts w:ascii="Times New Roman"/>
                <w:sz w:val="18"/>
              </w:rPr>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132" w:right="0"/>
              <w:jc w:val="left"/>
              <w:rPr>
                <w:rFonts w:ascii="Times New Roman" w:hAnsi="Times New Roman" w:cs="Times New Roman" w:eastAsia="Times New Roman" w:hint="default"/>
                <w:sz w:val="18"/>
                <w:szCs w:val="18"/>
              </w:rPr>
            </w:pPr>
            <w:r>
              <w:rPr>
                <w:rFonts w:ascii="Times New Roman"/>
                <w:sz w:val="18"/>
              </w:rPr>
              <w:t>3,908,0</w:t>
            </w:r>
          </w:p>
          <w:p>
            <w:pPr>
              <w:pStyle w:val="TableParagraph"/>
              <w:spacing w:line="240" w:lineRule="auto" w:before="105"/>
              <w:ind w:left="492" w:right="0"/>
              <w:jc w:val="left"/>
              <w:rPr>
                <w:rFonts w:ascii="Times New Roman" w:hAnsi="Times New Roman" w:cs="Times New Roman" w:eastAsia="Times New Roman" w:hint="default"/>
                <w:sz w:val="18"/>
                <w:szCs w:val="18"/>
              </w:rPr>
            </w:pPr>
            <w:r>
              <w:rPr>
                <w:rFonts w:ascii="Times New Roman"/>
                <w:sz w:val="18"/>
              </w:rPr>
              <w:t>00</w:t>
            </w:r>
          </w:p>
        </w:tc>
        <w:tc>
          <w:tcPr>
            <w:tcW w:w="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3,908,0</w:t>
            </w:r>
          </w:p>
          <w:p>
            <w:pPr>
              <w:pStyle w:val="TableParagraph"/>
              <w:spacing w:line="240" w:lineRule="auto" w:before="105"/>
              <w:ind w:left="102" w:right="0"/>
              <w:jc w:val="left"/>
              <w:rPr>
                <w:rFonts w:ascii="Times New Roman" w:hAnsi="Times New Roman" w:cs="Times New Roman" w:eastAsia="Times New Roman" w:hint="default"/>
                <w:sz w:val="18"/>
                <w:szCs w:val="18"/>
              </w:rPr>
            </w:pPr>
            <w:r>
              <w:rPr>
                <w:rFonts w:ascii="Times New Roman"/>
                <w:sz w:val="18"/>
              </w:rPr>
              <w:t>00</w:t>
            </w:r>
          </w:p>
        </w:tc>
        <w:tc>
          <w:tcPr>
            <w:tcW w:w="787"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187" w:right="0"/>
              <w:jc w:val="left"/>
              <w:rPr>
                <w:rFonts w:ascii="Times New Roman" w:hAnsi="Times New Roman" w:cs="Times New Roman" w:eastAsia="Times New Roman" w:hint="default"/>
                <w:sz w:val="18"/>
                <w:szCs w:val="18"/>
              </w:rPr>
            </w:pPr>
            <w:r>
              <w:rPr>
                <w:rFonts w:ascii="Times New Roman"/>
                <w:sz w:val="18"/>
              </w:rPr>
              <w:t>3,908,0</w:t>
            </w:r>
          </w:p>
          <w:p>
            <w:pPr>
              <w:pStyle w:val="TableParagraph"/>
              <w:spacing w:line="240" w:lineRule="auto" w:before="105"/>
              <w:ind w:left="547" w:right="0"/>
              <w:jc w:val="left"/>
              <w:rPr>
                <w:rFonts w:ascii="Times New Roman" w:hAnsi="Times New Roman" w:cs="Times New Roman" w:eastAsia="Times New Roman" w:hint="default"/>
                <w:sz w:val="18"/>
                <w:szCs w:val="18"/>
              </w:rPr>
            </w:pPr>
            <w:r>
              <w:rPr>
                <w:rFonts w:ascii="Times New Roman"/>
                <w:sz w:val="18"/>
              </w:rPr>
              <w:t>00</w:t>
            </w:r>
          </w:p>
        </w:tc>
        <w:tc>
          <w:tcPr>
            <w:tcW w:w="1349" w:type="dxa"/>
            <w:tcBorders>
              <w:top w:val="single" w:sz="4" w:space="0" w:color="000000"/>
              <w:left w:val="single" w:sz="4" w:space="0" w:color="000000"/>
              <w:bottom w:val="single" w:sz="4" w:space="0" w:color="000000"/>
              <w:right w:val="single" w:sz="4" w:space="0" w:color="000000"/>
            </w:tcBorders>
          </w:tcPr>
          <w:p>
            <w:pPr/>
          </w:p>
        </w:tc>
        <w:tc>
          <w:tcPr>
            <w:tcW w:w="134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蔡晓</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0.44%</w:t>
            </w:r>
            <w:r>
              <w:rPr>
                <w:rFonts w:ascii="Times New Roman"/>
                <w:sz w:val="18"/>
              </w:rPr>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2" w:right="0"/>
              <w:jc w:val="left"/>
              <w:rPr>
                <w:rFonts w:ascii="Times New Roman" w:hAnsi="Times New Roman" w:cs="Times New Roman" w:eastAsia="Times New Roman" w:hint="default"/>
                <w:sz w:val="18"/>
                <w:szCs w:val="18"/>
              </w:rPr>
            </w:pPr>
            <w:r>
              <w:rPr>
                <w:rFonts w:ascii="Times New Roman"/>
                <w:sz w:val="18"/>
              </w:rPr>
              <w:t>3,044,3</w:t>
            </w:r>
          </w:p>
          <w:p>
            <w:pPr>
              <w:pStyle w:val="TableParagraph"/>
              <w:spacing w:line="240" w:lineRule="auto" w:before="105"/>
              <w:ind w:left="492" w:right="0"/>
              <w:jc w:val="left"/>
              <w:rPr>
                <w:rFonts w:ascii="Times New Roman" w:hAnsi="Times New Roman" w:cs="Times New Roman" w:eastAsia="Times New Roman" w:hint="default"/>
                <w:sz w:val="18"/>
                <w:szCs w:val="18"/>
              </w:rPr>
            </w:pPr>
            <w:r>
              <w:rPr>
                <w:rFonts w:ascii="Times New Roman"/>
                <w:sz w:val="18"/>
              </w:rPr>
              <w:t>75</w:t>
            </w:r>
          </w:p>
        </w:tc>
        <w:tc>
          <w:tcPr>
            <w:tcW w:w="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2" w:right="0"/>
              <w:jc w:val="left"/>
              <w:rPr>
                <w:rFonts w:ascii="Times New Roman" w:hAnsi="Times New Roman" w:cs="Times New Roman" w:eastAsia="Times New Roman" w:hint="default"/>
                <w:sz w:val="18"/>
                <w:szCs w:val="18"/>
              </w:rPr>
            </w:pPr>
            <w:r>
              <w:rPr>
                <w:rFonts w:ascii="Times New Roman"/>
                <w:sz w:val="18"/>
              </w:rPr>
              <w:t>-1,046,</w:t>
            </w:r>
          </w:p>
          <w:p>
            <w:pPr>
              <w:pStyle w:val="TableParagraph"/>
              <w:spacing w:line="240" w:lineRule="auto" w:before="105"/>
              <w:ind w:left="102" w:right="0"/>
              <w:jc w:val="left"/>
              <w:rPr>
                <w:rFonts w:ascii="Times New Roman" w:hAnsi="Times New Roman" w:cs="Times New Roman" w:eastAsia="Times New Roman" w:hint="default"/>
                <w:sz w:val="18"/>
                <w:szCs w:val="18"/>
              </w:rPr>
            </w:pPr>
            <w:r>
              <w:rPr>
                <w:rFonts w:ascii="Times New Roman"/>
                <w:sz w:val="18"/>
              </w:rPr>
              <w:t>325</w:t>
            </w:r>
          </w:p>
        </w:tc>
        <w:tc>
          <w:tcPr>
            <w:tcW w:w="787"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7" w:right="0"/>
              <w:jc w:val="left"/>
              <w:rPr>
                <w:rFonts w:ascii="Times New Roman" w:hAnsi="Times New Roman" w:cs="Times New Roman" w:eastAsia="Times New Roman" w:hint="default"/>
                <w:sz w:val="18"/>
                <w:szCs w:val="18"/>
              </w:rPr>
            </w:pPr>
            <w:r>
              <w:rPr>
                <w:rFonts w:ascii="Times New Roman"/>
                <w:sz w:val="18"/>
              </w:rPr>
              <w:t>3,044,3</w:t>
            </w:r>
          </w:p>
          <w:p>
            <w:pPr>
              <w:pStyle w:val="TableParagraph"/>
              <w:spacing w:line="240" w:lineRule="auto" w:before="105"/>
              <w:ind w:left="547" w:right="0"/>
              <w:jc w:val="left"/>
              <w:rPr>
                <w:rFonts w:ascii="Times New Roman" w:hAnsi="Times New Roman" w:cs="Times New Roman" w:eastAsia="Times New Roman" w:hint="default"/>
                <w:sz w:val="18"/>
                <w:szCs w:val="18"/>
              </w:rPr>
            </w:pPr>
            <w:r>
              <w:rPr>
                <w:rFonts w:ascii="Times New Roman"/>
                <w:sz w:val="18"/>
              </w:rPr>
              <w:t>75</w:t>
            </w:r>
          </w:p>
        </w:tc>
        <w:tc>
          <w:tcPr>
            <w:tcW w:w="1349" w:type="dxa"/>
            <w:tcBorders>
              <w:top w:val="single" w:sz="4" w:space="0" w:color="000000"/>
              <w:left w:val="single" w:sz="4" w:space="0" w:color="000000"/>
              <w:bottom w:val="single" w:sz="4" w:space="0" w:color="000000"/>
              <w:right w:val="single" w:sz="4" w:space="0" w:color="000000"/>
            </w:tcBorders>
          </w:tcPr>
          <w:p>
            <w:pPr/>
          </w:p>
        </w:tc>
        <w:tc>
          <w:tcPr>
            <w:tcW w:w="134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蒋丽娜</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0.37%</w:t>
            </w:r>
            <w:r>
              <w:rPr>
                <w:rFonts w:ascii="Times New Roman"/>
                <w:sz w:val="18"/>
              </w:rPr>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2" w:right="0"/>
              <w:jc w:val="left"/>
              <w:rPr>
                <w:rFonts w:ascii="Times New Roman" w:hAnsi="Times New Roman" w:cs="Times New Roman" w:eastAsia="Times New Roman" w:hint="default"/>
                <w:sz w:val="18"/>
                <w:szCs w:val="18"/>
              </w:rPr>
            </w:pPr>
            <w:r>
              <w:rPr>
                <w:rFonts w:ascii="Times New Roman"/>
                <w:sz w:val="18"/>
              </w:rPr>
              <w:t>2,550,0</w:t>
            </w:r>
          </w:p>
          <w:p>
            <w:pPr>
              <w:pStyle w:val="TableParagraph"/>
              <w:spacing w:line="240" w:lineRule="auto" w:before="105"/>
              <w:ind w:left="492" w:right="0"/>
              <w:jc w:val="left"/>
              <w:rPr>
                <w:rFonts w:ascii="Times New Roman" w:hAnsi="Times New Roman" w:cs="Times New Roman" w:eastAsia="Times New Roman" w:hint="default"/>
                <w:sz w:val="18"/>
                <w:szCs w:val="18"/>
              </w:rPr>
            </w:pPr>
            <w:r>
              <w:rPr>
                <w:rFonts w:ascii="Times New Roman"/>
                <w:sz w:val="18"/>
              </w:rPr>
              <w:t>00</w:t>
            </w:r>
          </w:p>
        </w:tc>
        <w:tc>
          <w:tcPr>
            <w:tcW w:w="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2" w:right="0"/>
              <w:jc w:val="left"/>
              <w:rPr>
                <w:rFonts w:ascii="Times New Roman" w:hAnsi="Times New Roman" w:cs="Times New Roman" w:eastAsia="Times New Roman" w:hint="default"/>
                <w:sz w:val="18"/>
                <w:szCs w:val="18"/>
              </w:rPr>
            </w:pPr>
            <w:r>
              <w:rPr>
                <w:rFonts w:ascii="Times New Roman"/>
                <w:sz w:val="18"/>
              </w:rPr>
              <w:t>-2,000,</w:t>
            </w:r>
          </w:p>
          <w:p>
            <w:pPr>
              <w:pStyle w:val="TableParagraph"/>
              <w:spacing w:line="240" w:lineRule="auto" w:before="105"/>
              <w:ind w:left="102" w:right="0"/>
              <w:jc w:val="left"/>
              <w:rPr>
                <w:rFonts w:ascii="Times New Roman" w:hAnsi="Times New Roman" w:cs="Times New Roman" w:eastAsia="Times New Roman" w:hint="default"/>
                <w:sz w:val="18"/>
                <w:szCs w:val="18"/>
              </w:rPr>
            </w:pPr>
            <w:r>
              <w:rPr>
                <w:rFonts w:ascii="Times New Roman"/>
                <w:sz w:val="18"/>
              </w:rPr>
              <w:t>000</w:t>
            </w:r>
          </w:p>
        </w:tc>
        <w:tc>
          <w:tcPr>
            <w:tcW w:w="787"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7" w:right="0"/>
              <w:jc w:val="left"/>
              <w:rPr>
                <w:rFonts w:ascii="Times New Roman" w:hAnsi="Times New Roman" w:cs="Times New Roman" w:eastAsia="Times New Roman" w:hint="default"/>
                <w:sz w:val="18"/>
                <w:szCs w:val="18"/>
              </w:rPr>
            </w:pPr>
            <w:r>
              <w:rPr>
                <w:rFonts w:ascii="Times New Roman"/>
                <w:sz w:val="18"/>
              </w:rPr>
              <w:t>2,550,0</w:t>
            </w:r>
          </w:p>
          <w:p>
            <w:pPr>
              <w:pStyle w:val="TableParagraph"/>
              <w:spacing w:line="240" w:lineRule="auto" w:before="105"/>
              <w:ind w:left="547" w:right="0"/>
              <w:jc w:val="left"/>
              <w:rPr>
                <w:rFonts w:ascii="Times New Roman" w:hAnsi="Times New Roman" w:cs="Times New Roman" w:eastAsia="Times New Roman" w:hint="default"/>
                <w:sz w:val="18"/>
                <w:szCs w:val="18"/>
              </w:rPr>
            </w:pPr>
            <w:r>
              <w:rPr>
                <w:rFonts w:ascii="Times New Roman"/>
                <w:sz w:val="18"/>
              </w:rPr>
              <w:t>00</w:t>
            </w:r>
          </w:p>
        </w:tc>
        <w:tc>
          <w:tcPr>
            <w:tcW w:w="1349" w:type="dxa"/>
            <w:tcBorders>
              <w:top w:val="single" w:sz="4" w:space="0" w:color="000000"/>
              <w:left w:val="single" w:sz="4" w:space="0" w:color="000000"/>
              <w:bottom w:val="single" w:sz="4" w:space="0" w:color="000000"/>
              <w:right w:val="single" w:sz="4" w:space="0" w:color="000000"/>
            </w:tcBorders>
          </w:tcPr>
          <w:p>
            <w:pPr/>
          </w:p>
        </w:tc>
        <w:tc>
          <w:tcPr>
            <w:tcW w:w="134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李小飞</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0.32%</w:t>
            </w:r>
            <w:r>
              <w:rPr>
                <w:rFonts w:ascii="Times New Roman"/>
                <w:sz w:val="18"/>
              </w:rPr>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2" w:right="0"/>
              <w:jc w:val="left"/>
              <w:rPr>
                <w:rFonts w:ascii="Times New Roman" w:hAnsi="Times New Roman" w:cs="Times New Roman" w:eastAsia="Times New Roman" w:hint="default"/>
                <w:sz w:val="18"/>
                <w:szCs w:val="18"/>
              </w:rPr>
            </w:pPr>
            <w:r>
              <w:rPr>
                <w:rFonts w:ascii="Times New Roman"/>
                <w:sz w:val="18"/>
              </w:rPr>
              <w:t>2,220,2</w:t>
            </w:r>
          </w:p>
          <w:p>
            <w:pPr>
              <w:pStyle w:val="TableParagraph"/>
              <w:spacing w:line="240" w:lineRule="auto" w:before="105"/>
              <w:ind w:left="492" w:right="0"/>
              <w:jc w:val="left"/>
              <w:rPr>
                <w:rFonts w:ascii="Times New Roman" w:hAnsi="Times New Roman" w:cs="Times New Roman" w:eastAsia="Times New Roman" w:hint="default"/>
                <w:sz w:val="18"/>
                <w:szCs w:val="18"/>
              </w:rPr>
            </w:pPr>
            <w:r>
              <w:rPr>
                <w:rFonts w:ascii="Times New Roman"/>
                <w:sz w:val="18"/>
              </w:rPr>
              <w:t>30</w:t>
            </w:r>
          </w:p>
        </w:tc>
        <w:tc>
          <w:tcPr>
            <w:tcW w:w="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2" w:right="0"/>
              <w:jc w:val="left"/>
              <w:rPr>
                <w:rFonts w:ascii="Times New Roman" w:hAnsi="Times New Roman" w:cs="Times New Roman" w:eastAsia="Times New Roman" w:hint="default"/>
                <w:sz w:val="18"/>
                <w:szCs w:val="18"/>
              </w:rPr>
            </w:pPr>
            <w:r>
              <w:rPr>
                <w:rFonts w:ascii="Times New Roman"/>
                <w:sz w:val="18"/>
              </w:rPr>
              <w:t>2,220,2</w:t>
            </w:r>
          </w:p>
          <w:p>
            <w:pPr>
              <w:pStyle w:val="TableParagraph"/>
              <w:spacing w:line="240" w:lineRule="auto" w:before="105"/>
              <w:ind w:left="102" w:right="0"/>
              <w:jc w:val="left"/>
              <w:rPr>
                <w:rFonts w:ascii="Times New Roman" w:hAnsi="Times New Roman" w:cs="Times New Roman" w:eastAsia="Times New Roman" w:hint="default"/>
                <w:sz w:val="18"/>
                <w:szCs w:val="18"/>
              </w:rPr>
            </w:pPr>
            <w:r>
              <w:rPr>
                <w:rFonts w:ascii="Times New Roman"/>
                <w:sz w:val="18"/>
              </w:rPr>
              <w:t>30</w:t>
            </w:r>
          </w:p>
        </w:tc>
        <w:tc>
          <w:tcPr>
            <w:tcW w:w="787"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7" w:right="0"/>
              <w:jc w:val="left"/>
              <w:rPr>
                <w:rFonts w:ascii="Times New Roman" w:hAnsi="Times New Roman" w:cs="Times New Roman" w:eastAsia="Times New Roman" w:hint="default"/>
                <w:sz w:val="18"/>
                <w:szCs w:val="18"/>
              </w:rPr>
            </w:pPr>
            <w:r>
              <w:rPr>
                <w:rFonts w:ascii="Times New Roman"/>
                <w:sz w:val="18"/>
              </w:rPr>
              <w:t>2,220,2</w:t>
            </w:r>
          </w:p>
          <w:p>
            <w:pPr>
              <w:pStyle w:val="TableParagraph"/>
              <w:spacing w:line="240" w:lineRule="auto" w:before="105"/>
              <w:ind w:left="547" w:right="0"/>
              <w:jc w:val="left"/>
              <w:rPr>
                <w:rFonts w:ascii="Times New Roman" w:hAnsi="Times New Roman" w:cs="Times New Roman" w:eastAsia="Times New Roman" w:hint="default"/>
                <w:sz w:val="18"/>
                <w:szCs w:val="18"/>
              </w:rPr>
            </w:pPr>
            <w:r>
              <w:rPr>
                <w:rFonts w:ascii="Times New Roman"/>
                <w:sz w:val="18"/>
              </w:rPr>
              <w:t>30</w:t>
            </w:r>
          </w:p>
        </w:tc>
        <w:tc>
          <w:tcPr>
            <w:tcW w:w="1349" w:type="dxa"/>
            <w:tcBorders>
              <w:top w:val="single" w:sz="4" w:space="0" w:color="000000"/>
              <w:left w:val="single" w:sz="4" w:space="0" w:color="000000"/>
              <w:bottom w:val="single" w:sz="4" w:space="0" w:color="000000"/>
              <w:right w:val="single" w:sz="4" w:space="0" w:color="000000"/>
            </w:tcBorders>
          </w:tcPr>
          <w:p>
            <w:pPr/>
          </w:p>
        </w:tc>
        <w:tc>
          <w:tcPr>
            <w:tcW w:w="134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张捍珍</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0.31%</w:t>
            </w:r>
            <w:r>
              <w:rPr>
                <w:rFonts w:ascii="Times New Roman"/>
                <w:sz w:val="18"/>
              </w:rPr>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2" w:right="0"/>
              <w:jc w:val="left"/>
              <w:rPr>
                <w:rFonts w:ascii="Times New Roman" w:hAnsi="Times New Roman" w:cs="Times New Roman" w:eastAsia="Times New Roman" w:hint="default"/>
                <w:sz w:val="18"/>
                <w:szCs w:val="18"/>
              </w:rPr>
            </w:pPr>
            <w:r>
              <w:rPr>
                <w:rFonts w:ascii="Times New Roman"/>
                <w:sz w:val="18"/>
              </w:rPr>
              <w:t>2,180,0</w:t>
            </w:r>
          </w:p>
          <w:p>
            <w:pPr>
              <w:pStyle w:val="TableParagraph"/>
              <w:spacing w:line="240" w:lineRule="auto" w:before="105"/>
              <w:ind w:left="492" w:right="0"/>
              <w:jc w:val="left"/>
              <w:rPr>
                <w:rFonts w:ascii="Times New Roman" w:hAnsi="Times New Roman" w:cs="Times New Roman" w:eastAsia="Times New Roman" w:hint="default"/>
                <w:sz w:val="18"/>
                <w:szCs w:val="18"/>
              </w:rPr>
            </w:pPr>
            <w:r>
              <w:rPr>
                <w:rFonts w:ascii="Times New Roman"/>
                <w:sz w:val="18"/>
              </w:rPr>
              <w:t>00</w:t>
            </w:r>
          </w:p>
        </w:tc>
        <w:tc>
          <w:tcPr>
            <w:tcW w:w="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2" w:right="0"/>
              <w:jc w:val="left"/>
              <w:rPr>
                <w:rFonts w:ascii="Times New Roman" w:hAnsi="Times New Roman" w:cs="Times New Roman" w:eastAsia="Times New Roman" w:hint="default"/>
                <w:sz w:val="18"/>
                <w:szCs w:val="18"/>
              </w:rPr>
            </w:pPr>
            <w:r>
              <w:rPr>
                <w:rFonts w:ascii="Times New Roman"/>
                <w:sz w:val="18"/>
              </w:rPr>
              <w:t>230,00</w:t>
            </w:r>
          </w:p>
          <w:p>
            <w:pPr>
              <w:pStyle w:val="TableParagraph"/>
              <w:spacing w:line="240" w:lineRule="auto" w:before="105"/>
              <w:ind w:left="102" w:right="0"/>
              <w:jc w:val="left"/>
              <w:rPr>
                <w:rFonts w:ascii="Times New Roman" w:hAnsi="Times New Roman" w:cs="Times New Roman" w:eastAsia="Times New Roman" w:hint="default"/>
                <w:sz w:val="18"/>
                <w:szCs w:val="18"/>
              </w:rPr>
            </w:pPr>
            <w:r>
              <w:rPr>
                <w:rFonts w:ascii="Times New Roman"/>
                <w:sz w:val="18"/>
              </w:rPr>
              <w:t>0</w:t>
            </w:r>
          </w:p>
        </w:tc>
        <w:tc>
          <w:tcPr>
            <w:tcW w:w="787"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7" w:right="0"/>
              <w:jc w:val="left"/>
              <w:rPr>
                <w:rFonts w:ascii="Times New Roman" w:hAnsi="Times New Roman" w:cs="Times New Roman" w:eastAsia="Times New Roman" w:hint="default"/>
                <w:sz w:val="18"/>
                <w:szCs w:val="18"/>
              </w:rPr>
            </w:pPr>
            <w:r>
              <w:rPr>
                <w:rFonts w:ascii="Times New Roman"/>
                <w:sz w:val="18"/>
              </w:rPr>
              <w:t>2,180,0</w:t>
            </w:r>
          </w:p>
          <w:p>
            <w:pPr>
              <w:pStyle w:val="TableParagraph"/>
              <w:spacing w:line="240" w:lineRule="auto" w:before="105"/>
              <w:ind w:left="547" w:right="0"/>
              <w:jc w:val="left"/>
              <w:rPr>
                <w:rFonts w:ascii="Times New Roman" w:hAnsi="Times New Roman" w:cs="Times New Roman" w:eastAsia="Times New Roman" w:hint="default"/>
                <w:sz w:val="18"/>
                <w:szCs w:val="18"/>
              </w:rPr>
            </w:pPr>
            <w:r>
              <w:rPr>
                <w:rFonts w:ascii="Times New Roman"/>
                <w:sz w:val="18"/>
              </w:rPr>
              <w:t>00</w:t>
            </w:r>
          </w:p>
        </w:tc>
        <w:tc>
          <w:tcPr>
            <w:tcW w:w="1349" w:type="dxa"/>
            <w:tcBorders>
              <w:top w:val="single" w:sz="4" w:space="0" w:color="000000"/>
              <w:left w:val="single" w:sz="4" w:space="0" w:color="000000"/>
              <w:bottom w:val="single" w:sz="4" w:space="0" w:color="000000"/>
              <w:right w:val="single" w:sz="4" w:space="0" w:color="000000"/>
            </w:tcBorders>
          </w:tcPr>
          <w:p>
            <w:pPr/>
          </w:p>
        </w:tc>
        <w:tc>
          <w:tcPr>
            <w:tcW w:w="134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2881"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0"/>
              <w:ind w:left="102" w:right="11"/>
              <w:jc w:val="left"/>
              <w:rPr>
                <w:rFonts w:ascii="宋体" w:hAnsi="宋体" w:cs="宋体" w:eastAsia="宋体" w:hint="default"/>
                <w:sz w:val="18"/>
                <w:szCs w:val="18"/>
              </w:rPr>
            </w:pPr>
            <w:r>
              <w:rPr>
                <w:rFonts w:ascii="宋体" w:hAnsi="宋体" w:cs="宋体" w:eastAsia="宋体" w:hint="default"/>
                <w:sz w:val="18"/>
                <w:szCs w:val="18"/>
              </w:rPr>
              <w:t>战略投资者或一般法人因配售新 股成为前</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pacing w:val="-4"/>
                <w:sz w:val="18"/>
                <w:szCs w:val="18"/>
              </w:rPr>
              <w:t>名股东的情况（如有）</w:t>
            </w:r>
          </w:p>
          <w:p>
            <w:pPr>
              <w:pStyle w:val="TableParagraph"/>
              <w:spacing w:line="246" w:lineRule="exact"/>
              <w:ind w:left="102" w:right="0"/>
              <w:jc w:val="left"/>
              <w:rPr>
                <w:rFonts w:ascii="宋体" w:hAnsi="宋体" w:cs="宋体" w:eastAsia="宋体" w:hint="default"/>
                <w:sz w:val="18"/>
                <w:szCs w:val="18"/>
              </w:rPr>
            </w:pPr>
            <w:r>
              <w:rPr>
                <w:rFonts w:ascii="宋体" w:hAnsi="宋体" w:cs="宋体" w:eastAsia="宋体" w:hint="default"/>
                <w:sz w:val="18"/>
                <w:szCs w:val="18"/>
              </w:rPr>
              <w:t>（参见注</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w:t>
            </w:r>
          </w:p>
        </w:tc>
        <w:tc>
          <w:tcPr>
            <w:tcW w:w="6687"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5"/>
              <w:ind w:left="103"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1026" w:hRule="exact"/>
        </w:trPr>
        <w:tc>
          <w:tcPr>
            <w:tcW w:w="2881"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316" w:lineRule="auto"/>
              <w:ind w:left="102" w:right="246"/>
              <w:jc w:val="left"/>
              <w:rPr>
                <w:rFonts w:ascii="宋体" w:hAnsi="宋体" w:cs="宋体" w:eastAsia="宋体" w:hint="default"/>
                <w:sz w:val="18"/>
                <w:szCs w:val="18"/>
              </w:rPr>
            </w:pPr>
            <w:r>
              <w:rPr>
                <w:rFonts w:ascii="宋体" w:hAnsi="宋体" w:cs="宋体" w:eastAsia="宋体" w:hint="default"/>
                <w:sz w:val="18"/>
                <w:szCs w:val="18"/>
              </w:rPr>
              <w:t>上述股东关联关系或一致行动的 说明</w:t>
            </w:r>
          </w:p>
        </w:tc>
        <w:tc>
          <w:tcPr>
            <w:tcW w:w="6687" w:type="dxa"/>
            <w:gridSpan w:val="7"/>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3" w:right="101"/>
              <w:jc w:val="both"/>
              <w:rPr>
                <w:rFonts w:ascii="宋体" w:hAnsi="宋体" w:cs="宋体" w:eastAsia="宋体" w:hint="default"/>
                <w:sz w:val="18"/>
                <w:szCs w:val="18"/>
              </w:rPr>
            </w:pPr>
            <w:r>
              <w:rPr>
                <w:rFonts w:ascii="宋体" w:hAnsi="宋体" w:cs="宋体" w:eastAsia="宋体" w:hint="default"/>
                <w:spacing w:val="-1"/>
                <w:sz w:val="18"/>
                <w:szCs w:val="18"/>
              </w:rPr>
              <w:t>公司第一大股东钱京与其他股东不存在关联关系或《上市公司股东持股变动信息披</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pacing w:val="-1"/>
                <w:sz w:val="18"/>
                <w:szCs w:val="18"/>
              </w:rPr>
              <w:t>露管理办法》中规定的一致行动人的情况；公司未知其他股东之间是否存在关联关</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系或《上市公司股东持股变动信息披露管理办法》中规定的一致行动人的情况。</w:t>
            </w:r>
          </w:p>
        </w:tc>
      </w:tr>
      <w:tr>
        <w:trPr>
          <w:trHeight w:val="402" w:hRule="exact"/>
        </w:trPr>
        <w:tc>
          <w:tcPr>
            <w:tcW w:w="9568" w:type="dxa"/>
            <w:gridSpan w:val="9"/>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名无限售条件股东持股情况</w:t>
            </w:r>
          </w:p>
        </w:tc>
      </w:tr>
      <w:tr>
        <w:trPr>
          <w:trHeight w:val="402" w:hRule="exact"/>
        </w:trPr>
        <w:tc>
          <w:tcPr>
            <w:tcW w:w="2881" w:type="dxa"/>
            <w:gridSpan w:val="2"/>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10"/>
              <w:ind w:right="0"/>
              <w:jc w:val="left"/>
              <w:rPr>
                <w:rFonts w:ascii="Times New Roman" w:hAnsi="Times New Roman" w:cs="Times New Roman" w:eastAsia="Times New Roman" w:hint="default"/>
                <w:sz w:val="21"/>
                <w:szCs w:val="21"/>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3990" w:type="dxa"/>
            <w:gridSpan w:val="5"/>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10"/>
              <w:ind w:right="0"/>
              <w:jc w:val="left"/>
              <w:rPr>
                <w:rFonts w:ascii="Times New Roman" w:hAnsi="Times New Roman" w:cs="Times New Roman" w:eastAsia="Times New Roman" w:hint="default"/>
                <w:sz w:val="21"/>
                <w:szCs w:val="21"/>
              </w:rPr>
            </w:pPr>
          </w:p>
          <w:p>
            <w:pPr>
              <w:pStyle w:val="TableParagraph"/>
              <w:spacing w:line="240" w:lineRule="auto"/>
              <w:ind w:left="640" w:right="0"/>
              <w:jc w:val="left"/>
              <w:rPr>
                <w:rFonts w:ascii="宋体" w:hAnsi="宋体" w:cs="宋体" w:eastAsia="宋体" w:hint="default"/>
                <w:sz w:val="18"/>
                <w:szCs w:val="18"/>
              </w:rPr>
            </w:pPr>
            <w:r>
              <w:rPr>
                <w:rFonts w:ascii="宋体" w:hAnsi="宋体" w:cs="宋体" w:eastAsia="宋体" w:hint="default"/>
                <w:sz w:val="18"/>
                <w:szCs w:val="18"/>
              </w:rPr>
              <w:t>报告期末持有无限售条件股份数量</w:t>
            </w:r>
          </w:p>
        </w:tc>
        <w:tc>
          <w:tcPr>
            <w:tcW w:w="2697"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股份种类</w:t>
            </w:r>
          </w:p>
        </w:tc>
      </w:tr>
      <w:tr>
        <w:trPr>
          <w:trHeight w:val="402" w:hRule="exact"/>
        </w:trPr>
        <w:tc>
          <w:tcPr>
            <w:tcW w:w="2881" w:type="dxa"/>
            <w:gridSpan w:val="2"/>
            <w:vMerge/>
            <w:tcBorders>
              <w:left w:val="single" w:sz="4" w:space="0" w:color="000000"/>
              <w:bottom w:val="single" w:sz="4" w:space="0" w:color="000000"/>
              <w:right w:val="single" w:sz="4" w:space="0" w:color="000000"/>
            </w:tcBorders>
            <w:shd w:val="clear" w:color="auto" w:fill="D3D3D3"/>
          </w:tcPr>
          <w:p>
            <w:pPr/>
          </w:p>
        </w:tc>
        <w:tc>
          <w:tcPr>
            <w:tcW w:w="3990" w:type="dxa"/>
            <w:gridSpan w:val="5"/>
            <w:vMerge/>
            <w:tcBorders>
              <w:left w:val="single" w:sz="4" w:space="0" w:color="000000"/>
              <w:bottom w:val="single" w:sz="4" w:space="0" w:color="000000"/>
              <w:right w:val="single" w:sz="4" w:space="0" w:color="000000"/>
            </w:tcBorders>
            <w:shd w:val="clear" w:color="auto" w:fill="D3D3D3"/>
          </w:tcPr>
          <w:p>
            <w:pPr/>
          </w:p>
        </w:tc>
        <w:tc>
          <w:tcPr>
            <w:tcW w:w="134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股份种类</w:t>
            </w:r>
          </w:p>
        </w:tc>
        <w:tc>
          <w:tcPr>
            <w:tcW w:w="134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数量</w:t>
            </w:r>
          </w:p>
        </w:tc>
      </w:tr>
      <w:tr>
        <w:trPr>
          <w:trHeight w:val="402" w:hRule="exact"/>
        </w:trPr>
        <w:tc>
          <w:tcPr>
            <w:tcW w:w="28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钱京</w:t>
            </w:r>
          </w:p>
        </w:tc>
        <w:tc>
          <w:tcPr>
            <w:tcW w:w="399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35,981,287</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5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35,981,287</w:t>
            </w:r>
          </w:p>
        </w:tc>
      </w:tr>
      <w:tr>
        <w:trPr>
          <w:trHeight w:val="402" w:hRule="exact"/>
        </w:trPr>
        <w:tc>
          <w:tcPr>
            <w:tcW w:w="28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中央汇金资产管理有限责任公司</w:t>
            </w:r>
          </w:p>
        </w:tc>
        <w:tc>
          <w:tcPr>
            <w:tcW w:w="399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14,048,600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5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14,048,600</w:t>
            </w:r>
          </w:p>
        </w:tc>
      </w:tr>
      <w:tr>
        <w:trPr>
          <w:trHeight w:val="402" w:hRule="exact"/>
        </w:trPr>
        <w:tc>
          <w:tcPr>
            <w:tcW w:w="28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马晓兰</w:t>
            </w:r>
          </w:p>
        </w:tc>
        <w:tc>
          <w:tcPr>
            <w:tcW w:w="399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8,092,800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5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8,092,800</w:t>
            </w:r>
          </w:p>
        </w:tc>
      </w:tr>
      <w:tr>
        <w:trPr>
          <w:trHeight w:val="402" w:hRule="exact"/>
        </w:trPr>
        <w:tc>
          <w:tcPr>
            <w:tcW w:w="28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蒋国梁</w:t>
            </w:r>
          </w:p>
        </w:tc>
        <w:tc>
          <w:tcPr>
            <w:tcW w:w="399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5,790,200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5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5,790,200</w:t>
            </w:r>
          </w:p>
        </w:tc>
      </w:tr>
      <w:tr>
        <w:trPr>
          <w:trHeight w:val="402" w:hRule="exact"/>
        </w:trPr>
        <w:tc>
          <w:tcPr>
            <w:tcW w:w="28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浙江锦鑫建设工程有限公司</w:t>
            </w:r>
          </w:p>
        </w:tc>
        <w:tc>
          <w:tcPr>
            <w:tcW w:w="399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4,480,000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5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4,480,000</w:t>
            </w:r>
          </w:p>
        </w:tc>
      </w:tr>
      <w:tr>
        <w:trPr>
          <w:trHeight w:val="1026" w:hRule="exact"/>
        </w:trPr>
        <w:tc>
          <w:tcPr>
            <w:tcW w:w="2881" w:type="dxa"/>
            <w:gridSpan w:val="2"/>
            <w:tcBorders>
              <w:top w:val="single" w:sz="4" w:space="0" w:color="000000"/>
              <w:left w:val="single" w:sz="4" w:space="0" w:color="000000"/>
              <w:bottom w:val="single" w:sz="4" w:space="0" w:color="000000"/>
              <w:right w:val="single" w:sz="4" w:space="0" w:color="000000"/>
            </w:tcBorders>
          </w:tcPr>
          <w:p>
            <w:pPr>
              <w:pStyle w:val="TableParagraph"/>
              <w:spacing w:line="309" w:lineRule="auto" w:before="50"/>
              <w:ind w:left="102" w:right="231"/>
              <w:jc w:val="left"/>
              <w:rPr>
                <w:rFonts w:ascii="宋体" w:hAnsi="宋体" w:cs="宋体" w:eastAsia="宋体" w:hint="default"/>
                <w:sz w:val="18"/>
                <w:szCs w:val="18"/>
              </w:rPr>
            </w:pPr>
            <w:r>
              <w:rPr>
                <w:rFonts w:ascii="宋体" w:hAnsi="宋体" w:cs="宋体" w:eastAsia="宋体" w:hint="default"/>
                <w:sz w:val="18"/>
                <w:szCs w:val="18"/>
              </w:rPr>
              <w:t>中国银行股份有限公司－国泰 </w:t>
            </w:r>
            <w:r>
              <w:rPr>
                <w:rFonts w:ascii="Times New Roman" w:hAnsi="Times New Roman" w:cs="Times New Roman" w:eastAsia="Times New Roman" w:hint="default"/>
                <w:sz w:val="18"/>
                <w:szCs w:val="18"/>
              </w:rPr>
              <w:t>CES</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半导体行业交易型开放式指 数证券投资基金</w:t>
            </w:r>
          </w:p>
        </w:tc>
        <w:tc>
          <w:tcPr>
            <w:tcW w:w="399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3,908,000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5"/>
              <w:ind w:right="5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3,908,000</w:t>
            </w:r>
          </w:p>
        </w:tc>
      </w:tr>
      <w:tr>
        <w:trPr>
          <w:trHeight w:val="401" w:hRule="exact"/>
        </w:trPr>
        <w:tc>
          <w:tcPr>
            <w:tcW w:w="28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蔡晓</w:t>
            </w:r>
          </w:p>
        </w:tc>
        <w:tc>
          <w:tcPr>
            <w:tcW w:w="399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3,044,375</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5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3,044,375</w:t>
            </w:r>
          </w:p>
        </w:tc>
      </w:tr>
    </w:tbl>
    <w:p>
      <w:pPr>
        <w:spacing w:after="0" w:line="240" w:lineRule="auto"/>
        <w:jc w:val="right"/>
        <w:rPr>
          <w:rFonts w:ascii="Times New Roman" w:hAnsi="Times New Roman" w:cs="Times New Roman" w:eastAsia="Times New Roman" w:hint="default"/>
          <w:sz w:val="18"/>
          <w:szCs w:val="18"/>
        </w:rPr>
        <w:sectPr>
          <w:pgSz w:w="11910" w:h="16840"/>
          <w:pgMar w:header="906" w:footer="1018" w:top="1100" w:bottom="1200" w:left="1020" w:right="0"/>
        </w:sectPr>
      </w:pPr>
    </w:p>
    <w:p>
      <w:pPr>
        <w:spacing w:line="240" w:lineRule="auto" w:before="0"/>
        <w:rPr>
          <w:rFonts w:ascii="Times New Roman" w:hAnsi="Times New Roman" w:cs="Times New Roman" w:eastAsia="Times New Roman" w:hint="default"/>
          <w:sz w:val="29"/>
          <w:szCs w:val="29"/>
        </w:rPr>
      </w:pPr>
    </w:p>
    <w:tbl>
      <w:tblPr>
        <w:tblW w:w="0" w:type="auto"/>
        <w:jc w:val="left"/>
        <w:tblInd w:w="109" w:type="dxa"/>
        <w:tblLayout w:type="fixed"/>
        <w:tblCellMar>
          <w:top w:w="0" w:type="dxa"/>
          <w:left w:w="0" w:type="dxa"/>
          <w:bottom w:w="0" w:type="dxa"/>
          <w:right w:w="0" w:type="dxa"/>
        </w:tblCellMar>
        <w:tblLook w:val="01E0"/>
      </w:tblPr>
      <w:tblGrid>
        <w:gridCol w:w="2881"/>
        <w:gridCol w:w="3990"/>
        <w:gridCol w:w="1349"/>
        <w:gridCol w:w="1348"/>
      </w:tblGrid>
      <w:tr>
        <w:trPr>
          <w:trHeight w:val="402" w:hRule="exact"/>
        </w:trPr>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蒋丽娜</w:t>
            </w:r>
          </w:p>
        </w:tc>
        <w:tc>
          <w:tcPr>
            <w:tcW w:w="3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2,550,000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2,550,000</w:t>
            </w:r>
          </w:p>
        </w:tc>
      </w:tr>
      <w:tr>
        <w:trPr>
          <w:trHeight w:val="402" w:hRule="exact"/>
        </w:trPr>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李小飞</w:t>
            </w:r>
          </w:p>
        </w:tc>
        <w:tc>
          <w:tcPr>
            <w:tcW w:w="3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2,220,230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2,220,230</w:t>
            </w:r>
          </w:p>
        </w:tc>
      </w:tr>
      <w:tr>
        <w:trPr>
          <w:trHeight w:val="402" w:hRule="exact"/>
        </w:trPr>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张捍珍</w:t>
            </w:r>
          </w:p>
        </w:tc>
        <w:tc>
          <w:tcPr>
            <w:tcW w:w="3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2,180,000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2,180,000</w:t>
            </w:r>
          </w:p>
        </w:tc>
      </w:tr>
      <w:tr>
        <w:trPr>
          <w:trHeight w:val="1338" w:hRule="exact"/>
        </w:trPr>
        <w:tc>
          <w:tcPr>
            <w:tcW w:w="288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0"/>
              <w:ind w:left="102" w:right="156"/>
              <w:jc w:val="both"/>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名无限售流通股股东之间， 以及前</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名无限售流通股股东和 前</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名股东之间关联关系或一致 行动的说明</w:t>
            </w:r>
          </w:p>
        </w:tc>
        <w:tc>
          <w:tcPr>
            <w:tcW w:w="668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316" w:lineRule="auto"/>
              <w:ind w:left="103" w:right="101"/>
              <w:jc w:val="both"/>
              <w:rPr>
                <w:rFonts w:ascii="宋体" w:hAnsi="宋体" w:cs="宋体" w:eastAsia="宋体" w:hint="default"/>
                <w:sz w:val="18"/>
                <w:szCs w:val="18"/>
              </w:rPr>
            </w:pPr>
            <w:r>
              <w:rPr>
                <w:rFonts w:ascii="宋体" w:hAnsi="宋体" w:cs="宋体" w:eastAsia="宋体" w:hint="default"/>
                <w:spacing w:val="-1"/>
                <w:sz w:val="18"/>
                <w:szCs w:val="18"/>
              </w:rPr>
              <w:t>公司第一大股东钱京与其他股东不存在关联关系或《上市公司股东持股变动信息披</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pacing w:val="-1"/>
                <w:sz w:val="18"/>
                <w:szCs w:val="18"/>
              </w:rPr>
              <w:t>露管理办法》中规定的一致行动人的情况；公司未知其他股东之间是否存在关联关</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系或《上市公司股东持股变动信息披露管理办法》中规定的一致行动人的情况。</w:t>
            </w:r>
          </w:p>
        </w:tc>
      </w:tr>
      <w:tr>
        <w:trPr>
          <w:trHeight w:val="356" w:hRule="exact"/>
        </w:trPr>
        <w:tc>
          <w:tcPr>
            <w:tcW w:w="2881" w:type="dxa"/>
            <w:tcBorders>
              <w:top w:val="single" w:sz="4" w:space="0" w:color="000000"/>
              <w:left w:val="single" w:sz="4" w:space="0" w:color="000000"/>
              <w:bottom w:val="nil" w:sz="6" w:space="0" w:color="auto"/>
              <w:right w:val="single" w:sz="4" w:space="0" w:color="000000"/>
            </w:tcBorders>
            <w:shd w:val="clear" w:color="auto" w:fill="D3D3D3"/>
          </w:tcPr>
          <w:p>
            <w:pPr/>
          </w:p>
        </w:tc>
        <w:tc>
          <w:tcPr>
            <w:tcW w:w="6687" w:type="dxa"/>
            <w:gridSpan w:val="3"/>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前十大股东中，浙江锦鑫建设工程有限公司通过东吴证券股份有限公司客户信用交</w:t>
            </w:r>
          </w:p>
        </w:tc>
      </w:tr>
      <w:tr>
        <w:trPr>
          <w:trHeight w:val="316" w:hRule="exact"/>
        </w:trPr>
        <w:tc>
          <w:tcPr>
            <w:tcW w:w="2881" w:type="dxa"/>
            <w:tcBorders>
              <w:top w:val="nil" w:sz="6" w:space="0" w:color="auto"/>
              <w:left w:val="single" w:sz="4" w:space="0" w:color="000000"/>
              <w:bottom w:val="nil" w:sz="6" w:space="0" w:color="auto"/>
              <w:right w:val="single" w:sz="4" w:space="0" w:color="000000"/>
            </w:tcBorders>
            <w:shd w:val="clear" w:color="auto" w:fill="D3D3D3"/>
          </w:tcPr>
          <w:p>
            <w:pPr/>
          </w:p>
        </w:tc>
        <w:tc>
          <w:tcPr>
            <w:tcW w:w="6687" w:type="dxa"/>
            <w:gridSpan w:val="3"/>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易担保证券账户持有公司股票</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4,480,000 </w:t>
            </w:r>
            <w:r>
              <w:rPr>
                <w:rFonts w:ascii="宋体" w:hAnsi="宋体" w:cs="宋体" w:eastAsia="宋体" w:hint="default"/>
                <w:sz w:val="18"/>
                <w:szCs w:val="18"/>
              </w:rPr>
              <w:t>股；蔡晓通过国泰君安证券股份有限公司</w:t>
            </w:r>
          </w:p>
        </w:tc>
      </w:tr>
      <w:tr>
        <w:trPr>
          <w:trHeight w:val="312" w:hRule="exact"/>
        </w:trPr>
        <w:tc>
          <w:tcPr>
            <w:tcW w:w="2881"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名普通股股东参与融资融券</w:t>
            </w:r>
          </w:p>
        </w:tc>
        <w:tc>
          <w:tcPr>
            <w:tcW w:w="6687" w:type="dxa"/>
            <w:gridSpan w:val="3"/>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宋体" w:hAnsi="宋体" w:cs="宋体" w:eastAsia="宋体" w:hint="default"/>
                <w:sz w:val="18"/>
                <w:szCs w:val="18"/>
              </w:rPr>
              <w:t>客户信用交易担保证券账户持有公司股票</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2,704,375 </w:t>
            </w:r>
            <w:r>
              <w:rPr>
                <w:rFonts w:ascii="宋体" w:hAnsi="宋体" w:cs="宋体" w:eastAsia="宋体" w:hint="default"/>
                <w:sz w:val="18"/>
                <w:szCs w:val="18"/>
              </w:rPr>
              <w:t>股，通过普通账户持有公司股</w:t>
            </w:r>
          </w:p>
        </w:tc>
      </w:tr>
      <w:tr>
        <w:trPr>
          <w:trHeight w:val="312" w:hRule="exact"/>
        </w:trPr>
        <w:tc>
          <w:tcPr>
            <w:tcW w:w="2881"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业务情况说</w:t>
            </w:r>
            <w:r>
              <w:rPr>
                <w:rFonts w:ascii="宋体" w:hAnsi="宋体" w:cs="宋体" w:eastAsia="宋体" w:hint="default"/>
                <w:spacing w:val="-1"/>
                <w:sz w:val="18"/>
                <w:szCs w:val="18"/>
              </w:rPr>
              <w:t>明</w:t>
            </w:r>
            <w:r>
              <w:rPr>
                <w:rFonts w:ascii="宋体" w:hAnsi="宋体" w:cs="宋体" w:eastAsia="宋体" w:hint="default"/>
                <w:sz w:val="18"/>
                <w:szCs w:val="18"/>
              </w:rPr>
              <w:t>（如有</w:t>
            </w:r>
            <w:r>
              <w:rPr>
                <w:rFonts w:ascii="宋体" w:hAnsi="宋体" w:cs="宋体" w:eastAsia="宋体" w:hint="default"/>
                <w:spacing w:val="-90"/>
                <w:sz w:val="18"/>
                <w:szCs w:val="18"/>
              </w:rPr>
              <w:t>）</w:t>
            </w:r>
            <w:r>
              <w:rPr>
                <w:rFonts w:ascii="宋体" w:hAnsi="宋体" w:cs="宋体" w:eastAsia="宋体" w:hint="default"/>
                <w:sz w:val="18"/>
                <w:szCs w:val="18"/>
              </w:rPr>
              <w:t>（参见注</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w:t>
            </w:r>
          </w:p>
        </w:tc>
        <w:tc>
          <w:tcPr>
            <w:tcW w:w="6687" w:type="dxa"/>
            <w:gridSpan w:val="3"/>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宋体" w:hAnsi="宋体" w:cs="宋体" w:eastAsia="宋体" w:hint="default"/>
                <w:sz w:val="18"/>
                <w:szCs w:val="18"/>
              </w:rPr>
              <w:t>票</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340,000 </w:t>
            </w:r>
            <w:r>
              <w:rPr>
                <w:rFonts w:ascii="宋体" w:hAnsi="宋体" w:cs="宋体" w:eastAsia="宋体" w:hint="default"/>
                <w:sz w:val="18"/>
                <w:szCs w:val="18"/>
              </w:rPr>
              <w:t>股；李小飞通过华泰证券股份有限公司客户信用交易担保证券账户持有</w:t>
            </w:r>
          </w:p>
        </w:tc>
      </w:tr>
      <w:tr>
        <w:trPr>
          <w:trHeight w:val="312" w:hRule="exact"/>
        </w:trPr>
        <w:tc>
          <w:tcPr>
            <w:tcW w:w="2881" w:type="dxa"/>
            <w:tcBorders>
              <w:top w:val="nil" w:sz="6" w:space="0" w:color="auto"/>
              <w:left w:val="single" w:sz="4" w:space="0" w:color="000000"/>
              <w:bottom w:val="nil" w:sz="6" w:space="0" w:color="auto"/>
              <w:right w:val="single" w:sz="4" w:space="0" w:color="000000"/>
            </w:tcBorders>
            <w:shd w:val="clear" w:color="auto" w:fill="D3D3D3"/>
          </w:tcPr>
          <w:p>
            <w:pPr/>
          </w:p>
        </w:tc>
        <w:tc>
          <w:tcPr>
            <w:tcW w:w="6687" w:type="dxa"/>
            <w:gridSpan w:val="3"/>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宋体" w:hAnsi="宋体" w:cs="宋体" w:eastAsia="宋体" w:hint="default"/>
                <w:sz w:val="18"/>
                <w:szCs w:val="18"/>
              </w:rPr>
              <w:t>公司股票</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2,220,230 </w:t>
            </w:r>
            <w:r>
              <w:rPr>
                <w:rFonts w:ascii="宋体" w:hAnsi="宋体" w:cs="宋体" w:eastAsia="宋体" w:hint="default"/>
                <w:sz w:val="18"/>
                <w:szCs w:val="18"/>
              </w:rPr>
              <w:t>股；马晓兰通过平安证券股份有限公司客户信用交易担保证券</w:t>
            </w:r>
          </w:p>
        </w:tc>
      </w:tr>
      <w:tr>
        <w:trPr>
          <w:trHeight w:val="353" w:hRule="exact"/>
        </w:trPr>
        <w:tc>
          <w:tcPr>
            <w:tcW w:w="2881" w:type="dxa"/>
            <w:tcBorders>
              <w:top w:val="nil" w:sz="6" w:space="0" w:color="auto"/>
              <w:left w:val="single" w:sz="4" w:space="0" w:color="000000"/>
              <w:bottom w:val="single" w:sz="4" w:space="0" w:color="000000"/>
              <w:right w:val="single" w:sz="4" w:space="0" w:color="000000"/>
            </w:tcBorders>
            <w:shd w:val="clear" w:color="auto" w:fill="D3D3D3"/>
          </w:tcPr>
          <w:p>
            <w:pPr/>
          </w:p>
        </w:tc>
        <w:tc>
          <w:tcPr>
            <w:tcW w:w="6687" w:type="dxa"/>
            <w:gridSpan w:val="3"/>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宋体" w:hAnsi="宋体" w:cs="宋体" w:eastAsia="宋体" w:hint="default"/>
                <w:sz w:val="18"/>
                <w:szCs w:val="18"/>
              </w:rPr>
              <w:t>账户持有公司股票</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1,632,800 </w:t>
            </w:r>
            <w:r>
              <w:rPr>
                <w:rFonts w:ascii="宋体" w:hAnsi="宋体" w:cs="宋体" w:eastAsia="宋体" w:hint="default"/>
                <w:sz w:val="18"/>
                <w:szCs w:val="18"/>
              </w:rPr>
              <w:t>股，通过普通账户持有公司股票</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6,460,000 </w:t>
            </w:r>
            <w:r>
              <w:rPr>
                <w:rFonts w:ascii="宋体" w:hAnsi="宋体" w:cs="宋体" w:eastAsia="宋体" w:hint="default"/>
                <w:sz w:val="18"/>
                <w:szCs w:val="18"/>
              </w:rPr>
              <w:t>股。</w:t>
            </w:r>
          </w:p>
        </w:tc>
      </w:tr>
    </w:tbl>
    <w:p>
      <w:pPr>
        <w:pStyle w:val="BodyText"/>
        <w:spacing w:line="240" w:lineRule="auto" w:before="50"/>
        <w:ind w:right="0"/>
        <w:jc w:val="left"/>
      </w:pPr>
      <w:r>
        <w:rPr/>
        <w:t>公司前</w:t>
      </w:r>
      <w:r>
        <w:rPr>
          <w:spacing w:val="-46"/>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名普通股股东、前</w:t>
      </w:r>
      <w:r>
        <w:rPr>
          <w:spacing w:val="-46"/>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名无限售条件普通股股东在报告期内是否进行约定购回交易</w:t>
      </w:r>
    </w:p>
    <w:p>
      <w:pPr>
        <w:pStyle w:val="BodyText"/>
        <w:spacing w:line="240" w:lineRule="auto" w:before="103"/>
        <w:ind w:right="0"/>
        <w:jc w:val="left"/>
      </w:pPr>
      <w:r>
        <w:rPr/>
        <w:t>□ 是 √ 否</w:t>
      </w:r>
    </w:p>
    <w:p>
      <w:pPr>
        <w:pStyle w:val="BodyText"/>
        <w:spacing w:line="240" w:lineRule="auto" w:before="116"/>
        <w:ind w:right="0"/>
        <w:jc w:val="left"/>
      </w:pPr>
      <w:r>
        <w:rPr/>
        <w:t>公司前</w:t>
      </w:r>
      <w:r>
        <w:rPr>
          <w:spacing w:val="-46"/>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名普通股股东、前</w:t>
      </w:r>
      <w:r>
        <w:rPr>
          <w:spacing w:val="-46"/>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名无限售条件普通股股东在报告期内未进行约定购回交易。</w:t>
      </w:r>
    </w:p>
    <w:p>
      <w:pPr>
        <w:spacing w:line="240" w:lineRule="auto" w:before="12"/>
        <w:rPr>
          <w:rFonts w:ascii="宋体" w:hAnsi="宋体" w:cs="宋体" w:eastAsia="宋体" w:hint="default"/>
          <w:sz w:val="25"/>
          <w:szCs w:val="25"/>
        </w:rPr>
      </w:pPr>
    </w:p>
    <w:p>
      <w:pPr>
        <w:pStyle w:val="Heading3"/>
        <w:spacing w:line="240" w:lineRule="auto"/>
        <w:ind w:right="0"/>
        <w:jc w:val="left"/>
        <w:rPr>
          <w:b w:val="0"/>
          <w:bCs w:val="0"/>
        </w:rPr>
      </w:pPr>
      <w:r>
        <w:rPr>
          <w:rFonts w:ascii="Times New Roman" w:hAnsi="Times New Roman" w:cs="Times New Roman" w:eastAsia="Times New Roman" w:hint="default"/>
        </w:rPr>
        <w:t>2</w:t>
      </w:r>
      <w:r>
        <w:rPr/>
        <w:t>、公司控股股东情况</w:t>
      </w:r>
      <w:r>
        <w:rPr>
          <w:b w:val="0"/>
          <w:bCs w:val="0"/>
        </w:rPr>
      </w:r>
    </w:p>
    <w:p>
      <w:pPr>
        <w:spacing w:line="240" w:lineRule="auto" w:before="6"/>
        <w:rPr>
          <w:rFonts w:ascii="宋体" w:hAnsi="宋体" w:cs="宋体" w:eastAsia="宋体" w:hint="default"/>
          <w:b/>
          <w:bCs/>
          <w:sz w:val="26"/>
          <w:szCs w:val="26"/>
        </w:rPr>
      </w:pPr>
    </w:p>
    <w:p>
      <w:pPr>
        <w:pStyle w:val="BodyText"/>
        <w:spacing w:line="357" w:lineRule="auto"/>
        <w:ind w:right="8592"/>
        <w:jc w:val="left"/>
      </w:pPr>
      <w:r>
        <w:rPr/>
        <w:t>控股股东性质：自然人控股 控股股东类型：自然人</w:t>
      </w:r>
    </w:p>
    <w:tbl>
      <w:tblPr>
        <w:tblW w:w="0" w:type="auto"/>
        <w:jc w:val="left"/>
        <w:tblInd w:w="109" w:type="dxa"/>
        <w:tblLayout w:type="fixed"/>
        <w:tblCellMar>
          <w:top w:w="0" w:type="dxa"/>
          <w:left w:w="0" w:type="dxa"/>
          <w:bottom w:w="0" w:type="dxa"/>
          <w:right w:w="0" w:type="dxa"/>
        </w:tblCellMar>
        <w:tblLook w:val="01E0"/>
      </w:tblPr>
      <w:tblGrid>
        <w:gridCol w:w="3418"/>
        <w:gridCol w:w="2302"/>
        <w:gridCol w:w="3848"/>
      </w:tblGrid>
      <w:tr>
        <w:trPr>
          <w:trHeight w:val="402" w:hRule="exact"/>
        </w:trPr>
        <w:tc>
          <w:tcPr>
            <w:tcW w:w="341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控股股东姓名</w:t>
            </w:r>
          </w:p>
        </w:tc>
        <w:tc>
          <w:tcPr>
            <w:tcW w:w="230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国籍</w:t>
            </w:r>
          </w:p>
        </w:tc>
        <w:tc>
          <w:tcPr>
            <w:tcW w:w="384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658" w:right="0"/>
              <w:jc w:val="left"/>
              <w:rPr>
                <w:rFonts w:ascii="宋体" w:hAnsi="宋体" w:cs="宋体" w:eastAsia="宋体" w:hint="default"/>
                <w:sz w:val="18"/>
                <w:szCs w:val="18"/>
              </w:rPr>
            </w:pPr>
            <w:r>
              <w:rPr>
                <w:rFonts w:ascii="宋体" w:hAnsi="宋体" w:cs="宋体" w:eastAsia="宋体" w:hint="default"/>
                <w:sz w:val="18"/>
                <w:szCs w:val="18"/>
              </w:rPr>
              <w:t>是否取得其他国家或地区居留权</w:t>
            </w:r>
          </w:p>
        </w:tc>
      </w:tr>
      <w:tr>
        <w:trPr>
          <w:trHeight w:val="402" w:hRule="exact"/>
        </w:trPr>
        <w:tc>
          <w:tcPr>
            <w:tcW w:w="3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钱京</w:t>
            </w:r>
          </w:p>
        </w:tc>
        <w:tc>
          <w:tcPr>
            <w:tcW w:w="2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3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341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主要职业及职务</w:t>
            </w:r>
          </w:p>
        </w:tc>
        <w:tc>
          <w:tcPr>
            <w:tcW w:w="6150" w:type="dxa"/>
            <w:gridSpan w:val="2"/>
            <w:tcBorders>
              <w:top w:val="single" w:sz="4" w:space="0" w:color="000000"/>
              <w:left w:val="single" w:sz="4" w:space="0" w:color="000000"/>
              <w:bottom w:val="single" w:sz="4" w:space="0" w:color="000000"/>
              <w:right w:val="single" w:sz="4" w:space="0" w:color="000000"/>
            </w:tcBorders>
          </w:tcPr>
          <w:p>
            <w:pPr>
              <w:pStyle w:val="TableParagraph"/>
              <w:spacing w:line="300" w:lineRule="auto" w:before="50"/>
              <w:ind w:left="103" w:right="101"/>
              <w:jc w:val="left"/>
              <w:rPr>
                <w:rFonts w:ascii="宋体" w:hAnsi="宋体" w:cs="宋体" w:eastAsia="宋体"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37"/>
                <w:sz w:val="18"/>
                <w:szCs w:val="18"/>
              </w:rPr>
              <w:t> </w:t>
            </w:r>
            <w:r>
              <w:rPr>
                <w:rFonts w:ascii="宋体" w:hAnsi="宋体" w:cs="宋体" w:eastAsia="宋体" w:hint="default"/>
                <w:sz w:val="18"/>
                <w:szCs w:val="18"/>
              </w:rPr>
              <w:t>月起进入公司，先后担任公司企业管理部总经理、副总裁及董事 会秘书。报告期间担任公司董事长、总裁，现任公司董事长。</w:t>
            </w:r>
          </w:p>
        </w:tc>
      </w:tr>
      <w:tr>
        <w:trPr>
          <w:trHeight w:val="714" w:hRule="exact"/>
        </w:trPr>
        <w:tc>
          <w:tcPr>
            <w:tcW w:w="341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02" w:right="243"/>
              <w:jc w:val="left"/>
              <w:rPr>
                <w:rFonts w:ascii="宋体" w:hAnsi="宋体" w:cs="宋体" w:eastAsia="宋体" w:hint="default"/>
                <w:sz w:val="18"/>
                <w:szCs w:val="18"/>
              </w:rPr>
            </w:pPr>
            <w:r>
              <w:rPr>
                <w:rFonts w:ascii="宋体" w:hAnsi="宋体" w:cs="宋体" w:eastAsia="宋体" w:hint="default"/>
                <w:sz w:val="18"/>
                <w:szCs w:val="18"/>
              </w:rPr>
              <w:t>报告期内控股和参股的其他境内外上市 公司的股权情况</w:t>
            </w:r>
          </w:p>
        </w:tc>
        <w:tc>
          <w:tcPr>
            <w:tcW w:w="61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pStyle w:val="BodyText"/>
        <w:spacing w:line="240" w:lineRule="auto" w:before="68"/>
        <w:ind w:right="0"/>
        <w:jc w:val="left"/>
      </w:pPr>
      <w:r>
        <w:rPr/>
        <w:t>控股股东报告期内变更</w:t>
      </w:r>
    </w:p>
    <w:p>
      <w:pPr>
        <w:pStyle w:val="BodyText"/>
        <w:spacing w:line="360" w:lineRule="auto" w:before="116"/>
        <w:ind w:right="6792"/>
        <w:jc w:val="left"/>
      </w:pPr>
      <w:r>
        <w:rPr/>
        <w:t>□ 适用 √ 不适用 公司报告期控股股东未发生变更。</w:t>
      </w:r>
    </w:p>
    <w:p>
      <w:pPr>
        <w:spacing w:line="240" w:lineRule="auto" w:before="0"/>
        <w:rPr>
          <w:rFonts w:ascii="宋体" w:hAnsi="宋体" w:cs="宋体" w:eastAsia="宋体" w:hint="default"/>
          <w:sz w:val="20"/>
          <w:szCs w:val="20"/>
        </w:rPr>
      </w:pPr>
    </w:p>
    <w:p>
      <w:pPr>
        <w:pStyle w:val="Heading3"/>
        <w:spacing w:line="240" w:lineRule="auto"/>
        <w:ind w:right="0"/>
        <w:jc w:val="left"/>
        <w:rPr>
          <w:b w:val="0"/>
          <w:bCs w:val="0"/>
        </w:rPr>
      </w:pPr>
      <w:r>
        <w:rPr>
          <w:rFonts w:ascii="Times New Roman" w:hAnsi="Times New Roman" w:cs="Times New Roman" w:eastAsia="Times New Roman" w:hint="default"/>
        </w:rPr>
        <w:t>3</w:t>
      </w:r>
      <w:r>
        <w:rPr/>
        <w:t>、公司实际控制人及其一致行动人</w:t>
      </w:r>
      <w:r>
        <w:rPr>
          <w:b w:val="0"/>
          <w:bCs w:val="0"/>
        </w:rPr>
      </w:r>
    </w:p>
    <w:p>
      <w:pPr>
        <w:spacing w:line="240" w:lineRule="auto" w:before="6"/>
        <w:rPr>
          <w:rFonts w:ascii="宋体" w:hAnsi="宋体" w:cs="宋体" w:eastAsia="宋体" w:hint="default"/>
          <w:b/>
          <w:bCs/>
          <w:sz w:val="26"/>
          <w:szCs w:val="26"/>
        </w:rPr>
      </w:pPr>
    </w:p>
    <w:p>
      <w:pPr>
        <w:pStyle w:val="BodyText"/>
        <w:spacing w:line="357" w:lineRule="auto"/>
        <w:ind w:right="8412"/>
        <w:jc w:val="left"/>
      </w:pPr>
      <w:r>
        <w:rPr/>
        <w:t>实际控制人性质：境内自然人 实际控制人类型：自然人</w:t>
      </w:r>
    </w:p>
    <w:tbl>
      <w:tblPr>
        <w:tblW w:w="0" w:type="auto"/>
        <w:jc w:val="left"/>
        <w:tblInd w:w="109" w:type="dxa"/>
        <w:tblLayout w:type="fixed"/>
        <w:tblCellMar>
          <w:top w:w="0" w:type="dxa"/>
          <w:left w:w="0" w:type="dxa"/>
          <w:bottom w:w="0" w:type="dxa"/>
          <w:right w:w="0" w:type="dxa"/>
        </w:tblCellMar>
        <w:tblLook w:val="01E0"/>
      </w:tblPr>
      <w:tblGrid>
        <w:gridCol w:w="2392"/>
        <w:gridCol w:w="2392"/>
        <w:gridCol w:w="2392"/>
        <w:gridCol w:w="2392"/>
      </w:tblGrid>
      <w:tr>
        <w:trPr>
          <w:trHeight w:val="713" w:hRule="exact"/>
        </w:trPr>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60" w:right="0"/>
              <w:jc w:val="left"/>
              <w:rPr>
                <w:rFonts w:ascii="宋体" w:hAnsi="宋体" w:cs="宋体" w:eastAsia="宋体" w:hint="default"/>
                <w:sz w:val="18"/>
                <w:szCs w:val="18"/>
              </w:rPr>
            </w:pPr>
            <w:r>
              <w:rPr>
                <w:rFonts w:ascii="宋体" w:hAnsi="宋体" w:cs="宋体" w:eastAsia="宋体" w:hint="default"/>
                <w:sz w:val="18"/>
                <w:szCs w:val="18"/>
              </w:rPr>
              <w:t>实际控制人姓名</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71" w:right="0"/>
              <w:jc w:val="left"/>
              <w:rPr>
                <w:rFonts w:ascii="宋体" w:hAnsi="宋体" w:cs="宋体" w:eastAsia="宋体" w:hint="default"/>
                <w:sz w:val="18"/>
                <w:szCs w:val="18"/>
              </w:rPr>
            </w:pPr>
            <w:r>
              <w:rPr>
                <w:rFonts w:ascii="宋体" w:hAnsi="宋体" w:cs="宋体" w:eastAsia="宋体" w:hint="default"/>
                <w:sz w:val="18"/>
                <w:szCs w:val="18"/>
              </w:rPr>
              <w:t>与实际控制人关系</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国籍</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011" w:right="110" w:hanging="900"/>
              <w:jc w:val="left"/>
              <w:rPr>
                <w:rFonts w:ascii="宋体" w:hAnsi="宋体" w:cs="宋体" w:eastAsia="宋体" w:hint="default"/>
                <w:sz w:val="18"/>
                <w:szCs w:val="18"/>
              </w:rPr>
            </w:pPr>
            <w:r>
              <w:rPr>
                <w:rFonts w:ascii="宋体" w:hAnsi="宋体" w:cs="宋体" w:eastAsia="宋体" w:hint="default"/>
                <w:sz w:val="18"/>
                <w:szCs w:val="18"/>
              </w:rPr>
              <w:t>是否取得其他国家或地区居 留权</w:t>
            </w:r>
          </w:p>
        </w:tc>
      </w:tr>
      <w:tr>
        <w:trPr>
          <w:trHeight w:val="403"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钱京</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本人</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主要职业及职务</w:t>
            </w:r>
          </w:p>
        </w:tc>
        <w:tc>
          <w:tcPr>
            <w:tcW w:w="7176" w:type="dxa"/>
            <w:gridSpan w:val="3"/>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103" w:right="101"/>
              <w:jc w:val="left"/>
              <w:rPr>
                <w:rFonts w:ascii="宋体" w:hAnsi="宋体" w:cs="宋体" w:eastAsia="宋体"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月起进入公司，先后担任公司企业管理部总经理、副总裁及董事会秘书。报告 期间担任公司董事长、总裁，现任公司董事长。</w:t>
            </w:r>
          </w:p>
        </w:tc>
      </w:tr>
    </w:tbl>
    <w:p>
      <w:pPr>
        <w:spacing w:after="0" w:line="300" w:lineRule="auto"/>
        <w:jc w:val="left"/>
        <w:rPr>
          <w:rFonts w:ascii="宋体" w:hAnsi="宋体" w:cs="宋体" w:eastAsia="宋体" w:hint="default"/>
          <w:sz w:val="18"/>
          <w:szCs w:val="18"/>
        </w:rPr>
        <w:sectPr>
          <w:pgSz w:w="11910" w:h="16840"/>
          <w:pgMar w:header="906" w:footer="1018" w:top="1100" w:bottom="1200" w:left="1020" w:right="0"/>
        </w:sectPr>
      </w:pPr>
    </w:p>
    <w:p>
      <w:pPr>
        <w:spacing w:line="240" w:lineRule="auto" w:before="2"/>
        <w:rPr>
          <w:rFonts w:ascii="宋体" w:hAnsi="宋体" w:cs="宋体" w:eastAsia="宋体" w:hint="default"/>
          <w:sz w:val="25"/>
          <w:szCs w:val="25"/>
        </w:rPr>
      </w:pPr>
    </w:p>
    <w:p>
      <w:pPr>
        <w:spacing w:line="728" w:lineRule="exact"/>
        <w:ind w:left="104" w:right="0" w:firstLine="0"/>
        <w:rPr>
          <w:rFonts w:ascii="宋体" w:hAnsi="宋体" w:cs="宋体" w:eastAsia="宋体" w:hint="default"/>
          <w:sz w:val="20"/>
          <w:szCs w:val="20"/>
        </w:rPr>
      </w:pPr>
      <w:r>
        <w:rPr>
          <w:rFonts w:ascii="宋体" w:hAnsi="宋体" w:cs="宋体" w:eastAsia="宋体" w:hint="default"/>
          <w:position w:val="-14"/>
          <w:sz w:val="20"/>
          <w:szCs w:val="20"/>
        </w:rPr>
        <w:pict>
          <v:group style="width:479.35pt;height:36.450pt;mso-position-horizontal-relative:char;mso-position-vertical-relative:line" coordorigin="0,0" coordsize="9587,729">
            <v:group style="position:absolute;left:13;top:14;width:2384;height:705" coordorigin="13,14" coordsize="2384,705">
              <v:shape style="position:absolute;left:13;top:14;width:2384;height:705" coordorigin="13,14" coordsize="2384,705" path="m13,14l2396,14,2396,719,13,719,13,14xe" filled="true" fillcolor="#d3d3d3" stroked="false">
                <v:path arrowok="t"/>
                <v:fill type="solid"/>
              </v:shape>
            </v:group>
            <v:group style="position:absolute;left:5;top:10;width:9578;height:2" coordorigin="5,10" coordsize="9578,2">
              <v:shape style="position:absolute;left:5;top:10;width:9578;height:2" coordorigin="5,10" coordsize="9578,0" path="m5,10l9582,10e" filled="false" stroked="true" strokeweight=".48pt" strokecolor="#000000">
                <v:path arrowok="t"/>
              </v:shape>
            </v:group>
            <v:group style="position:absolute;left:5;top:724;width:9578;height:2" coordorigin="5,724" coordsize="9578,2">
              <v:shape style="position:absolute;left:5;top:724;width:9578;height:2" coordorigin="5,724" coordsize="9578,0" path="m5,724l9582,724e" filled="false" stroked="true" strokeweight=".48pt" strokecolor="#000000">
                <v:path arrowok="t"/>
              </v:shape>
            </v:group>
            <v:group style="position:absolute;left:10;top:5;width:2;height:714" coordorigin="10,5" coordsize="2,714">
              <v:shape style="position:absolute;left:10;top:5;width:2;height:714" coordorigin="10,5" coordsize="0,714" path="m10,5l10,719e" filled="false" stroked="true" strokeweight=".48pt" strokecolor="#000000">
                <v:path arrowok="t"/>
              </v:shape>
            </v:group>
            <v:group style="position:absolute;left:2401;top:5;width:2;height:714" coordorigin="2401,5" coordsize="2,714">
              <v:shape style="position:absolute;left:2401;top:5;width:2;height:714" coordorigin="2401,5" coordsize="0,714" path="m2401,5l2401,719e" filled="false" stroked="true" strokeweight=".48pt" strokecolor="#000000">
                <v:path arrowok="t"/>
              </v:shape>
            </v:group>
            <v:group style="position:absolute;left:9577;top:5;width:2;height:714" coordorigin="9577,5" coordsize="2,714">
              <v:shape style="position:absolute;left:9577;top:5;width:2;height:714" coordorigin="9577,5" coordsize="0,714" path="m9577,5l9577,719e" filled="false" stroked="true" strokeweight=".48pt" strokecolor="#000000">
                <v:path arrowok="t"/>
              </v:shape>
              <v:shape style="position:absolute;left:10;top:10;width:2392;height:714" type="#_x0000_t202" filled="false" stroked="false">
                <v:textbox inset="0,0,0,0">
                  <w:txbxContent>
                    <w:p>
                      <w:pPr>
                        <w:spacing w:line="300" w:lineRule="auto" w:before="55"/>
                        <w:ind w:left="107" w:right="212" w:firstLine="0"/>
                        <w:jc w:val="left"/>
                        <w:rPr>
                          <w:rFonts w:ascii="宋体" w:hAnsi="宋体" w:cs="宋体" w:eastAsia="宋体" w:hint="default"/>
                          <w:sz w:val="18"/>
                          <w:szCs w:val="18"/>
                        </w:rPr>
                      </w:pPr>
                      <w:r>
                        <w:rPr>
                          <w:rFonts w:ascii="宋体" w:hAnsi="宋体" w:cs="宋体" w:eastAsia="宋体" w:hint="default"/>
                          <w:sz w:val="18"/>
                          <w:szCs w:val="18"/>
                        </w:rPr>
                        <w:t>过去</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年曾控股的境内外 上市公司情况</w:t>
                      </w:r>
                    </w:p>
                  </w:txbxContent>
                </v:textbox>
                <w10:wrap type="none"/>
              </v:shape>
              <v:shape style="position:absolute;left:2509;top:276;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无</w:t>
                      </w:r>
                    </w:p>
                  </w:txbxContent>
                </v:textbox>
                <w10:wrap type="none"/>
              </v:shape>
            </v:group>
          </v:group>
        </w:pict>
      </w:r>
      <w:r>
        <w:rPr>
          <w:rFonts w:ascii="宋体" w:hAnsi="宋体" w:cs="宋体" w:eastAsia="宋体" w:hint="default"/>
          <w:position w:val="-14"/>
          <w:sz w:val="20"/>
          <w:szCs w:val="20"/>
        </w:rPr>
      </w:r>
    </w:p>
    <w:p>
      <w:pPr>
        <w:pStyle w:val="BodyText"/>
        <w:spacing w:line="240" w:lineRule="auto" w:before="50"/>
        <w:ind w:right="0"/>
        <w:jc w:val="left"/>
      </w:pPr>
      <w:r>
        <w:rPr/>
        <w:t>实际控制人报告期内变更</w:t>
      </w:r>
    </w:p>
    <w:p>
      <w:pPr>
        <w:pStyle w:val="BodyText"/>
        <w:spacing w:line="357" w:lineRule="auto" w:before="116"/>
        <w:ind w:right="6792"/>
        <w:jc w:val="left"/>
      </w:pPr>
      <w:r>
        <w:rPr/>
        <w:t>□ 适用 √ 不适用 公司报告期实际控制人未发生变更。 公司与实际控制人之间的产权及控制关系的方框图</w:t>
      </w:r>
    </w:p>
    <w:p>
      <w:pPr>
        <w:spacing w:line="240" w:lineRule="auto" w:before="6"/>
        <w:rPr>
          <w:rFonts w:ascii="宋体" w:hAnsi="宋体" w:cs="宋体" w:eastAsia="宋体" w:hint="default"/>
          <w:sz w:val="23"/>
          <w:szCs w:val="23"/>
        </w:rPr>
      </w:pPr>
    </w:p>
    <w:p>
      <w:pPr>
        <w:spacing w:line="3810" w:lineRule="exact"/>
        <w:ind w:left="1320" w:right="0" w:firstLine="0"/>
        <w:rPr>
          <w:rFonts w:ascii="宋体" w:hAnsi="宋体" w:cs="宋体" w:eastAsia="宋体" w:hint="default"/>
          <w:sz w:val="20"/>
          <w:szCs w:val="20"/>
        </w:rPr>
      </w:pPr>
      <w:r>
        <w:rPr>
          <w:rFonts w:ascii="宋体" w:hAnsi="宋体" w:cs="宋体" w:eastAsia="宋体" w:hint="default"/>
          <w:position w:val="-75"/>
          <w:sz w:val="20"/>
          <w:szCs w:val="20"/>
        </w:rPr>
        <w:drawing>
          <wp:inline distT="0" distB="0" distL="0" distR="0">
            <wp:extent cx="4591050" cy="2419350"/>
            <wp:effectExtent l="0" t="0" r="0" b="0"/>
            <wp:docPr id="3" name="image3.png" descr=""/>
            <wp:cNvGraphicFramePr>
              <a:graphicFrameLocks noChangeAspect="1"/>
            </wp:cNvGraphicFramePr>
            <a:graphic>
              <a:graphicData uri="http://schemas.openxmlformats.org/drawingml/2006/picture">
                <pic:pic>
                  <pic:nvPicPr>
                    <pic:cNvPr id="4" name="image3.png"/>
                    <pic:cNvPicPr/>
                  </pic:nvPicPr>
                  <pic:blipFill>
                    <a:blip r:embed="rId16" cstate="print"/>
                    <a:stretch>
                      <a:fillRect/>
                    </a:stretch>
                  </pic:blipFill>
                  <pic:spPr>
                    <a:xfrm>
                      <a:off x="0" y="0"/>
                      <a:ext cx="4591050" cy="2419350"/>
                    </a:xfrm>
                    <a:prstGeom prst="rect">
                      <a:avLst/>
                    </a:prstGeom>
                  </pic:spPr>
                </pic:pic>
              </a:graphicData>
            </a:graphic>
          </wp:inline>
        </w:drawing>
      </w:r>
      <w:r>
        <w:rPr>
          <w:rFonts w:ascii="宋体" w:hAnsi="宋体" w:cs="宋体" w:eastAsia="宋体" w:hint="default"/>
          <w:position w:val="-75"/>
          <w:sz w:val="20"/>
          <w:szCs w:val="20"/>
        </w:rPr>
      </w:r>
    </w:p>
    <w:p>
      <w:pPr>
        <w:spacing w:line="240" w:lineRule="auto" w:before="5"/>
        <w:rPr>
          <w:rFonts w:ascii="宋体" w:hAnsi="宋体" w:cs="宋体" w:eastAsia="宋体" w:hint="default"/>
          <w:sz w:val="21"/>
          <w:szCs w:val="21"/>
        </w:rPr>
      </w:pPr>
    </w:p>
    <w:p>
      <w:pPr>
        <w:spacing w:before="0"/>
        <w:ind w:left="113" w:right="0" w:firstLine="0"/>
        <w:jc w:val="left"/>
        <w:rPr>
          <w:rFonts w:ascii="宋体" w:hAnsi="宋体" w:cs="宋体" w:eastAsia="宋体" w:hint="default"/>
          <w:sz w:val="24"/>
          <w:szCs w:val="24"/>
        </w:rPr>
      </w:pPr>
      <w:r>
        <w:rPr>
          <w:rFonts w:ascii="宋体" w:hAnsi="宋体" w:cs="宋体" w:eastAsia="宋体" w:hint="default"/>
          <w:sz w:val="24"/>
          <w:szCs w:val="24"/>
        </w:rPr>
        <w:t>实际控制人通过信托或其他资产管理方式控制公司</w:t>
      </w:r>
    </w:p>
    <w:p>
      <w:pPr>
        <w:spacing w:line="240" w:lineRule="auto" w:before="11"/>
        <w:rPr>
          <w:rFonts w:ascii="宋体" w:hAnsi="宋体" w:cs="宋体" w:eastAsia="宋体" w:hint="default"/>
          <w:sz w:val="18"/>
          <w:szCs w:val="18"/>
        </w:rPr>
      </w:pPr>
    </w:p>
    <w:p>
      <w:pPr>
        <w:pStyle w:val="BodyText"/>
        <w:spacing w:line="240" w:lineRule="auto"/>
        <w:ind w:right="0"/>
        <w:jc w:val="left"/>
      </w:pPr>
      <w:r>
        <w:rPr/>
        <w:t>□ 适用 √ 不适用</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4</w:t>
      </w:r>
      <w:r>
        <w:rPr/>
        <w:t>、其他持股在</w:t>
      </w:r>
      <w:r>
        <w:rPr>
          <w:spacing w:val="-58"/>
        </w:rPr>
        <w:t> </w:t>
      </w:r>
      <w:r>
        <w:rPr>
          <w:rFonts w:ascii="Times New Roman" w:hAnsi="Times New Roman" w:cs="Times New Roman" w:eastAsia="Times New Roman" w:hint="default"/>
        </w:rPr>
        <w:t>10%</w:t>
      </w:r>
      <w:r>
        <w:rPr/>
        <w:t>以上的法人股东</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5</w:t>
      </w:r>
      <w:r>
        <w:rPr/>
        <w:t>、控股股东、实际控制人、重组方及其他承诺主体股份限制减持情况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 适用 √ 不适用</w:t>
      </w:r>
    </w:p>
    <w:p>
      <w:pPr>
        <w:spacing w:after="0" w:line="240" w:lineRule="auto"/>
        <w:jc w:val="left"/>
        <w:sectPr>
          <w:pgSz w:w="11910" w:h="16840"/>
          <w:pgMar w:header="906" w:footer="1018" w:top="1100" w:bottom="1200" w:left="10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7"/>
          <w:szCs w:val="17"/>
        </w:rPr>
      </w:pPr>
    </w:p>
    <w:p>
      <w:pPr>
        <w:pStyle w:val="Heading1"/>
        <w:spacing w:line="240" w:lineRule="auto"/>
        <w:ind w:left="3327" w:right="0"/>
        <w:jc w:val="left"/>
        <w:rPr>
          <w:b w:val="0"/>
          <w:bCs w:val="0"/>
        </w:rPr>
      </w:pPr>
      <w:bookmarkStart w:name="_TOC_250006" w:id="7"/>
      <w:r>
        <w:rPr/>
        <w:t>第七节优先股相关情况</w:t>
      </w:r>
      <w:bookmarkEnd w:id="7"/>
      <w:r>
        <w:rPr>
          <w:b w:val="0"/>
          <w:bCs w:val="0"/>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9"/>
          <w:szCs w:val="19"/>
        </w:rPr>
      </w:pPr>
    </w:p>
    <w:p>
      <w:pPr>
        <w:pStyle w:val="BodyText"/>
        <w:spacing w:line="360" w:lineRule="auto" w:before="44"/>
        <w:ind w:right="8592"/>
        <w:jc w:val="left"/>
      </w:pPr>
      <w:r>
        <w:rPr/>
        <w:t>□ 适用 √ 不适用 报告期公司不存在优先股。</w:t>
      </w:r>
    </w:p>
    <w:p>
      <w:pPr>
        <w:spacing w:after="0" w:line="360" w:lineRule="auto"/>
        <w:jc w:val="left"/>
        <w:sectPr>
          <w:pgSz w:w="11910" w:h="16840"/>
          <w:pgMar w:header="906" w:footer="1018" w:top="1100" w:bottom="1200" w:left="10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7"/>
          <w:szCs w:val="17"/>
        </w:rPr>
      </w:pPr>
    </w:p>
    <w:p>
      <w:pPr>
        <w:pStyle w:val="Heading1"/>
        <w:spacing w:line="240" w:lineRule="auto"/>
        <w:ind w:left="2685" w:right="0"/>
        <w:jc w:val="left"/>
        <w:rPr>
          <w:b w:val="0"/>
          <w:bCs w:val="0"/>
        </w:rPr>
      </w:pPr>
      <w:bookmarkStart w:name="_TOC_250005" w:id="8"/>
      <w:r>
        <w:rPr/>
        <w:t>第八节可转换公司债券相关情况</w:t>
      </w:r>
      <w:bookmarkEnd w:id="8"/>
      <w:r>
        <w:rPr>
          <w:b w:val="0"/>
          <w:bCs w:val="0"/>
        </w:rPr>
      </w:r>
    </w:p>
    <w:p>
      <w:pPr>
        <w:spacing w:line="240" w:lineRule="auto" w:before="6"/>
        <w:rPr>
          <w:rFonts w:ascii="宋体" w:hAnsi="宋体" w:cs="宋体" w:eastAsia="宋体" w:hint="default"/>
          <w:b/>
          <w:bCs/>
          <w:sz w:val="42"/>
          <w:szCs w:val="42"/>
        </w:rPr>
      </w:pPr>
    </w:p>
    <w:p>
      <w:pPr>
        <w:pStyle w:val="BodyText"/>
        <w:spacing w:line="360" w:lineRule="auto"/>
        <w:ind w:right="7872"/>
        <w:jc w:val="left"/>
      </w:pPr>
      <w:r>
        <w:rPr/>
        <w:t>□ 适用 √ 不适用 报告期公司不存在可转换公司债券。</w:t>
      </w:r>
    </w:p>
    <w:p>
      <w:pPr>
        <w:spacing w:after="0" w:line="360" w:lineRule="auto"/>
        <w:jc w:val="left"/>
        <w:sectPr>
          <w:pgSz w:w="11910" w:h="16840"/>
          <w:pgMar w:header="906" w:footer="1018" w:top="1100" w:bottom="1200" w:left="10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7"/>
          <w:szCs w:val="17"/>
        </w:rPr>
      </w:pPr>
    </w:p>
    <w:p>
      <w:pPr>
        <w:pStyle w:val="Heading1"/>
        <w:spacing w:line="240" w:lineRule="auto"/>
        <w:ind w:left="1722" w:right="0"/>
        <w:jc w:val="left"/>
        <w:rPr>
          <w:b w:val="0"/>
          <w:bCs w:val="0"/>
        </w:rPr>
      </w:pPr>
      <w:bookmarkStart w:name="_TOC_250004" w:id="9"/>
      <w:r>
        <w:rPr/>
        <w:t>第九节董事、监事、高级管理人员和员工情况</w:t>
      </w:r>
      <w:bookmarkEnd w:id="9"/>
      <w:r>
        <w:rPr>
          <w:b w:val="0"/>
          <w:bCs w:val="0"/>
        </w:rPr>
      </w:r>
    </w:p>
    <w:p>
      <w:pPr>
        <w:spacing w:line="240" w:lineRule="auto" w:before="10"/>
        <w:rPr>
          <w:rFonts w:ascii="宋体" w:hAnsi="宋体" w:cs="宋体" w:eastAsia="宋体" w:hint="default"/>
          <w:b/>
          <w:bCs/>
          <w:sz w:val="38"/>
          <w:szCs w:val="38"/>
        </w:rPr>
      </w:pPr>
    </w:p>
    <w:p>
      <w:pPr>
        <w:pStyle w:val="Heading2"/>
        <w:spacing w:line="240" w:lineRule="auto"/>
        <w:ind w:right="0"/>
        <w:jc w:val="left"/>
        <w:rPr>
          <w:b w:val="0"/>
          <w:bCs w:val="0"/>
        </w:rPr>
      </w:pPr>
      <w:r>
        <w:rPr/>
        <w:t>一、董事、监事和高级管理人员持股变动</w:t>
      </w:r>
      <w:r>
        <w:rPr>
          <w:b w:val="0"/>
          <w:bCs w:val="0"/>
        </w:rPr>
      </w:r>
    </w:p>
    <w:p>
      <w:pPr>
        <w:spacing w:line="240" w:lineRule="auto" w:before="11"/>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798"/>
        <w:gridCol w:w="797"/>
        <w:gridCol w:w="797"/>
        <w:gridCol w:w="797"/>
        <w:gridCol w:w="798"/>
        <w:gridCol w:w="797"/>
        <w:gridCol w:w="798"/>
        <w:gridCol w:w="798"/>
        <w:gridCol w:w="798"/>
        <w:gridCol w:w="798"/>
        <w:gridCol w:w="798"/>
        <w:gridCol w:w="798"/>
      </w:tblGrid>
      <w:tr>
        <w:trPr>
          <w:trHeight w:val="1337" w:hRule="exact"/>
        </w:trPr>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left="213"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79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left="212" w:right="0"/>
              <w:jc w:val="left"/>
              <w:rPr>
                <w:rFonts w:ascii="宋体" w:hAnsi="宋体" w:cs="宋体" w:eastAsia="宋体" w:hint="default"/>
                <w:sz w:val="18"/>
                <w:szCs w:val="18"/>
              </w:rPr>
            </w:pPr>
            <w:r>
              <w:rPr>
                <w:rFonts w:ascii="宋体" w:hAnsi="宋体" w:cs="宋体" w:eastAsia="宋体" w:hint="default"/>
                <w:sz w:val="18"/>
                <w:szCs w:val="18"/>
              </w:rPr>
              <w:t>职务</w:t>
            </w:r>
          </w:p>
        </w:tc>
        <w:tc>
          <w:tcPr>
            <w:tcW w:w="79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5"/>
              <w:ind w:left="303" w:right="122" w:hanging="180"/>
              <w:jc w:val="left"/>
              <w:rPr>
                <w:rFonts w:ascii="宋体" w:hAnsi="宋体" w:cs="宋体" w:eastAsia="宋体" w:hint="default"/>
                <w:sz w:val="18"/>
                <w:szCs w:val="18"/>
              </w:rPr>
            </w:pPr>
            <w:r>
              <w:rPr>
                <w:rFonts w:ascii="宋体" w:hAnsi="宋体" w:cs="宋体" w:eastAsia="宋体" w:hint="default"/>
                <w:sz w:val="18"/>
                <w:szCs w:val="18"/>
              </w:rPr>
              <w:t>任职状 态</w:t>
            </w:r>
          </w:p>
        </w:tc>
        <w:tc>
          <w:tcPr>
            <w:tcW w:w="79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left="213" w:right="0"/>
              <w:jc w:val="left"/>
              <w:rPr>
                <w:rFonts w:ascii="宋体" w:hAnsi="宋体" w:cs="宋体" w:eastAsia="宋体" w:hint="default"/>
                <w:sz w:val="18"/>
                <w:szCs w:val="18"/>
              </w:rPr>
            </w:pPr>
            <w:r>
              <w:rPr>
                <w:rFonts w:ascii="宋体" w:hAnsi="宋体" w:cs="宋体" w:eastAsia="宋体" w:hint="default"/>
                <w:sz w:val="18"/>
                <w:szCs w:val="18"/>
              </w:rPr>
              <w:t>性别</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left="213" w:right="0"/>
              <w:jc w:val="left"/>
              <w:rPr>
                <w:rFonts w:ascii="宋体" w:hAnsi="宋体" w:cs="宋体" w:eastAsia="宋体" w:hint="default"/>
                <w:sz w:val="18"/>
                <w:szCs w:val="18"/>
              </w:rPr>
            </w:pPr>
            <w:r>
              <w:rPr>
                <w:rFonts w:ascii="宋体" w:hAnsi="宋体" w:cs="宋体" w:eastAsia="宋体" w:hint="default"/>
                <w:sz w:val="18"/>
                <w:szCs w:val="18"/>
              </w:rPr>
              <w:t>年龄</w:t>
            </w:r>
          </w:p>
        </w:tc>
        <w:tc>
          <w:tcPr>
            <w:tcW w:w="79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5"/>
              <w:ind w:left="123" w:right="122"/>
              <w:jc w:val="left"/>
              <w:rPr>
                <w:rFonts w:ascii="宋体" w:hAnsi="宋体" w:cs="宋体" w:eastAsia="宋体" w:hint="default"/>
                <w:sz w:val="18"/>
                <w:szCs w:val="18"/>
              </w:rPr>
            </w:pPr>
            <w:r>
              <w:rPr>
                <w:rFonts w:ascii="宋体" w:hAnsi="宋体" w:cs="宋体" w:eastAsia="宋体" w:hint="default"/>
                <w:sz w:val="18"/>
                <w:szCs w:val="18"/>
              </w:rPr>
              <w:t>任期起 始日期</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5"/>
              <w:ind w:left="124" w:right="122"/>
              <w:jc w:val="left"/>
              <w:rPr>
                <w:rFonts w:ascii="宋体" w:hAnsi="宋体" w:cs="宋体" w:eastAsia="宋体" w:hint="default"/>
                <w:sz w:val="18"/>
                <w:szCs w:val="18"/>
              </w:rPr>
            </w:pPr>
            <w:r>
              <w:rPr>
                <w:rFonts w:ascii="宋体" w:hAnsi="宋体" w:cs="宋体" w:eastAsia="宋体" w:hint="default"/>
                <w:sz w:val="18"/>
                <w:szCs w:val="18"/>
              </w:rPr>
              <w:t>任期终 止日期</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214" w:right="122" w:hanging="90"/>
              <w:jc w:val="left"/>
              <w:rPr>
                <w:rFonts w:ascii="宋体" w:hAnsi="宋体" w:cs="宋体" w:eastAsia="宋体" w:hint="default"/>
                <w:sz w:val="18"/>
                <w:szCs w:val="18"/>
              </w:rPr>
            </w:pPr>
            <w:r>
              <w:rPr>
                <w:rFonts w:ascii="宋体" w:hAnsi="宋体" w:cs="宋体" w:eastAsia="宋体" w:hint="default"/>
                <w:sz w:val="18"/>
                <w:szCs w:val="18"/>
              </w:rPr>
              <w:t>期初持 股数</w:t>
            </w:r>
          </w:p>
          <w:p>
            <w:pPr>
              <w:pStyle w:val="TableParagraph"/>
              <w:spacing w:line="240" w:lineRule="auto" w:before="19"/>
              <w:ind w:left="124" w:right="0"/>
              <w:jc w:val="left"/>
              <w:rPr>
                <w:rFonts w:ascii="宋体" w:hAnsi="宋体" w:cs="宋体" w:eastAsia="宋体" w:hint="default"/>
                <w:sz w:val="18"/>
                <w:szCs w:val="18"/>
              </w:rPr>
            </w:pPr>
            <w:r>
              <w:rPr>
                <w:rFonts w:ascii="宋体" w:hAnsi="宋体" w:cs="宋体" w:eastAsia="宋体" w:hint="default"/>
                <w:sz w:val="18"/>
                <w:szCs w:val="18"/>
              </w:rPr>
              <w:t>（股）</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24" w:right="122"/>
              <w:jc w:val="both"/>
              <w:rPr>
                <w:rFonts w:ascii="宋体" w:hAnsi="宋体" w:cs="宋体" w:eastAsia="宋体" w:hint="default"/>
                <w:sz w:val="18"/>
                <w:szCs w:val="18"/>
              </w:rPr>
            </w:pPr>
            <w:r>
              <w:rPr>
                <w:rFonts w:ascii="宋体" w:hAnsi="宋体" w:cs="宋体" w:eastAsia="宋体" w:hint="default"/>
                <w:sz w:val="18"/>
                <w:szCs w:val="18"/>
              </w:rPr>
              <w:t>本期增 持股份 数量</w:t>
            </w:r>
          </w:p>
          <w:p>
            <w:pPr>
              <w:pStyle w:val="TableParagraph"/>
              <w:spacing w:line="240" w:lineRule="auto" w:before="18"/>
              <w:ind w:left="124" w:right="0"/>
              <w:jc w:val="both"/>
              <w:rPr>
                <w:rFonts w:ascii="宋体" w:hAnsi="宋体" w:cs="宋体" w:eastAsia="宋体" w:hint="default"/>
                <w:sz w:val="18"/>
                <w:szCs w:val="18"/>
              </w:rPr>
            </w:pPr>
            <w:r>
              <w:rPr>
                <w:rFonts w:ascii="宋体" w:hAnsi="宋体" w:cs="宋体" w:eastAsia="宋体" w:hint="default"/>
                <w:sz w:val="18"/>
                <w:szCs w:val="18"/>
              </w:rPr>
              <w:t>（股）</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24" w:right="122"/>
              <w:jc w:val="both"/>
              <w:rPr>
                <w:rFonts w:ascii="宋体" w:hAnsi="宋体" w:cs="宋体" w:eastAsia="宋体" w:hint="default"/>
                <w:sz w:val="18"/>
                <w:szCs w:val="18"/>
              </w:rPr>
            </w:pPr>
            <w:r>
              <w:rPr>
                <w:rFonts w:ascii="宋体" w:hAnsi="宋体" w:cs="宋体" w:eastAsia="宋体" w:hint="default"/>
                <w:sz w:val="18"/>
                <w:szCs w:val="18"/>
              </w:rPr>
              <w:t>本期减 持股份 数量</w:t>
            </w:r>
          </w:p>
          <w:p>
            <w:pPr>
              <w:pStyle w:val="TableParagraph"/>
              <w:spacing w:line="240" w:lineRule="auto" w:before="18"/>
              <w:ind w:left="124" w:right="0"/>
              <w:jc w:val="both"/>
              <w:rPr>
                <w:rFonts w:ascii="宋体" w:hAnsi="宋体" w:cs="宋体" w:eastAsia="宋体" w:hint="default"/>
                <w:sz w:val="18"/>
                <w:szCs w:val="18"/>
              </w:rPr>
            </w:pPr>
            <w:r>
              <w:rPr>
                <w:rFonts w:ascii="宋体" w:hAnsi="宋体" w:cs="宋体" w:eastAsia="宋体" w:hint="default"/>
                <w:sz w:val="18"/>
                <w:szCs w:val="18"/>
              </w:rPr>
              <w:t>（股）</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124" w:right="122"/>
              <w:jc w:val="left"/>
              <w:rPr>
                <w:rFonts w:ascii="宋体" w:hAnsi="宋体" w:cs="宋体" w:eastAsia="宋体" w:hint="default"/>
                <w:sz w:val="18"/>
                <w:szCs w:val="18"/>
              </w:rPr>
            </w:pPr>
            <w:r>
              <w:rPr>
                <w:rFonts w:ascii="宋体" w:hAnsi="宋体" w:cs="宋体" w:eastAsia="宋体" w:hint="default"/>
                <w:sz w:val="18"/>
                <w:szCs w:val="18"/>
              </w:rPr>
              <w:t>其他增 减变动</w:t>
            </w:r>
          </w:p>
          <w:p>
            <w:pPr>
              <w:pStyle w:val="TableParagraph"/>
              <w:spacing w:line="240" w:lineRule="auto" w:before="19"/>
              <w:ind w:left="124" w:right="0"/>
              <w:jc w:val="left"/>
              <w:rPr>
                <w:rFonts w:ascii="宋体" w:hAnsi="宋体" w:cs="宋体" w:eastAsia="宋体" w:hint="default"/>
                <w:sz w:val="18"/>
                <w:szCs w:val="18"/>
              </w:rPr>
            </w:pPr>
            <w:r>
              <w:rPr>
                <w:rFonts w:ascii="宋体" w:hAnsi="宋体" w:cs="宋体" w:eastAsia="宋体" w:hint="default"/>
                <w:sz w:val="18"/>
                <w:szCs w:val="18"/>
              </w:rPr>
              <w:t>（股）</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214" w:right="122" w:hanging="90"/>
              <w:jc w:val="left"/>
              <w:rPr>
                <w:rFonts w:ascii="宋体" w:hAnsi="宋体" w:cs="宋体" w:eastAsia="宋体" w:hint="default"/>
                <w:sz w:val="18"/>
                <w:szCs w:val="18"/>
              </w:rPr>
            </w:pPr>
            <w:r>
              <w:rPr>
                <w:rFonts w:ascii="宋体" w:hAnsi="宋体" w:cs="宋体" w:eastAsia="宋体" w:hint="default"/>
                <w:sz w:val="18"/>
                <w:szCs w:val="18"/>
              </w:rPr>
              <w:t>期末持 股数</w:t>
            </w:r>
          </w:p>
          <w:p>
            <w:pPr>
              <w:pStyle w:val="TableParagraph"/>
              <w:spacing w:line="240" w:lineRule="auto" w:before="19"/>
              <w:ind w:left="124" w:right="0"/>
              <w:jc w:val="left"/>
              <w:rPr>
                <w:rFonts w:ascii="宋体" w:hAnsi="宋体" w:cs="宋体" w:eastAsia="宋体" w:hint="default"/>
                <w:sz w:val="18"/>
                <w:szCs w:val="18"/>
              </w:rPr>
            </w:pPr>
            <w:r>
              <w:rPr>
                <w:rFonts w:ascii="宋体" w:hAnsi="宋体" w:cs="宋体" w:eastAsia="宋体" w:hint="default"/>
                <w:sz w:val="18"/>
                <w:szCs w:val="18"/>
              </w:rPr>
              <w:t>（股）</w:t>
            </w:r>
          </w:p>
        </w:tc>
      </w:tr>
      <w:tr>
        <w:trPr>
          <w:trHeight w:val="1027"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2" w:right="0"/>
              <w:jc w:val="left"/>
              <w:rPr>
                <w:rFonts w:ascii="宋体" w:hAnsi="宋体" w:cs="宋体" w:eastAsia="宋体" w:hint="default"/>
                <w:sz w:val="18"/>
                <w:szCs w:val="18"/>
              </w:rPr>
            </w:pPr>
            <w:r>
              <w:rPr>
                <w:rFonts w:ascii="宋体" w:hAnsi="宋体" w:cs="宋体" w:eastAsia="宋体" w:hint="default"/>
                <w:sz w:val="18"/>
                <w:szCs w:val="18"/>
              </w:rPr>
              <w:t>钱京</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2"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p>
          <w:p>
            <w:pPr>
              <w:pStyle w:val="TableParagraph"/>
              <w:spacing w:line="240" w:lineRule="auto" w:before="62"/>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p>
          <w:p>
            <w:pPr>
              <w:pStyle w:val="TableParagraph"/>
              <w:spacing w:line="240" w:lineRule="auto" w:before="62"/>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27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p>
          <w:p>
            <w:pPr>
              <w:pStyle w:val="TableParagraph"/>
              <w:spacing w:line="240" w:lineRule="auto" w:before="6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p>
          <w:p>
            <w:pPr>
              <w:pStyle w:val="TableParagraph"/>
              <w:spacing w:line="240" w:lineRule="auto" w:before="6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26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190" w:right="0"/>
              <w:jc w:val="left"/>
              <w:rPr>
                <w:rFonts w:ascii="Times New Roman" w:hAnsi="Times New Roman" w:cs="Times New Roman" w:eastAsia="Times New Roman" w:hint="default"/>
                <w:sz w:val="18"/>
                <w:szCs w:val="18"/>
              </w:rPr>
            </w:pPr>
            <w:r>
              <w:rPr>
                <w:rFonts w:ascii="Times New Roman"/>
                <w:sz w:val="18"/>
              </w:rPr>
              <w:t>143,92</w:t>
            </w:r>
          </w:p>
          <w:p>
            <w:pPr>
              <w:pStyle w:val="TableParagraph"/>
              <w:spacing w:line="240" w:lineRule="auto" w:before="105"/>
              <w:ind w:left="280" w:right="0"/>
              <w:jc w:val="left"/>
              <w:rPr>
                <w:rFonts w:ascii="Times New Roman" w:hAnsi="Times New Roman" w:cs="Times New Roman" w:eastAsia="Times New Roman" w:hint="default"/>
                <w:sz w:val="18"/>
                <w:szCs w:val="18"/>
              </w:rPr>
            </w:pPr>
            <w:r>
              <w:rPr>
                <w:rFonts w:ascii="Times New Roman"/>
                <w:sz w:val="18"/>
              </w:rPr>
              <w:t>5,147</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190" w:right="0"/>
              <w:jc w:val="left"/>
              <w:rPr>
                <w:rFonts w:ascii="Times New Roman" w:hAnsi="Times New Roman" w:cs="Times New Roman" w:eastAsia="Times New Roman" w:hint="default"/>
                <w:sz w:val="18"/>
                <w:szCs w:val="18"/>
              </w:rPr>
            </w:pPr>
            <w:r>
              <w:rPr>
                <w:rFonts w:ascii="Times New Roman"/>
                <w:sz w:val="18"/>
              </w:rPr>
              <w:t>143,92</w:t>
            </w:r>
          </w:p>
          <w:p>
            <w:pPr>
              <w:pStyle w:val="TableParagraph"/>
              <w:spacing w:line="240" w:lineRule="auto" w:before="105"/>
              <w:ind w:left="280" w:right="0"/>
              <w:jc w:val="left"/>
              <w:rPr>
                <w:rFonts w:ascii="Times New Roman" w:hAnsi="Times New Roman" w:cs="Times New Roman" w:eastAsia="Times New Roman" w:hint="default"/>
                <w:sz w:val="18"/>
                <w:szCs w:val="18"/>
              </w:rPr>
            </w:pPr>
            <w:r>
              <w:rPr>
                <w:rFonts w:ascii="Times New Roman"/>
                <w:sz w:val="18"/>
              </w:rPr>
              <w:t>5,147</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02" w:right="0"/>
              <w:jc w:val="left"/>
              <w:rPr>
                <w:rFonts w:ascii="宋体" w:hAnsi="宋体" w:cs="宋体" w:eastAsia="宋体" w:hint="default"/>
                <w:sz w:val="18"/>
                <w:szCs w:val="18"/>
              </w:rPr>
            </w:pPr>
            <w:r>
              <w:rPr>
                <w:rFonts w:ascii="宋体" w:hAnsi="宋体" w:cs="宋体" w:eastAsia="宋体" w:hint="default"/>
                <w:sz w:val="18"/>
                <w:szCs w:val="18"/>
              </w:rPr>
              <w:t>胡兆凤</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9" w:lineRule="auto"/>
              <w:ind w:left="102" w:right="143"/>
              <w:jc w:val="left"/>
              <w:rPr>
                <w:rFonts w:ascii="宋体" w:hAnsi="宋体" w:cs="宋体" w:eastAsia="宋体" w:hint="default"/>
                <w:sz w:val="18"/>
                <w:szCs w:val="18"/>
              </w:rPr>
            </w:pPr>
            <w:r>
              <w:rPr>
                <w:rFonts w:ascii="宋体" w:hAnsi="宋体" w:cs="宋体" w:eastAsia="宋体" w:hint="default"/>
                <w:sz w:val="18"/>
                <w:szCs w:val="18"/>
              </w:rPr>
              <w:t>董事， 总裁</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61</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p>
          <w:p>
            <w:pPr>
              <w:pStyle w:val="TableParagraph"/>
              <w:spacing w:line="240" w:lineRule="auto" w:before="62"/>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p>
          <w:p>
            <w:pPr>
              <w:pStyle w:val="TableParagraph"/>
              <w:spacing w:line="240" w:lineRule="auto" w:before="62"/>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27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p>
          <w:p>
            <w:pPr>
              <w:pStyle w:val="TableParagraph"/>
              <w:spacing w:line="240" w:lineRule="auto" w:before="6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p>
          <w:p>
            <w:pPr>
              <w:pStyle w:val="TableParagraph"/>
              <w:spacing w:line="240" w:lineRule="auto" w:before="6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26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02" w:right="0"/>
              <w:jc w:val="left"/>
              <w:rPr>
                <w:rFonts w:ascii="宋体" w:hAnsi="宋体" w:cs="宋体" w:eastAsia="宋体" w:hint="default"/>
                <w:sz w:val="18"/>
                <w:szCs w:val="18"/>
              </w:rPr>
            </w:pPr>
            <w:r>
              <w:rPr>
                <w:rFonts w:ascii="宋体" w:hAnsi="宋体" w:cs="宋体" w:eastAsia="宋体" w:hint="default"/>
                <w:sz w:val="18"/>
                <w:szCs w:val="18"/>
              </w:rPr>
              <w:t>高强</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9" w:lineRule="auto"/>
              <w:ind w:left="102" w:right="142"/>
              <w:jc w:val="left"/>
              <w:rPr>
                <w:rFonts w:ascii="宋体" w:hAnsi="宋体" w:cs="宋体" w:eastAsia="宋体" w:hint="default"/>
                <w:sz w:val="18"/>
                <w:szCs w:val="18"/>
              </w:rPr>
            </w:pPr>
            <w:r>
              <w:rPr>
                <w:rFonts w:ascii="宋体" w:hAnsi="宋体" w:cs="宋体" w:eastAsia="宋体" w:hint="default"/>
                <w:sz w:val="18"/>
                <w:szCs w:val="18"/>
              </w:rPr>
              <w:t>董事， 副总裁</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p>
          <w:p>
            <w:pPr>
              <w:pStyle w:val="TableParagraph"/>
              <w:spacing w:line="240" w:lineRule="auto" w:before="62"/>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p>
          <w:p>
            <w:pPr>
              <w:pStyle w:val="TableParagraph"/>
              <w:spacing w:line="240" w:lineRule="auto" w:before="62"/>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27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p>
          <w:p>
            <w:pPr>
              <w:pStyle w:val="TableParagraph"/>
              <w:spacing w:line="240" w:lineRule="auto" w:before="6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p>
          <w:p>
            <w:pPr>
              <w:pStyle w:val="TableParagraph"/>
              <w:spacing w:line="240" w:lineRule="auto" w:before="6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26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640,00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640,00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02" w:right="0"/>
              <w:jc w:val="left"/>
              <w:rPr>
                <w:rFonts w:ascii="宋体" w:hAnsi="宋体" w:cs="宋体" w:eastAsia="宋体" w:hint="default"/>
                <w:sz w:val="18"/>
                <w:szCs w:val="18"/>
              </w:rPr>
            </w:pPr>
            <w:r>
              <w:rPr>
                <w:rFonts w:ascii="宋体" w:hAnsi="宋体" w:cs="宋体" w:eastAsia="宋体" w:hint="default"/>
                <w:sz w:val="18"/>
                <w:szCs w:val="18"/>
              </w:rPr>
              <w:t>徐霄凌</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9" w:lineRule="auto"/>
              <w:ind w:left="102" w:right="142"/>
              <w:jc w:val="left"/>
              <w:rPr>
                <w:rFonts w:ascii="宋体" w:hAnsi="宋体" w:cs="宋体" w:eastAsia="宋体" w:hint="default"/>
                <w:sz w:val="18"/>
                <w:szCs w:val="18"/>
              </w:rPr>
            </w:pPr>
            <w:r>
              <w:rPr>
                <w:rFonts w:ascii="宋体" w:hAnsi="宋体" w:cs="宋体" w:eastAsia="宋体" w:hint="default"/>
                <w:sz w:val="18"/>
                <w:szCs w:val="18"/>
              </w:rPr>
              <w:t>董事， 副总裁</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p>
          <w:p>
            <w:pPr>
              <w:pStyle w:val="TableParagraph"/>
              <w:spacing w:line="240" w:lineRule="auto" w:before="62"/>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p>
          <w:p>
            <w:pPr>
              <w:pStyle w:val="TableParagraph"/>
              <w:spacing w:line="240" w:lineRule="auto" w:before="62"/>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16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p>
          <w:p>
            <w:pPr>
              <w:pStyle w:val="TableParagraph"/>
              <w:spacing w:line="240" w:lineRule="auto" w:before="6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p>
          <w:p>
            <w:pPr>
              <w:pStyle w:val="TableParagraph"/>
              <w:spacing w:line="240" w:lineRule="auto" w:before="6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26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02" w:right="0"/>
              <w:jc w:val="left"/>
              <w:rPr>
                <w:rFonts w:ascii="宋体" w:hAnsi="宋体" w:cs="宋体" w:eastAsia="宋体" w:hint="default"/>
                <w:sz w:val="18"/>
                <w:szCs w:val="18"/>
              </w:rPr>
            </w:pPr>
            <w:r>
              <w:rPr>
                <w:rFonts w:ascii="宋体" w:hAnsi="宋体" w:cs="宋体" w:eastAsia="宋体" w:hint="default"/>
                <w:sz w:val="18"/>
                <w:szCs w:val="18"/>
              </w:rPr>
              <w:t>陆道如</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0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p>
          <w:p>
            <w:pPr>
              <w:pStyle w:val="TableParagraph"/>
              <w:spacing w:line="240" w:lineRule="auto" w:before="62"/>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p>
          <w:p>
            <w:pPr>
              <w:pStyle w:val="TableParagraph"/>
              <w:spacing w:line="240" w:lineRule="auto" w:before="62"/>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27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p>
          <w:p>
            <w:pPr>
              <w:pStyle w:val="TableParagraph"/>
              <w:spacing w:line="240" w:lineRule="auto" w:before="6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p>
          <w:p>
            <w:pPr>
              <w:pStyle w:val="TableParagraph"/>
              <w:spacing w:line="240" w:lineRule="auto" w:before="6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26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02" w:right="0"/>
              <w:jc w:val="left"/>
              <w:rPr>
                <w:rFonts w:ascii="宋体" w:hAnsi="宋体" w:cs="宋体" w:eastAsia="宋体" w:hint="default"/>
                <w:sz w:val="18"/>
                <w:szCs w:val="18"/>
              </w:rPr>
            </w:pPr>
            <w:r>
              <w:rPr>
                <w:rFonts w:ascii="宋体" w:hAnsi="宋体" w:cs="宋体" w:eastAsia="宋体" w:hint="default"/>
                <w:sz w:val="18"/>
                <w:szCs w:val="18"/>
              </w:rPr>
              <w:t>钟迎九</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0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51</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p>
          <w:p>
            <w:pPr>
              <w:pStyle w:val="TableParagraph"/>
              <w:spacing w:line="240" w:lineRule="auto" w:before="62"/>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p>
          <w:p>
            <w:pPr>
              <w:pStyle w:val="TableParagraph"/>
              <w:spacing w:line="240" w:lineRule="auto" w:before="62"/>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27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p>
          <w:p>
            <w:pPr>
              <w:pStyle w:val="TableParagraph"/>
              <w:spacing w:line="240" w:lineRule="auto" w:before="6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p>
          <w:p>
            <w:pPr>
              <w:pStyle w:val="TableParagraph"/>
              <w:spacing w:line="240" w:lineRule="auto" w:before="6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26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198,00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198,00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02" w:right="0"/>
              <w:jc w:val="left"/>
              <w:rPr>
                <w:rFonts w:ascii="宋体" w:hAnsi="宋体" w:cs="宋体" w:eastAsia="宋体" w:hint="default"/>
                <w:sz w:val="18"/>
                <w:szCs w:val="18"/>
              </w:rPr>
            </w:pPr>
            <w:r>
              <w:rPr>
                <w:rFonts w:ascii="宋体" w:hAnsi="宋体" w:cs="宋体" w:eastAsia="宋体" w:hint="default"/>
                <w:sz w:val="18"/>
                <w:szCs w:val="18"/>
              </w:rPr>
              <w:t>蔡正华</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9" w:lineRule="auto"/>
              <w:ind w:left="102" w:right="142"/>
              <w:jc w:val="left"/>
              <w:rPr>
                <w:rFonts w:ascii="宋体" w:hAnsi="宋体" w:cs="宋体" w:eastAsia="宋体" w:hint="default"/>
                <w:sz w:val="18"/>
                <w:szCs w:val="18"/>
              </w:rPr>
            </w:pPr>
            <w:r>
              <w:rPr>
                <w:rFonts w:ascii="宋体" w:hAnsi="宋体" w:cs="宋体" w:eastAsia="宋体" w:hint="default"/>
                <w:sz w:val="18"/>
                <w:szCs w:val="18"/>
              </w:rPr>
              <w:t>独立董 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p>
          <w:p>
            <w:pPr>
              <w:pStyle w:val="TableParagraph"/>
              <w:spacing w:line="240" w:lineRule="auto" w:before="62"/>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p>
          <w:p>
            <w:pPr>
              <w:pStyle w:val="TableParagraph"/>
              <w:spacing w:line="240" w:lineRule="auto" w:before="62"/>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27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p>
          <w:p>
            <w:pPr>
              <w:pStyle w:val="TableParagraph"/>
              <w:spacing w:line="240" w:lineRule="auto" w:before="6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p>
          <w:p>
            <w:pPr>
              <w:pStyle w:val="TableParagraph"/>
              <w:spacing w:line="240" w:lineRule="auto" w:before="6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26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02" w:right="0"/>
              <w:jc w:val="left"/>
              <w:rPr>
                <w:rFonts w:ascii="宋体" w:hAnsi="宋体" w:cs="宋体" w:eastAsia="宋体" w:hint="default"/>
                <w:sz w:val="18"/>
                <w:szCs w:val="18"/>
              </w:rPr>
            </w:pPr>
            <w:r>
              <w:rPr>
                <w:rFonts w:ascii="宋体" w:hAnsi="宋体" w:cs="宋体" w:eastAsia="宋体" w:hint="default"/>
                <w:sz w:val="18"/>
                <w:szCs w:val="18"/>
              </w:rPr>
              <w:t>陈雪娇</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9" w:lineRule="auto"/>
              <w:ind w:left="102" w:right="142"/>
              <w:jc w:val="left"/>
              <w:rPr>
                <w:rFonts w:ascii="宋体" w:hAnsi="宋体" w:cs="宋体" w:eastAsia="宋体" w:hint="default"/>
                <w:sz w:val="18"/>
                <w:szCs w:val="18"/>
              </w:rPr>
            </w:pPr>
            <w:r>
              <w:rPr>
                <w:rFonts w:ascii="宋体" w:hAnsi="宋体" w:cs="宋体" w:eastAsia="宋体" w:hint="default"/>
                <w:sz w:val="18"/>
                <w:szCs w:val="18"/>
              </w:rPr>
              <w:t>独立董 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p>
          <w:p>
            <w:pPr>
              <w:pStyle w:val="TableParagraph"/>
              <w:spacing w:line="240" w:lineRule="auto" w:before="62"/>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p>
          <w:p>
            <w:pPr>
              <w:pStyle w:val="TableParagraph"/>
              <w:spacing w:line="240" w:lineRule="auto" w:before="62"/>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27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p>
          <w:p>
            <w:pPr>
              <w:pStyle w:val="TableParagraph"/>
              <w:spacing w:line="240" w:lineRule="auto" w:before="6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p>
          <w:p>
            <w:pPr>
              <w:pStyle w:val="TableParagraph"/>
              <w:spacing w:line="240" w:lineRule="auto" w:before="6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26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02" w:right="0"/>
              <w:jc w:val="left"/>
              <w:rPr>
                <w:rFonts w:ascii="宋体" w:hAnsi="宋体" w:cs="宋体" w:eastAsia="宋体" w:hint="default"/>
                <w:sz w:val="18"/>
                <w:szCs w:val="18"/>
              </w:rPr>
            </w:pPr>
            <w:r>
              <w:rPr>
                <w:rFonts w:ascii="宋体" w:hAnsi="宋体" w:cs="宋体" w:eastAsia="宋体" w:hint="default"/>
                <w:sz w:val="18"/>
                <w:szCs w:val="18"/>
              </w:rPr>
              <w:t>丁虹</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9" w:lineRule="auto"/>
              <w:ind w:left="102" w:right="142"/>
              <w:jc w:val="left"/>
              <w:rPr>
                <w:rFonts w:ascii="宋体" w:hAnsi="宋体" w:cs="宋体" w:eastAsia="宋体" w:hint="default"/>
                <w:sz w:val="18"/>
                <w:szCs w:val="18"/>
              </w:rPr>
            </w:pPr>
            <w:r>
              <w:rPr>
                <w:rFonts w:ascii="宋体" w:hAnsi="宋体" w:cs="宋体" w:eastAsia="宋体" w:hint="default"/>
                <w:sz w:val="18"/>
                <w:szCs w:val="18"/>
              </w:rPr>
              <w:t>独立董 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44</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p>
          <w:p>
            <w:pPr>
              <w:pStyle w:val="TableParagraph"/>
              <w:spacing w:line="240" w:lineRule="auto" w:before="62"/>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p>
          <w:p>
            <w:pPr>
              <w:pStyle w:val="TableParagraph"/>
              <w:spacing w:line="240" w:lineRule="auto" w:before="62"/>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16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p>
          <w:p>
            <w:pPr>
              <w:pStyle w:val="TableParagraph"/>
              <w:spacing w:line="240" w:lineRule="auto" w:before="6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p>
          <w:p>
            <w:pPr>
              <w:pStyle w:val="TableParagraph"/>
              <w:spacing w:line="240" w:lineRule="auto" w:before="6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26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02" w:right="0"/>
              <w:jc w:val="left"/>
              <w:rPr>
                <w:rFonts w:ascii="宋体" w:hAnsi="宋体" w:cs="宋体" w:eastAsia="宋体" w:hint="default"/>
                <w:sz w:val="18"/>
                <w:szCs w:val="18"/>
              </w:rPr>
            </w:pPr>
            <w:r>
              <w:rPr>
                <w:rFonts w:ascii="宋体" w:hAnsi="宋体" w:cs="宋体" w:eastAsia="宋体" w:hint="default"/>
                <w:sz w:val="18"/>
                <w:szCs w:val="18"/>
              </w:rPr>
              <w:t>蒋小平</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9" w:lineRule="auto"/>
              <w:ind w:left="102" w:right="142"/>
              <w:jc w:val="left"/>
              <w:rPr>
                <w:rFonts w:ascii="宋体" w:hAnsi="宋体" w:cs="宋体" w:eastAsia="宋体" w:hint="default"/>
                <w:sz w:val="18"/>
                <w:szCs w:val="18"/>
              </w:rPr>
            </w:pPr>
            <w:r>
              <w:rPr>
                <w:rFonts w:ascii="宋体" w:hAnsi="宋体" w:cs="宋体" w:eastAsia="宋体" w:hint="default"/>
                <w:sz w:val="18"/>
                <w:szCs w:val="18"/>
              </w:rPr>
              <w:t>监事会 主席</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p>
          <w:p>
            <w:pPr>
              <w:pStyle w:val="TableParagraph"/>
              <w:spacing w:line="240" w:lineRule="auto" w:before="62"/>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p>
          <w:p>
            <w:pPr>
              <w:pStyle w:val="TableParagraph"/>
              <w:spacing w:line="240" w:lineRule="auto" w:before="62"/>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27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p>
          <w:p>
            <w:pPr>
              <w:pStyle w:val="TableParagraph"/>
              <w:spacing w:line="240" w:lineRule="auto" w:before="6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p>
          <w:p>
            <w:pPr>
              <w:pStyle w:val="TableParagraph"/>
              <w:spacing w:line="240" w:lineRule="auto" w:before="6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26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6" w:footer="1018" w:top="1100" w:bottom="1200" w:left="1020" w:right="0"/>
        </w:sectPr>
      </w:pPr>
    </w:p>
    <w:p>
      <w:pPr>
        <w:spacing w:line="240" w:lineRule="auto" w:before="7"/>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798"/>
        <w:gridCol w:w="797"/>
        <w:gridCol w:w="797"/>
        <w:gridCol w:w="797"/>
        <w:gridCol w:w="798"/>
        <w:gridCol w:w="797"/>
        <w:gridCol w:w="798"/>
        <w:gridCol w:w="798"/>
        <w:gridCol w:w="798"/>
        <w:gridCol w:w="798"/>
        <w:gridCol w:w="798"/>
        <w:gridCol w:w="798"/>
      </w:tblGrid>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2" w:right="0"/>
              <w:jc w:val="left"/>
              <w:rPr>
                <w:rFonts w:ascii="宋体" w:hAnsi="宋体" w:cs="宋体" w:eastAsia="宋体" w:hint="default"/>
                <w:sz w:val="18"/>
                <w:szCs w:val="18"/>
              </w:rPr>
            </w:pPr>
            <w:r>
              <w:rPr>
                <w:rFonts w:ascii="宋体" w:hAnsi="宋体" w:cs="宋体" w:eastAsia="宋体" w:hint="default"/>
                <w:sz w:val="18"/>
                <w:szCs w:val="18"/>
              </w:rPr>
              <w:t>朱锦善</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right="322"/>
              <w:jc w:val="right"/>
              <w:rPr>
                <w:rFonts w:ascii="宋体" w:hAnsi="宋体" w:cs="宋体" w:eastAsia="宋体" w:hint="default"/>
                <w:sz w:val="18"/>
                <w:szCs w:val="18"/>
              </w:rPr>
            </w:pPr>
            <w:r>
              <w:rPr>
                <w:rFonts w:ascii="宋体" w:hAnsi="宋体" w:cs="宋体" w:eastAsia="宋体" w:hint="default"/>
                <w:sz w:val="18"/>
                <w:szCs w:val="18"/>
              </w:rPr>
              <w:t>监事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right="323"/>
              <w:jc w:val="righ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p>
          <w:p>
            <w:pPr>
              <w:pStyle w:val="TableParagraph"/>
              <w:spacing w:line="240" w:lineRule="auto" w:before="62"/>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p>
          <w:p>
            <w:pPr>
              <w:pStyle w:val="TableParagraph"/>
              <w:spacing w:line="240" w:lineRule="auto" w:before="62"/>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27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p>
          <w:p>
            <w:pPr>
              <w:pStyle w:val="TableParagraph"/>
              <w:spacing w:line="240" w:lineRule="auto" w:before="6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p>
          <w:p>
            <w:pPr>
              <w:pStyle w:val="TableParagraph"/>
              <w:spacing w:line="240" w:lineRule="auto" w:before="6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26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2" w:right="0"/>
              <w:jc w:val="left"/>
              <w:rPr>
                <w:rFonts w:ascii="宋体" w:hAnsi="宋体" w:cs="宋体" w:eastAsia="宋体" w:hint="default"/>
                <w:sz w:val="18"/>
                <w:szCs w:val="18"/>
              </w:rPr>
            </w:pPr>
            <w:r>
              <w:rPr>
                <w:rFonts w:ascii="宋体" w:hAnsi="宋体" w:cs="宋体" w:eastAsia="宋体" w:hint="default"/>
                <w:sz w:val="18"/>
                <w:szCs w:val="18"/>
              </w:rPr>
              <w:t>干玲</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right="322"/>
              <w:jc w:val="right"/>
              <w:rPr>
                <w:rFonts w:ascii="宋体" w:hAnsi="宋体" w:cs="宋体" w:eastAsia="宋体" w:hint="default"/>
                <w:sz w:val="18"/>
                <w:szCs w:val="18"/>
              </w:rPr>
            </w:pPr>
            <w:r>
              <w:rPr>
                <w:rFonts w:ascii="宋体" w:hAnsi="宋体" w:cs="宋体" w:eastAsia="宋体" w:hint="default"/>
                <w:sz w:val="18"/>
                <w:szCs w:val="18"/>
              </w:rPr>
              <w:t>监事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right="323"/>
              <w:jc w:val="righ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p>
          <w:p>
            <w:pPr>
              <w:pStyle w:val="TableParagraph"/>
              <w:spacing w:line="240" w:lineRule="auto" w:before="62"/>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p>
          <w:p>
            <w:pPr>
              <w:pStyle w:val="TableParagraph"/>
              <w:spacing w:line="240" w:lineRule="auto" w:before="62"/>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27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p>
          <w:p>
            <w:pPr>
              <w:pStyle w:val="TableParagraph"/>
              <w:spacing w:line="240" w:lineRule="auto" w:before="6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p>
          <w:p>
            <w:pPr>
              <w:pStyle w:val="TableParagraph"/>
              <w:spacing w:line="240" w:lineRule="auto" w:before="6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26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left="280" w:right="0"/>
              <w:jc w:val="left"/>
              <w:rPr>
                <w:rFonts w:ascii="Times New Roman" w:hAnsi="Times New Roman" w:cs="Times New Roman" w:eastAsia="Times New Roman" w:hint="default"/>
                <w:sz w:val="18"/>
                <w:szCs w:val="18"/>
              </w:rPr>
            </w:pPr>
            <w:r>
              <w:rPr>
                <w:rFonts w:ascii="Times New Roman"/>
                <w:sz w:val="18"/>
              </w:rPr>
              <w:t>1,687</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left="280" w:right="0"/>
              <w:jc w:val="left"/>
              <w:rPr>
                <w:rFonts w:ascii="Times New Roman" w:hAnsi="Times New Roman" w:cs="Times New Roman" w:eastAsia="Times New Roman" w:hint="default"/>
                <w:sz w:val="18"/>
                <w:szCs w:val="18"/>
              </w:rPr>
            </w:pPr>
            <w:r>
              <w:rPr>
                <w:rFonts w:ascii="Times New Roman"/>
                <w:sz w:val="18"/>
              </w:rPr>
              <w:t>1,687</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2" w:right="0"/>
              <w:jc w:val="left"/>
              <w:rPr>
                <w:rFonts w:ascii="宋体" w:hAnsi="宋体" w:cs="宋体" w:eastAsia="宋体" w:hint="default"/>
                <w:sz w:val="18"/>
                <w:szCs w:val="18"/>
              </w:rPr>
            </w:pPr>
            <w:r>
              <w:rPr>
                <w:rFonts w:ascii="宋体" w:hAnsi="宋体" w:cs="宋体" w:eastAsia="宋体" w:hint="default"/>
                <w:sz w:val="18"/>
                <w:szCs w:val="18"/>
              </w:rPr>
              <w:t>陈妹妹</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2" w:right="142"/>
              <w:jc w:val="both"/>
              <w:rPr>
                <w:rFonts w:ascii="宋体" w:hAnsi="宋体" w:cs="宋体" w:eastAsia="宋体" w:hint="default"/>
                <w:sz w:val="18"/>
                <w:szCs w:val="18"/>
              </w:rPr>
            </w:pPr>
            <w:r>
              <w:rPr>
                <w:rFonts w:ascii="宋体" w:hAnsi="宋体" w:cs="宋体" w:eastAsia="宋体" w:hint="default"/>
                <w:sz w:val="18"/>
                <w:szCs w:val="18"/>
              </w:rPr>
              <w:t>董事会 秘书， 副总裁</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right="323"/>
              <w:jc w:val="righ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34</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p>
          <w:p>
            <w:pPr>
              <w:pStyle w:val="TableParagraph"/>
              <w:spacing w:line="240" w:lineRule="auto" w:before="62"/>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p>
          <w:p>
            <w:pPr>
              <w:pStyle w:val="TableParagraph"/>
              <w:spacing w:line="240" w:lineRule="auto" w:before="62"/>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p>
          <w:p>
            <w:pPr>
              <w:pStyle w:val="TableParagraph"/>
              <w:spacing w:line="240" w:lineRule="auto" w:before="6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p>
          <w:p>
            <w:pPr>
              <w:pStyle w:val="TableParagraph"/>
              <w:spacing w:line="240" w:lineRule="auto" w:before="6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26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2" w:right="0"/>
              <w:jc w:val="left"/>
              <w:rPr>
                <w:rFonts w:ascii="宋体" w:hAnsi="宋体" w:cs="宋体" w:eastAsia="宋体" w:hint="default"/>
                <w:sz w:val="18"/>
                <w:szCs w:val="18"/>
              </w:rPr>
            </w:pPr>
            <w:r>
              <w:rPr>
                <w:rFonts w:ascii="宋体" w:hAnsi="宋体" w:cs="宋体" w:eastAsia="宋体" w:hint="default"/>
                <w:sz w:val="18"/>
                <w:szCs w:val="18"/>
              </w:rPr>
              <w:t>赵长健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319" w:lineRule="auto"/>
              <w:ind w:left="102" w:right="142"/>
              <w:jc w:val="left"/>
              <w:rPr>
                <w:rFonts w:ascii="宋体" w:hAnsi="宋体" w:cs="宋体" w:eastAsia="宋体" w:hint="default"/>
                <w:sz w:val="18"/>
                <w:szCs w:val="18"/>
              </w:rPr>
            </w:pPr>
            <w:r>
              <w:rPr>
                <w:rFonts w:ascii="宋体" w:hAnsi="宋体" w:cs="宋体" w:eastAsia="宋体" w:hint="default"/>
                <w:sz w:val="18"/>
                <w:szCs w:val="18"/>
              </w:rPr>
              <w:t>董事， 副总裁</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right="323"/>
              <w:jc w:val="right"/>
              <w:rPr>
                <w:rFonts w:ascii="宋体" w:hAnsi="宋体" w:cs="宋体" w:eastAsia="宋体" w:hint="default"/>
                <w:sz w:val="18"/>
                <w:szCs w:val="18"/>
              </w:rPr>
            </w:pPr>
            <w:r>
              <w:rPr>
                <w:rFonts w:ascii="宋体" w:hAnsi="宋体" w:cs="宋体" w:eastAsia="宋体" w:hint="default"/>
                <w:sz w:val="18"/>
                <w:szCs w:val="18"/>
              </w:rPr>
              <w:t>离任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59</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p>
          <w:p>
            <w:pPr>
              <w:pStyle w:val="TableParagraph"/>
              <w:spacing w:line="240" w:lineRule="auto" w:before="62"/>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p>
          <w:p>
            <w:pPr>
              <w:pStyle w:val="TableParagraph"/>
              <w:spacing w:line="240" w:lineRule="auto" w:before="62"/>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27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p>
          <w:p>
            <w:pPr>
              <w:pStyle w:val="TableParagraph"/>
              <w:spacing w:line="240" w:lineRule="auto" w:before="6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p>
          <w:p>
            <w:pPr>
              <w:pStyle w:val="TableParagraph"/>
              <w:spacing w:line="240" w:lineRule="auto" w:before="6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308,00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308,00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2" w:right="0"/>
              <w:jc w:val="left"/>
              <w:rPr>
                <w:rFonts w:ascii="宋体" w:hAnsi="宋体" w:cs="宋体" w:eastAsia="宋体" w:hint="default"/>
                <w:sz w:val="18"/>
                <w:szCs w:val="18"/>
              </w:rPr>
            </w:pPr>
            <w:r>
              <w:rPr>
                <w:rFonts w:ascii="宋体" w:hAnsi="宋体" w:cs="宋体" w:eastAsia="宋体" w:hint="default"/>
                <w:sz w:val="18"/>
                <w:szCs w:val="18"/>
              </w:rPr>
              <w:t>岳修峰</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319" w:lineRule="auto"/>
              <w:ind w:left="102" w:right="142"/>
              <w:jc w:val="left"/>
              <w:rPr>
                <w:rFonts w:ascii="宋体" w:hAnsi="宋体" w:cs="宋体" w:eastAsia="宋体" w:hint="default"/>
                <w:sz w:val="18"/>
                <w:szCs w:val="18"/>
              </w:rPr>
            </w:pPr>
            <w:r>
              <w:rPr>
                <w:rFonts w:ascii="宋体" w:hAnsi="宋体" w:cs="宋体" w:eastAsia="宋体" w:hint="default"/>
                <w:sz w:val="18"/>
                <w:szCs w:val="18"/>
              </w:rPr>
              <w:t>独立董 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right="323"/>
              <w:jc w:val="right"/>
              <w:rPr>
                <w:rFonts w:ascii="宋体" w:hAnsi="宋体" w:cs="宋体" w:eastAsia="宋体" w:hint="default"/>
                <w:sz w:val="18"/>
                <w:szCs w:val="18"/>
              </w:rPr>
            </w:pPr>
            <w:r>
              <w:rPr>
                <w:rFonts w:ascii="宋体" w:hAnsi="宋体" w:cs="宋体" w:eastAsia="宋体" w:hint="default"/>
                <w:sz w:val="18"/>
                <w:szCs w:val="18"/>
              </w:rPr>
              <w:t>离任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p>
          <w:p>
            <w:pPr>
              <w:pStyle w:val="TableParagraph"/>
              <w:spacing w:line="240" w:lineRule="auto" w:before="62"/>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p>
          <w:p>
            <w:pPr>
              <w:pStyle w:val="TableParagraph"/>
              <w:spacing w:line="240" w:lineRule="auto" w:before="62"/>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p>
          <w:p>
            <w:pPr>
              <w:pStyle w:val="TableParagraph"/>
              <w:spacing w:line="240" w:lineRule="auto" w:before="6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p>
          <w:p>
            <w:pPr>
              <w:pStyle w:val="TableParagraph"/>
              <w:spacing w:line="240" w:lineRule="auto" w:before="6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16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2" w:right="0"/>
              <w:jc w:val="left"/>
              <w:rPr>
                <w:rFonts w:ascii="宋体" w:hAnsi="宋体" w:cs="宋体" w:eastAsia="宋体" w:hint="default"/>
                <w:sz w:val="18"/>
                <w:szCs w:val="18"/>
              </w:rPr>
            </w:pPr>
            <w:r>
              <w:rPr>
                <w:rFonts w:ascii="宋体" w:hAnsi="宋体" w:cs="宋体" w:eastAsia="宋体" w:hint="default"/>
                <w:sz w:val="18"/>
                <w:szCs w:val="18"/>
              </w:rPr>
              <w:t>王晓瑞</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319" w:lineRule="auto"/>
              <w:ind w:left="102" w:right="142"/>
              <w:jc w:val="left"/>
              <w:rPr>
                <w:rFonts w:ascii="宋体" w:hAnsi="宋体" w:cs="宋体" w:eastAsia="宋体" w:hint="default"/>
                <w:sz w:val="18"/>
                <w:szCs w:val="18"/>
              </w:rPr>
            </w:pPr>
            <w:r>
              <w:rPr>
                <w:rFonts w:ascii="宋体" w:hAnsi="宋体" w:cs="宋体" w:eastAsia="宋体" w:hint="default"/>
                <w:sz w:val="18"/>
                <w:szCs w:val="18"/>
              </w:rPr>
              <w:t>独立董 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right="323"/>
              <w:jc w:val="right"/>
              <w:rPr>
                <w:rFonts w:ascii="宋体" w:hAnsi="宋体" w:cs="宋体" w:eastAsia="宋体" w:hint="default"/>
                <w:sz w:val="18"/>
                <w:szCs w:val="18"/>
              </w:rPr>
            </w:pPr>
            <w:r>
              <w:rPr>
                <w:rFonts w:ascii="宋体" w:hAnsi="宋体" w:cs="宋体" w:eastAsia="宋体" w:hint="default"/>
                <w:sz w:val="18"/>
                <w:szCs w:val="18"/>
              </w:rPr>
              <w:t>离任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p>
          <w:p>
            <w:pPr>
              <w:pStyle w:val="TableParagraph"/>
              <w:spacing w:line="240" w:lineRule="auto" w:before="62"/>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p>
          <w:p>
            <w:pPr>
              <w:pStyle w:val="TableParagraph"/>
              <w:spacing w:line="240" w:lineRule="auto" w:before="62"/>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p>
          <w:p>
            <w:pPr>
              <w:pStyle w:val="TableParagraph"/>
              <w:spacing w:line="240" w:lineRule="auto" w:before="6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p>
          <w:p>
            <w:pPr>
              <w:pStyle w:val="TableParagraph"/>
              <w:spacing w:line="240" w:lineRule="auto" w:before="6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27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331"/>
              <w:jc w:val="right"/>
              <w:rPr>
                <w:rFonts w:ascii="Times New Roman" w:hAnsi="Times New Roman" w:cs="Times New Roman" w:eastAsia="Times New Roman" w:hint="default"/>
                <w:sz w:val="18"/>
                <w:szCs w:val="18"/>
              </w:rPr>
            </w:pPr>
            <w:r>
              <w:rPr>
                <w:rFonts w:ascii="Times New Roman"/>
                <w:sz w:val="18"/>
              </w:rPr>
              <w:t>--</w:t>
            </w:r>
          </w:p>
        </w:tc>
        <w:tc>
          <w:tcPr>
            <w:tcW w:w="79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331"/>
              <w:jc w:val="right"/>
              <w:rPr>
                <w:rFonts w:ascii="Times New Roman" w:hAnsi="Times New Roman" w:cs="Times New Roman" w:eastAsia="Times New Roman" w:hint="default"/>
                <w:sz w:val="18"/>
                <w:szCs w:val="18"/>
              </w:rPr>
            </w:pPr>
            <w:r>
              <w:rPr>
                <w:rFonts w:ascii="Times New Roman"/>
                <w:sz w:val="18"/>
              </w:rPr>
              <w:t>--</w:t>
            </w:r>
          </w:p>
        </w:tc>
        <w:tc>
          <w:tcPr>
            <w:tcW w:w="79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9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90" w:right="0"/>
              <w:jc w:val="left"/>
              <w:rPr>
                <w:rFonts w:ascii="Times New Roman" w:hAnsi="Times New Roman" w:cs="Times New Roman" w:eastAsia="Times New Roman" w:hint="default"/>
                <w:sz w:val="18"/>
                <w:szCs w:val="18"/>
              </w:rPr>
            </w:pPr>
            <w:r>
              <w:rPr>
                <w:rFonts w:ascii="Times New Roman"/>
                <w:sz w:val="18"/>
              </w:rPr>
              <w:t>145,07</w:t>
            </w:r>
          </w:p>
          <w:p>
            <w:pPr>
              <w:pStyle w:val="TableParagraph"/>
              <w:spacing w:line="240" w:lineRule="auto" w:before="105"/>
              <w:ind w:left="280" w:right="0"/>
              <w:jc w:val="left"/>
              <w:rPr>
                <w:rFonts w:ascii="Times New Roman" w:hAnsi="Times New Roman" w:cs="Times New Roman" w:eastAsia="Times New Roman" w:hint="default"/>
                <w:sz w:val="18"/>
                <w:szCs w:val="18"/>
              </w:rPr>
            </w:pPr>
            <w:r>
              <w:rPr>
                <w:rFonts w:ascii="Times New Roman"/>
                <w:sz w:val="18"/>
              </w:rPr>
              <w:t>2,834</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90" w:right="0"/>
              <w:jc w:val="left"/>
              <w:rPr>
                <w:rFonts w:ascii="Times New Roman" w:hAnsi="Times New Roman" w:cs="Times New Roman" w:eastAsia="Times New Roman" w:hint="default"/>
                <w:sz w:val="18"/>
                <w:szCs w:val="18"/>
              </w:rPr>
            </w:pPr>
            <w:r>
              <w:rPr>
                <w:rFonts w:ascii="Times New Roman"/>
                <w:sz w:val="18"/>
              </w:rPr>
              <w:t>145,07</w:t>
            </w:r>
          </w:p>
          <w:p>
            <w:pPr>
              <w:pStyle w:val="TableParagraph"/>
              <w:spacing w:line="240" w:lineRule="auto" w:before="105"/>
              <w:ind w:left="280" w:right="0"/>
              <w:jc w:val="left"/>
              <w:rPr>
                <w:rFonts w:ascii="Times New Roman" w:hAnsi="Times New Roman" w:cs="Times New Roman" w:eastAsia="Times New Roman" w:hint="default"/>
                <w:sz w:val="18"/>
                <w:szCs w:val="18"/>
              </w:rPr>
            </w:pPr>
            <w:r>
              <w:rPr>
                <w:rFonts w:ascii="Times New Roman"/>
                <w:sz w:val="18"/>
              </w:rPr>
              <w:t>2,834</w:t>
            </w:r>
          </w:p>
        </w:tc>
      </w:tr>
    </w:tbl>
    <w:p>
      <w:pPr>
        <w:spacing w:line="240" w:lineRule="auto" w:before="1"/>
        <w:rPr>
          <w:rFonts w:ascii="宋体" w:hAnsi="宋体" w:cs="宋体" w:eastAsia="宋体" w:hint="default"/>
          <w:b/>
          <w:bCs/>
          <w:sz w:val="18"/>
          <w:szCs w:val="18"/>
        </w:rPr>
      </w:pPr>
    </w:p>
    <w:p>
      <w:pPr>
        <w:pStyle w:val="Heading2"/>
        <w:spacing w:line="240" w:lineRule="auto" w:before="26"/>
        <w:ind w:right="0"/>
        <w:jc w:val="left"/>
        <w:rPr>
          <w:b w:val="0"/>
          <w:bCs w:val="0"/>
        </w:rPr>
      </w:pPr>
      <w:r>
        <w:rPr/>
        <w:t>二、公司董事、监事、高级管理人员变动情况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30"/>
        <w:gridCol w:w="1330"/>
        <w:gridCol w:w="1330"/>
        <w:gridCol w:w="1330"/>
        <w:gridCol w:w="4247"/>
      </w:tblGrid>
      <w:tr>
        <w:trPr>
          <w:trHeight w:val="402" w:hRule="exact"/>
        </w:trPr>
        <w:tc>
          <w:tcPr>
            <w:tcW w:w="133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33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210" w:right="0"/>
              <w:jc w:val="left"/>
              <w:rPr>
                <w:rFonts w:ascii="宋体" w:hAnsi="宋体" w:cs="宋体" w:eastAsia="宋体" w:hint="default"/>
                <w:sz w:val="18"/>
                <w:szCs w:val="18"/>
              </w:rPr>
            </w:pPr>
            <w:r>
              <w:rPr>
                <w:rFonts w:ascii="宋体" w:hAnsi="宋体" w:cs="宋体" w:eastAsia="宋体" w:hint="default"/>
                <w:sz w:val="18"/>
                <w:szCs w:val="18"/>
              </w:rPr>
              <w:t>担任的职务</w:t>
            </w:r>
          </w:p>
        </w:tc>
        <w:tc>
          <w:tcPr>
            <w:tcW w:w="133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类型</w:t>
            </w:r>
          </w:p>
        </w:tc>
        <w:tc>
          <w:tcPr>
            <w:tcW w:w="133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日期</w:t>
            </w:r>
          </w:p>
        </w:tc>
        <w:tc>
          <w:tcPr>
            <w:tcW w:w="424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937"/>
              <w:jc w:val="right"/>
              <w:rPr>
                <w:rFonts w:ascii="宋体" w:hAnsi="宋体" w:cs="宋体" w:eastAsia="宋体" w:hint="default"/>
                <w:sz w:val="18"/>
                <w:szCs w:val="18"/>
              </w:rPr>
            </w:pPr>
            <w:r>
              <w:rPr>
                <w:rFonts w:ascii="宋体" w:hAnsi="宋体" w:cs="宋体" w:eastAsia="宋体" w:hint="default"/>
                <w:sz w:val="18"/>
                <w:szCs w:val="18"/>
              </w:rPr>
              <w:t>原因</w:t>
            </w:r>
          </w:p>
        </w:tc>
      </w:tr>
      <w:tr>
        <w:trPr>
          <w:trHeight w:val="714"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王晓瑞</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任期满离任</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p>
          <w:p>
            <w:pPr>
              <w:pStyle w:val="TableParagraph"/>
              <w:spacing w:line="240" w:lineRule="auto" w:before="62"/>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27 </w:t>
            </w:r>
            <w:r>
              <w:rPr>
                <w:rFonts w:ascii="宋体" w:hAnsi="宋体" w:cs="宋体" w:eastAsia="宋体" w:hint="default"/>
                <w:sz w:val="18"/>
                <w:szCs w:val="18"/>
              </w:rPr>
              <w:t>日</w:t>
            </w:r>
          </w:p>
        </w:tc>
        <w:tc>
          <w:tcPr>
            <w:tcW w:w="42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973"/>
              <w:jc w:val="right"/>
              <w:rPr>
                <w:rFonts w:ascii="宋体" w:hAnsi="宋体" w:cs="宋体" w:eastAsia="宋体" w:hint="default"/>
                <w:sz w:val="18"/>
                <w:szCs w:val="18"/>
              </w:rPr>
            </w:pPr>
            <w:r>
              <w:rPr>
                <w:rFonts w:ascii="宋体" w:hAnsi="宋体" w:cs="宋体" w:eastAsia="宋体" w:hint="default"/>
                <w:spacing w:val="-1"/>
                <w:sz w:val="18"/>
                <w:szCs w:val="18"/>
              </w:rPr>
              <w:t>公司董事会换届选举离任。</w:t>
            </w:r>
          </w:p>
        </w:tc>
      </w:tr>
      <w:tr>
        <w:trPr>
          <w:trHeight w:val="714"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赵长健</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董事、副总裁</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p>
          <w:p>
            <w:pPr>
              <w:pStyle w:val="TableParagraph"/>
              <w:spacing w:line="240" w:lineRule="auto" w:before="62"/>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日</w:t>
            </w:r>
          </w:p>
        </w:tc>
        <w:tc>
          <w:tcPr>
            <w:tcW w:w="424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3" w:right="173"/>
              <w:jc w:val="left"/>
              <w:rPr>
                <w:rFonts w:ascii="宋体" w:hAnsi="宋体" w:cs="宋体" w:eastAsia="宋体" w:hint="default"/>
                <w:sz w:val="18"/>
                <w:szCs w:val="18"/>
              </w:rPr>
            </w:pPr>
            <w:r>
              <w:rPr>
                <w:rFonts w:ascii="宋体" w:hAnsi="宋体" w:cs="宋体" w:eastAsia="宋体" w:hint="default"/>
                <w:sz w:val="18"/>
                <w:szCs w:val="18"/>
              </w:rPr>
              <w:t>赵长健先生因个人身体原因并临近退休年龄，辞去 公司所有职务。</w:t>
            </w:r>
          </w:p>
        </w:tc>
      </w:tr>
      <w:tr>
        <w:trPr>
          <w:trHeight w:val="714"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岳修峰</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任期满离任</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p>
          <w:p>
            <w:pPr>
              <w:pStyle w:val="TableParagraph"/>
              <w:spacing w:line="240" w:lineRule="auto" w:before="63"/>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16 </w:t>
            </w:r>
            <w:r>
              <w:rPr>
                <w:rFonts w:ascii="宋体" w:hAnsi="宋体" w:cs="宋体" w:eastAsia="宋体" w:hint="default"/>
                <w:sz w:val="18"/>
                <w:szCs w:val="18"/>
              </w:rPr>
              <w:t>日</w:t>
            </w:r>
          </w:p>
        </w:tc>
        <w:tc>
          <w:tcPr>
            <w:tcW w:w="42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973"/>
              <w:jc w:val="right"/>
              <w:rPr>
                <w:rFonts w:ascii="宋体" w:hAnsi="宋体" w:cs="宋体" w:eastAsia="宋体" w:hint="default"/>
                <w:sz w:val="18"/>
                <w:szCs w:val="18"/>
              </w:rPr>
            </w:pPr>
            <w:r>
              <w:rPr>
                <w:rFonts w:ascii="宋体" w:hAnsi="宋体" w:cs="宋体" w:eastAsia="宋体" w:hint="default"/>
                <w:spacing w:val="-1"/>
                <w:sz w:val="18"/>
                <w:szCs w:val="18"/>
              </w:rPr>
              <w:t>公司董事会换届选举离任。</w:t>
            </w:r>
          </w:p>
        </w:tc>
      </w:tr>
    </w:tbl>
    <w:p>
      <w:pPr>
        <w:spacing w:line="240" w:lineRule="auto" w:before="1"/>
        <w:rPr>
          <w:rFonts w:ascii="宋体" w:hAnsi="宋体" w:cs="宋体" w:eastAsia="宋体" w:hint="default"/>
          <w:sz w:val="18"/>
          <w:szCs w:val="18"/>
        </w:rPr>
      </w:pPr>
    </w:p>
    <w:p>
      <w:pPr>
        <w:pStyle w:val="Heading2"/>
        <w:spacing w:line="240" w:lineRule="auto" w:before="26"/>
        <w:ind w:right="0"/>
        <w:jc w:val="left"/>
        <w:rPr>
          <w:b w:val="0"/>
          <w:bCs w:val="0"/>
        </w:rPr>
      </w:pPr>
      <w:r>
        <w:rPr/>
        <w:t>三、任职情况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公司现任董事、监事、高级管理人员专业背景、主要工作经历以及目前在公司的主要职责</w:t>
      </w:r>
    </w:p>
    <w:p>
      <w:pPr>
        <w:pStyle w:val="BodyText"/>
        <w:spacing w:line="300" w:lineRule="auto" w:before="116"/>
        <w:ind w:right="1122"/>
        <w:jc w:val="left"/>
      </w:pPr>
      <w:r>
        <w:rPr/>
        <w:t>钱京先生：</w:t>
      </w:r>
      <w:r>
        <w:rPr>
          <w:rFonts w:ascii="Times New Roman" w:hAnsi="Times New Roman" w:cs="Times New Roman" w:eastAsia="Times New Roman" w:hint="default"/>
        </w:rPr>
        <w:t>1983</w:t>
      </w:r>
      <w:r>
        <w:rPr/>
        <w:t>年</w:t>
      </w:r>
      <w:r>
        <w:rPr>
          <w:rFonts w:ascii="Times New Roman" w:hAnsi="Times New Roman" w:cs="Times New Roman" w:eastAsia="Times New Roman" w:hint="default"/>
        </w:rPr>
        <w:t>8</w:t>
      </w:r>
      <w:r>
        <w:rPr/>
        <w:t>月出生，拥有英国利物浦大学（</w:t>
      </w:r>
      <w:r>
        <w:rPr>
          <w:rFonts w:ascii="Times New Roman" w:hAnsi="Times New Roman" w:cs="Times New Roman" w:eastAsia="Times New Roman" w:hint="default"/>
        </w:rPr>
        <w:t>University of Liverpool</w:t>
      </w:r>
      <w:r>
        <w:rPr/>
        <w:t>）法律硕士学位和英国华威大学（</w:t>
      </w:r>
      <w:r>
        <w:rPr>
          <w:rFonts w:ascii="Times New Roman" w:hAnsi="Times New Roman" w:cs="Times New Roman" w:eastAsia="Times New Roman" w:hint="default"/>
        </w:rPr>
        <w:t>University</w:t>
      </w:r>
      <w:r>
        <w:rPr>
          <w:rFonts w:ascii="Times New Roman" w:hAnsi="Times New Roman" w:cs="Times New Roman" w:eastAsia="Times New Roman" w:hint="default"/>
          <w:spacing w:val="-5"/>
        </w:rPr>
        <w:t> </w:t>
      </w:r>
      <w:r>
        <w:rPr>
          <w:rFonts w:ascii="Times New Roman" w:hAnsi="Times New Roman" w:cs="Times New Roman" w:eastAsia="Times New Roman" w:hint="default"/>
        </w:rPr>
        <w:t>of</w:t>
      </w:r>
      <w:r>
        <w:rPr>
          <w:rFonts w:ascii="Times New Roman" w:hAnsi="Times New Roman" w:cs="Times New Roman" w:eastAsia="Times New Roman" w:hint="default"/>
        </w:rPr>
        <w:t> </w:t>
      </w:r>
      <w:r>
        <w:rPr>
          <w:rFonts w:ascii="Times New Roman" w:hAnsi="Times New Roman" w:cs="Times New Roman" w:eastAsia="Times New Roman" w:hint="default"/>
          <w:spacing w:val="-1"/>
        </w:rPr>
        <w:t>Warwick</w:t>
      </w:r>
      <w:r>
        <w:rPr>
          <w:spacing w:val="-1"/>
        </w:rPr>
        <w:t>）会计与金融荣誉学士学位。</w:t>
      </w:r>
      <w:r>
        <w:rPr>
          <w:rFonts w:ascii="Times New Roman" w:hAnsi="Times New Roman" w:cs="Times New Roman" w:eastAsia="Times New Roman" w:hint="default"/>
          <w:spacing w:val="-1"/>
        </w:rPr>
        <w:t>2006</w:t>
      </w:r>
      <w:r>
        <w:rPr>
          <w:spacing w:val="-1"/>
        </w:rPr>
        <w:t>年</w:t>
      </w:r>
      <w:r>
        <w:rPr>
          <w:rFonts w:ascii="Times New Roman" w:hAnsi="Times New Roman" w:cs="Times New Roman" w:eastAsia="Times New Roman" w:hint="default"/>
          <w:spacing w:val="-1"/>
        </w:rPr>
        <w:t>9</w:t>
      </w:r>
      <w:r>
        <w:rPr>
          <w:spacing w:val="-1"/>
        </w:rPr>
        <w:t>月至</w:t>
      </w:r>
      <w:r>
        <w:rPr>
          <w:rFonts w:ascii="Times New Roman" w:hAnsi="Times New Roman" w:cs="Times New Roman" w:eastAsia="Times New Roman" w:hint="default"/>
          <w:spacing w:val="-1"/>
        </w:rPr>
        <w:t>2007</w:t>
      </w:r>
      <w:r>
        <w:rPr>
          <w:spacing w:val="-1"/>
        </w:rPr>
        <w:t>年</w:t>
      </w:r>
      <w:r>
        <w:rPr>
          <w:rFonts w:ascii="Times New Roman" w:hAnsi="Times New Roman" w:cs="Times New Roman" w:eastAsia="Times New Roman" w:hint="default"/>
          <w:spacing w:val="-1"/>
        </w:rPr>
        <w:t>12</w:t>
      </w:r>
      <w:r>
        <w:rPr>
          <w:spacing w:val="-1"/>
        </w:rPr>
        <w:t>月在普华永道会计师事务所任税务顾问；</w:t>
      </w:r>
      <w:r>
        <w:rPr>
          <w:rFonts w:ascii="Times New Roman" w:hAnsi="Times New Roman" w:cs="Times New Roman" w:eastAsia="Times New Roman" w:hint="default"/>
          <w:spacing w:val="-1"/>
        </w:rPr>
        <w:t>2008</w:t>
      </w:r>
      <w:r>
        <w:rPr>
          <w:spacing w:val="-1"/>
        </w:rPr>
        <w:t>年</w:t>
      </w:r>
      <w:r>
        <w:rPr>
          <w:rFonts w:ascii="Times New Roman" w:hAnsi="Times New Roman" w:cs="Times New Roman" w:eastAsia="Times New Roman" w:hint="default"/>
          <w:spacing w:val="-1"/>
        </w:rPr>
        <w:t>1</w:t>
      </w:r>
      <w:r>
        <w:rPr>
          <w:spacing w:val="-1"/>
        </w:rPr>
        <w:t>月至</w:t>
      </w:r>
      <w:r>
        <w:rPr>
          <w:rFonts w:ascii="Times New Roman" w:hAnsi="Times New Roman" w:cs="Times New Roman" w:eastAsia="Times New Roman" w:hint="default"/>
          <w:spacing w:val="-1"/>
        </w:rPr>
        <w:t>2009</w:t>
      </w:r>
      <w:r>
        <w:rPr>
          <w:spacing w:val="-1"/>
        </w:rPr>
        <w:t>年</w:t>
      </w:r>
      <w:r>
        <w:rPr>
          <w:rFonts w:ascii="Times New Roman" w:hAnsi="Times New Roman" w:cs="Times New Roman" w:eastAsia="Times New Roman" w:hint="default"/>
          <w:spacing w:val="-1"/>
        </w:rPr>
        <w:t>12 </w:t>
      </w:r>
      <w:r>
        <w:rPr/>
        <w:t>月在上海亚洲商务咨询有限公司任高级经理；</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1</w:t>
      </w:r>
      <w:r>
        <w:rPr/>
        <w:t>月至</w:t>
      </w:r>
      <w:r>
        <w:rPr>
          <w:rFonts w:ascii="Times New Roman" w:hAnsi="Times New Roman" w:cs="Times New Roman" w:eastAsia="Times New Roman" w:hint="default"/>
        </w:rPr>
        <w:t>2013</w:t>
      </w:r>
      <w:r>
        <w:rPr/>
        <w:t>年</w:t>
      </w:r>
      <w:r>
        <w:rPr>
          <w:rFonts w:ascii="Times New Roman" w:hAnsi="Times New Roman" w:cs="Times New Roman" w:eastAsia="Times New Roman" w:hint="default"/>
        </w:rPr>
        <w:t>5</w:t>
      </w:r>
      <w:r>
        <w:rPr/>
        <w:t>月在江苏恒神股份有限公司任董事长；</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5</w:t>
      </w:r>
      <w:r>
        <w:rPr/>
        <w:t>月起进入</w:t>
      </w:r>
      <w:r>
        <w:rPr>
          <w:w w:val="100"/>
        </w:rPr>
        <w:t> </w:t>
      </w:r>
      <w:r>
        <w:rPr/>
        <w:t>公司，先后担任公司企业管理部总经理、副总裁、总裁、董事会秘书。现任公司董事长。</w:t>
      </w:r>
    </w:p>
    <w:p>
      <w:pPr>
        <w:spacing w:line="240" w:lineRule="auto" w:before="0"/>
        <w:rPr>
          <w:rFonts w:ascii="宋体" w:hAnsi="宋体" w:cs="宋体" w:eastAsia="宋体" w:hint="default"/>
          <w:sz w:val="18"/>
          <w:szCs w:val="18"/>
        </w:rPr>
      </w:pPr>
    </w:p>
    <w:p>
      <w:pPr>
        <w:spacing w:line="240" w:lineRule="auto" w:before="5"/>
        <w:rPr>
          <w:rFonts w:ascii="宋体" w:hAnsi="宋体" w:cs="宋体" w:eastAsia="宋体" w:hint="default"/>
          <w:sz w:val="14"/>
          <w:szCs w:val="14"/>
        </w:rPr>
      </w:pPr>
    </w:p>
    <w:p>
      <w:pPr>
        <w:pStyle w:val="BodyText"/>
        <w:spacing w:line="240" w:lineRule="auto"/>
        <w:ind w:right="0"/>
        <w:jc w:val="left"/>
      </w:pPr>
      <w:r>
        <w:rPr/>
        <w:t>高强先生：</w:t>
      </w:r>
      <w:r>
        <w:rPr>
          <w:rFonts w:ascii="Times New Roman" w:hAnsi="Times New Roman" w:cs="Times New Roman" w:eastAsia="Times New Roman" w:hint="default"/>
        </w:rPr>
        <w:t>1970</w:t>
      </w:r>
      <w:r>
        <w:rPr/>
        <w:t>年</w:t>
      </w:r>
      <w:r>
        <w:rPr>
          <w:rFonts w:ascii="Times New Roman" w:hAnsi="Times New Roman" w:cs="Times New Roman" w:eastAsia="Times New Roman" w:hint="default"/>
        </w:rPr>
        <w:t>1</w:t>
      </w:r>
      <w:r>
        <w:rPr/>
        <w:t>月出生，大专学历，历任江苏赛博电子有限公司营销公司副总经理、市场部副部长；</w:t>
      </w:r>
      <w:r>
        <w:rPr>
          <w:rFonts w:ascii="Times New Roman" w:hAnsi="Times New Roman" w:cs="Times New Roman" w:eastAsia="Times New Roman" w:hint="default"/>
        </w:rPr>
        <w:t>2003</w:t>
      </w:r>
      <w:r>
        <w:rPr/>
        <w:t>年进入恒宝股</w:t>
      </w:r>
    </w:p>
    <w:p>
      <w:pPr>
        <w:spacing w:after="0" w:line="240" w:lineRule="auto"/>
        <w:jc w:val="left"/>
        <w:sectPr>
          <w:pgSz w:w="11910" w:h="16840"/>
          <w:pgMar w:header="906" w:footer="1018" w:top="1100" w:bottom="1200" w:left="1020" w:right="0"/>
        </w:sectPr>
      </w:pPr>
    </w:p>
    <w:p>
      <w:pPr>
        <w:spacing w:line="240" w:lineRule="auto" w:before="11"/>
        <w:rPr>
          <w:rFonts w:ascii="宋体" w:hAnsi="宋体" w:cs="宋体" w:eastAsia="宋体" w:hint="default"/>
          <w:sz w:val="22"/>
          <w:szCs w:val="22"/>
        </w:rPr>
      </w:pPr>
    </w:p>
    <w:p>
      <w:pPr>
        <w:pStyle w:val="BodyText"/>
        <w:spacing w:line="240" w:lineRule="auto" w:before="44"/>
        <w:ind w:right="0"/>
        <w:jc w:val="both"/>
      </w:pPr>
      <w:r>
        <w:rPr/>
        <w:t>份，先后担任公司营销中心总经理、通信事业部总经理、金融事业部总经理、销售总监。现任公司董事、副总裁。</w:t>
      </w: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14"/>
          <w:szCs w:val="14"/>
        </w:rPr>
      </w:pPr>
    </w:p>
    <w:p>
      <w:pPr>
        <w:pStyle w:val="BodyText"/>
        <w:spacing w:line="316" w:lineRule="auto"/>
        <w:ind w:right="1129"/>
        <w:jc w:val="both"/>
      </w:pPr>
      <w:r>
        <w:rPr>
          <w:spacing w:val="-2"/>
        </w:rPr>
        <w:t>徐霄凌女士：1978年6月出生，无境外永久居留权，毕业于英国南安普顿大学，硕士学历。2004年10月至2007年1月在普华永</w:t>
      </w:r>
      <w:r>
        <w:rPr>
          <w:spacing w:val="-50"/>
        </w:rPr>
        <w:t> </w:t>
      </w:r>
      <w:r>
        <w:rPr>
          <w:spacing w:val="-50"/>
        </w:rPr>
      </w:r>
      <w:r>
        <w:rPr>
          <w:spacing w:val="-2"/>
        </w:rPr>
        <w:t>道会计师事务所担任高级审计师；2007年1月至2012年9月，在英格索兰（中国）投资有限公司先后担任亚太区合规经理和亚</w:t>
      </w:r>
      <w:r>
        <w:rPr>
          <w:spacing w:val="-56"/>
        </w:rPr>
        <w:t> </w:t>
      </w:r>
      <w:r>
        <w:rPr>
          <w:spacing w:val="-56"/>
        </w:rPr>
      </w:r>
      <w:r>
        <w:rPr/>
        <w:t>太区财务经理；2012年10月至2019年8月，在安朗杰安防技术（中国）有限公司先后担任亚太区合规经理、中国区财务总监</w:t>
      </w:r>
      <w:r>
        <w:rPr>
          <w:spacing w:val="-85"/>
        </w:rPr>
        <w:t> </w:t>
      </w:r>
      <w:r>
        <w:rPr>
          <w:spacing w:val="-85"/>
        </w:rPr>
      </w:r>
      <w:r>
        <w:rPr/>
        <w:t>和监事会监事。</w:t>
      </w:r>
    </w:p>
    <w:p>
      <w:pPr>
        <w:spacing w:line="240" w:lineRule="auto" w:before="4"/>
        <w:rPr>
          <w:rFonts w:ascii="宋体" w:hAnsi="宋体" w:cs="宋体" w:eastAsia="宋体" w:hint="default"/>
          <w:sz w:val="25"/>
          <w:szCs w:val="25"/>
        </w:rPr>
      </w:pPr>
    </w:p>
    <w:p>
      <w:pPr>
        <w:pStyle w:val="BodyText"/>
        <w:spacing w:line="319" w:lineRule="auto"/>
        <w:ind w:right="1129"/>
        <w:jc w:val="both"/>
      </w:pPr>
      <w:r>
        <w:rPr>
          <w:spacing w:val="-2"/>
        </w:rPr>
        <w:t>陈妹妹女士：1986年2月出生，硕士研究生。2014年4月起就职本公司，先后担任公司证券事务并购部证券事务代表、流程和</w:t>
      </w:r>
      <w:r>
        <w:rPr>
          <w:spacing w:val="-57"/>
        </w:rPr>
        <w:t> </w:t>
      </w:r>
      <w:r>
        <w:rPr>
          <w:spacing w:val="-57"/>
        </w:rPr>
      </w:r>
      <w:r>
        <w:rPr/>
        <w:t>持续改进部高级经理。现任公司董事会秘书、副总裁。</w:t>
      </w:r>
    </w:p>
    <w:p>
      <w:pPr>
        <w:spacing w:line="240" w:lineRule="auto" w:before="2"/>
        <w:rPr>
          <w:rFonts w:ascii="宋体" w:hAnsi="宋体" w:cs="宋体" w:eastAsia="宋体" w:hint="default"/>
          <w:sz w:val="25"/>
          <w:szCs w:val="25"/>
        </w:rPr>
      </w:pPr>
    </w:p>
    <w:p>
      <w:pPr>
        <w:pStyle w:val="BodyText"/>
        <w:spacing w:line="300" w:lineRule="auto"/>
        <w:ind w:right="1032"/>
        <w:jc w:val="left"/>
      </w:pPr>
      <w:r>
        <w:rPr>
          <w:spacing w:val="-2"/>
        </w:rPr>
        <w:t>陆道如先生：</w:t>
      </w:r>
      <w:r>
        <w:rPr>
          <w:rFonts w:ascii="Times New Roman" w:hAnsi="Times New Roman" w:cs="Times New Roman" w:eastAsia="Times New Roman" w:hint="default"/>
          <w:spacing w:val="-2"/>
        </w:rPr>
        <w:t>1967</w:t>
      </w:r>
      <w:r>
        <w:rPr>
          <w:spacing w:val="-2"/>
        </w:rPr>
        <w:t>年</w:t>
      </w:r>
      <w:r>
        <w:rPr>
          <w:rFonts w:ascii="Times New Roman" w:hAnsi="Times New Roman" w:cs="Times New Roman" w:eastAsia="Times New Roman" w:hint="default"/>
          <w:spacing w:val="-2"/>
        </w:rPr>
        <w:t>12</w:t>
      </w:r>
      <w:r>
        <w:rPr>
          <w:spacing w:val="-2"/>
        </w:rPr>
        <w:t>月出生，毕业于北京大学，本科学历，</w:t>
      </w:r>
      <w:r>
        <w:rPr>
          <w:rFonts w:ascii="Times New Roman" w:hAnsi="Times New Roman" w:cs="Times New Roman" w:eastAsia="Times New Roman" w:hint="default"/>
          <w:spacing w:val="-2"/>
        </w:rPr>
        <w:t>1989</w:t>
      </w:r>
      <w:r>
        <w:rPr>
          <w:spacing w:val="-2"/>
        </w:rPr>
        <w:t>年</w:t>
      </w:r>
      <w:r>
        <w:rPr>
          <w:rFonts w:ascii="Times New Roman" w:hAnsi="Times New Roman" w:cs="Times New Roman" w:eastAsia="Times New Roman" w:hint="default"/>
          <w:spacing w:val="-2"/>
        </w:rPr>
        <w:t>8</w:t>
      </w:r>
      <w:r>
        <w:rPr>
          <w:spacing w:val="-2"/>
        </w:rPr>
        <w:t>月至</w:t>
      </w:r>
      <w:r>
        <w:rPr>
          <w:rFonts w:ascii="Times New Roman" w:hAnsi="Times New Roman" w:cs="Times New Roman" w:eastAsia="Times New Roman" w:hint="default"/>
          <w:spacing w:val="-2"/>
        </w:rPr>
        <w:t>1994</w:t>
      </w:r>
      <w:r>
        <w:rPr>
          <w:spacing w:val="-2"/>
        </w:rPr>
        <w:t>年</w:t>
      </w:r>
      <w:r>
        <w:rPr>
          <w:rFonts w:ascii="Times New Roman" w:hAnsi="Times New Roman" w:cs="Times New Roman" w:eastAsia="Times New Roman" w:hint="default"/>
          <w:spacing w:val="-2"/>
        </w:rPr>
        <w:t>7</w:t>
      </w:r>
      <w:r>
        <w:rPr>
          <w:spacing w:val="-2"/>
        </w:rPr>
        <w:t>月任中国原子能科学院助理研究员；</w:t>
      </w:r>
      <w:r>
        <w:rPr>
          <w:rFonts w:ascii="Times New Roman" w:hAnsi="Times New Roman" w:cs="Times New Roman" w:eastAsia="Times New Roman" w:hint="default"/>
          <w:spacing w:val="-2"/>
        </w:rPr>
        <w:t>1994</w:t>
      </w:r>
      <w:r>
        <w:rPr>
          <w:rFonts w:ascii="Times New Roman" w:hAnsi="Times New Roman" w:cs="Times New Roman" w:eastAsia="Times New Roman" w:hint="default"/>
        </w:rPr>
        <w:t> </w:t>
      </w:r>
      <w:r>
        <w:rPr/>
        <w:t>年</w:t>
      </w:r>
      <w:r>
        <w:rPr>
          <w:rFonts w:ascii="Times New Roman" w:hAnsi="Times New Roman" w:cs="Times New Roman" w:eastAsia="Times New Roman" w:hint="default"/>
        </w:rPr>
        <w:t>7</w:t>
      </w:r>
      <w:r>
        <w:rPr/>
        <w:t>月至</w:t>
      </w:r>
      <w:r>
        <w:rPr>
          <w:rFonts w:ascii="Times New Roman" w:hAnsi="Times New Roman" w:cs="Times New Roman" w:eastAsia="Times New Roman" w:hint="default"/>
        </w:rPr>
        <w:t>1995</w:t>
      </w:r>
      <w:r>
        <w:rPr/>
        <w:t>年</w:t>
      </w:r>
      <w:r>
        <w:rPr>
          <w:rFonts w:ascii="Times New Roman" w:hAnsi="Times New Roman" w:cs="Times New Roman" w:eastAsia="Times New Roman" w:hint="default"/>
        </w:rPr>
        <w:t>10</w:t>
      </w:r>
      <w:r>
        <w:rPr/>
        <w:t>月，任北京华海科技有限责任公司工程师；</w:t>
      </w:r>
      <w:r>
        <w:rPr>
          <w:rFonts w:ascii="Times New Roman" w:hAnsi="Times New Roman" w:cs="Times New Roman" w:eastAsia="Times New Roman" w:hint="default"/>
        </w:rPr>
        <w:t>1995</w:t>
      </w:r>
      <w:r>
        <w:rPr/>
        <w:t>年</w:t>
      </w:r>
      <w:r>
        <w:rPr>
          <w:rFonts w:ascii="Times New Roman" w:hAnsi="Times New Roman" w:cs="Times New Roman" w:eastAsia="Times New Roman" w:hint="default"/>
        </w:rPr>
        <w:t>10</w:t>
      </w:r>
      <w:r>
        <w:rPr/>
        <w:t>月至</w:t>
      </w:r>
      <w:r>
        <w:rPr>
          <w:rFonts w:ascii="Times New Roman" w:hAnsi="Times New Roman" w:cs="Times New Roman" w:eastAsia="Times New Roman" w:hint="default"/>
        </w:rPr>
        <w:t>1999</w:t>
      </w:r>
      <w:r>
        <w:rPr/>
        <w:t>年</w:t>
      </w:r>
      <w:r>
        <w:rPr>
          <w:rFonts w:ascii="Times New Roman" w:hAnsi="Times New Roman" w:cs="Times New Roman" w:eastAsia="Times New Roman" w:hint="default"/>
        </w:rPr>
        <w:t>3</w:t>
      </w:r>
      <w:r>
        <w:rPr/>
        <w:t>月，任安徽慧宁有限责任公司研发经理； </w:t>
      </w:r>
      <w:r>
        <w:rPr>
          <w:rFonts w:ascii="Times New Roman" w:hAnsi="Times New Roman" w:cs="Times New Roman" w:eastAsia="Times New Roman" w:hint="default"/>
        </w:rPr>
        <w:t>1999</w:t>
      </w:r>
      <w:r>
        <w:rPr/>
        <w:t>年</w:t>
      </w:r>
      <w:r>
        <w:rPr>
          <w:rFonts w:ascii="Times New Roman" w:hAnsi="Times New Roman" w:cs="Times New Roman" w:eastAsia="Times New Roman" w:hint="default"/>
        </w:rPr>
        <w:t>4</w:t>
      </w:r>
      <w:r>
        <w:rPr/>
        <w:t>月至</w:t>
      </w:r>
      <w:r>
        <w:rPr>
          <w:rFonts w:ascii="Times New Roman" w:hAnsi="Times New Roman" w:cs="Times New Roman" w:eastAsia="Times New Roman" w:hint="default"/>
        </w:rPr>
        <w:t>2000</w:t>
      </w:r>
      <w:r>
        <w:rPr/>
        <w:t>年</w:t>
      </w:r>
      <w:r>
        <w:rPr>
          <w:rFonts w:ascii="Times New Roman" w:hAnsi="Times New Roman" w:cs="Times New Roman" w:eastAsia="Times New Roman" w:hint="default"/>
        </w:rPr>
        <w:t>7</w:t>
      </w:r>
      <w:r>
        <w:rPr/>
        <w:t>月，任华旭金卡有限公司高级工程师；</w:t>
      </w:r>
      <w:r>
        <w:rPr>
          <w:rFonts w:ascii="Times New Roman" w:hAnsi="Times New Roman" w:cs="Times New Roman" w:eastAsia="Times New Roman" w:hint="default"/>
        </w:rPr>
        <w:t>2000</w:t>
      </w:r>
      <w:r>
        <w:rPr/>
        <w:t>年</w:t>
      </w:r>
      <w:r>
        <w:rPr>
          <w:rFonts w:ascii="Times New Roman" w:hAnsi="Times New Roman" w:cs="Times New Roman" w:eastAsia="Times New Roman" w:hint="default"/>
        </w:rPr>
        <w:t>7</w:t>
      </w:r>
      <w:r>
        <w:rPr/>
        <w:t>月至</w:t>
      </w:r>
      <w:r>
        <w:rPr>
          <w:rFonts w:ascii="Times New Roman" w:hAnsi="Times New Roman" w:cs="Times New Roman" w:eastAsia="Times New Roman" w:hint="default"/>
        </w:rPr>
        <w:t>2007</w:t>
      </w:r>
      <w:r>
        <w:rPr/>
        <w:t>年</w:t>
      </w:r>
      <w:r>
        <w:rPr>
          <w:rFonts w:ascii="Times New Roman" w:hAnsi="Times New Roman" w:cs="Times New Roman" w:eastAsia="Times New Roman" w:hint="default"/>
        </w:rPr>
        <w:t>11</w:t>
      </w:r>
      <w:r>
        <w:rPr/>
        <w:t>月，任法国金普斯</w:t>
      </w:r>
      <w:r>
        <w:rPr>
          <w:rFonts w:ascii="Times New Roman" w:hAnsi="Times New Roman" w:cs="Times New Roman" w:eastAsia="Times New Roman" w:hint="default"/>
        </w:rPr>
        <w:t>/</w:t>
      </w:r>
      <w:r>
        <w:rPr/>
        <w:t>金雅拓有限责任公司技 术专家、团队经理；</w:t>
      </w:r>
      <w:r>
        <w:rPr>
          <w:rFonts w:ascii="Times New Roman" w:hAnsi="Times New Roman" w:cs="Times New Roman" w:eastAsia="Times New Roman" w:hint="default"/>
        </w:rPr>
        <w:t>2007</w:t>
      </w:r>
      <w:r>
        <w:rPr/>
        <w:t>年</w:t>
      </w:r>
      <w:r>
        <w:rPr>
          <w:rFonts w:ascii="Times New Roman" w:hAnsi="Times New Roman" w:cs="Times New Roman" w:eastAsia="Times New Roman" w:hint="default"/>
        </w:rPr>
        <w:t>11</w:t>
      </w:r>
      <w:r>
        <w:rPr/>
        <w:t>月就职本公司，担任公司研发部部长，现任公司董事。</w:t>
      </w:r>
    </w:p>
    <w:p>
      <w:pPr>
        <w:spacing w:line="240" w:lineRule="auto" w:before="11"/>
        <w:rPr>
          <w:rFonts w:ascii="宋体" w:hAnsi="宋体" w:cs="宋体" w:eastAsia="宋体" w:hint="default"/>
          <w:sz w:val="24"/>
          <w:szCs w:val="24"/>
        </w:rPr>
      </w:pPr>
    </w:p>
    <w:p>
      <w:pPr>
        <w:pStyle w:val="BodyText"/>
        <w:spacing w:line="300" w:lineRule="auto"/>
        <w:ind w:right="0"/>
        <w:jc w:val="left"/>
      </w:pPr>
      <w:r>
        <w:rPr/>
        <w:t>胡兆凤女士：</w:t>
      </w:r>
      <w:r>
        <w:rPr>
          <w:rFonts w:ascii="Times New Roman" w:hAnsi="Times New Roman" w:cs="Times New Roman" w:eastAsia="Times New Roman" w:hint="default"/>
        </w:rPr>
        <w:t>1959</w:t>
      </w:r>
      <w:r>
        <w:rPr/>
        <w:t>年</w:t>
      </w:r>
      <w:r>
        <w:rPr>
          <w:rFonts w:ascii="Times New Roman" w:hAnsi="Times New Roman" w:cs="Times New Roman" w:eastAsia="Times New Roman" w:hint="default"/>
        </w:rPr>
        <w:t>8</w:t>
      </w:r>
      <w:r>
        <w:rPr/>
        <w:t>月出生，毕业于江苏省镇江市第一中学，</w:t>
      </w:r>
      <w:r>
        <w:rPr>
          <w:rFonts w:ascii="Times New Roman" w:hAnsi="Times New Roman" w:cs="Times New Roman" w:eastAsia="Times New Roman" w:hint="default"/>
        </w:rPr>
        <w:t>1976</w:t>
      </w:r>
      <w:r>
        <w:rPr/>
        <w:t>年</w:t>
      </w:r>
      <w:r>
        <w:rPr>
          <w:rFonts w:ascii="Times New Roman" w:hAnsi="Times New Roman" w:cs="Times New Roman" w:eastAsia="Times New Roman" w:hint="default"/>
        </w:rPr>
        <w:t>7</w:t>
      </w:r>
      <w:r>
        <w:rPr/>
        <w:t>月至</w:t>
      </w:r>
      <w:r>
        <w:rPr>
          <w:rFonts w:ascii="Times New Roman" w:hAnsi="Times New Roman" w:cs="Times New Roman" w:eastAsia="Times New Roman" w:hint="default"/>
        </w:rPr>
        <w:t>1980</w:t>
      </w:r>
      <w:r>
        <w:rPr/>
        <w:t>年</w:t>
      </w:r>
      <w:r>
        <w:rPr>
          <w:rFonts w:ascii="Times New Roman" w:hAnsi="Times New Roman" w:cs="Times New Roman" w:eastAsia="Times New Roman" w:hint="default"/>
        </w:rPr>
        <w:t>2</w:t>
      </w:r>
      <w:r>
        <w:rPr/>
        <w:t>月为镇江汝山长江大队第四生产队下放</w:t>
      </w:r>
      <w:r>
        <w:rPr>
          <w:spacing w:val="-86"/>
        </w:rPr>
        <w:t> </w:t>
      </w:r>
      <w:r>
        <w:rPr>
          <w:spacing w:val="-86"/>
        </w:rPr>
      </w:r>
      <w:r>
        <w:rPr>
          <w:spacing w:val="-2"/>
        </w:rPr>
        <w:t>知识青年；</w:t>
      </w:r>
      <w:r>
        <w:rPr>
          <w:rFonts w:ascii="Times New Roman" w:hAnsi="Times New Roman" w:cs="Times New Roman" w:eastAsia="Times New Roman" w:hint="default"/>
          <w:spacing w:val="-2"/>
        </w:rPr>
        <w:t>1980</w:t>
      </w:r>
      <w:r>
        <w:rPr>
          <w:spacing w:val="-2"/>
        </w:rPr>
        <w:t>年</w:t>
      </w:r>
      <w:r>
        <w:rPr>
          <w:rFonts w:ascii="Times New Roman" w:hAnsi="Times New Roman" w:cs="Times New Roman" w:eastAsia="Times New Roman" w:hint="default"/>
          <w:spacing w:val="-2"/>
        </w:rPr>
        <w:t>3</w:t>
      </w:r>
      <w:r>
        <w:rPr>
          <w:spacing w:val="-2"/>
        </w:rPr>
        <w:t>月至</w:t>
      </w:r>
      <w:r>
        <w:rPr>
          <w:rFonts w:ascii="Times New Roman" w:hAnsi="Times New Roman" w:cs="Times New Roman" w:eastAsia="Times New Roman" w:hint="default"/>
          <w:spacing w:val="-2"/>
        </w:rPr>
        <w:t>1996</w:t>
      </w:r>
      <w:r>
        <w:rPr>
          <w:spacing w:val="-2"/>
        </w:rPr>
        <w:t>年</w:t>
      </w:r>
      <w:r>
        <w:rPr>
          <w:rFonts w:ascii="Times New Roman" w:hAnsi="Times New Roman" w:cs="Times New Roman" w:eastAsia="Times New Roman" w:hint="default"/>
          <w:spacing w:val="-2"/>
        </w:rPr>
        <w:t>5</w:t>
      </w:r>
      <w:r>
        <w:rPr>
          <w:spacing w:val="-2"/>
        </w:rPr>
        <w:t>月为镇江前进印刷厂员工；</w:t>
      </w:r>
      <w:r>
        <w:rPr>
          <w:rFonts w:ascii="Times New Roman" w:hAnsi="Times New Roman" w:cs="Times New Roman" w:eastAsia="Times New Roman" w:hint="default"/>
          <w:spacing w:val="-2"/>
        </w:rPr>
        <w:t>1996</w:t>
      </w:r>
      <w:r>
        <w:rPr>
          <w:spacing w:val="-2"/>
        </w:rPr>
        <w:t>年</w:t>
      </w:r>
      <w:r>
        <w:rPr>
          <w:rFonts w:ascii="Times New Roman" w:hAnsi="Times New Roman" w:cs="Times New Roman" w:eastAsia="Times New Roman" w:hint="default"/>
          <w:spacing w:val="-2"/>
        </w:rPr>
        <w:t>6</w:t>
      </w:r>
      <w:r>
        <w:rPr>
          <w:spacing w:val="-2"/>
        </w:rPr>
        <w:t>月至</w:t>
      </w:r>
      <w:r>
        <w:rPr>
          <w:rFonts w:ascii="Times New Roman" w:hAnsi="Times New Roman" w:cs="Times New Roman" w:eastAsia="Times New Roman" w:hint="default"/>
          <w:spacing w:val="-2"/>
        </w:rPr>
        <w:t>2009</w:t>
      </w:r>
      <w:r>
        <w:rPr>
          <w:spacing w:val="-2"/>
        </w:rPr>
        <w:t>年</w:t>
      </w:r>
      <w:r>
        <w:rPr>
          <w:rFonts w:ascii="Times New Roman" w:hAnsi="Times New Roman" w:cs="Times New Roman" w:eastAsia="Times New Roman" w:hint="default"/>
          <w:spacing w:val="-2"/>
        </w:rPr>
        <w:t>8</w:t>
      </w:r>
      <w:r>
        <w:rPr>
          <w:spacing w:val="-2"/>
        </w:rPr>
        <w:t>月为镇江新世纪商场员工；</w:t>
      </w:r>
      <w:r>
        <w:rPr>
          <w:rFonts w:ascii="Times New Roman" w:hAnsi="Times New Roman" w:cs="Times New Roman" w:eastAsia="Times New Roman" w:hint="default"/>
          <w:spacing w:val="-2"/>
        </w:rPr>
        <w:t>2009</w:t>
      </w:r>
      <w:r>
        <w:rPr>
          <w:spacing w:val="-2"/>
        </w:rPr>
        <w:t>年</w:t>
      </w:r>
      <w:r>
        <w:rPr>
          <w:rFonts w:ascii="Times New Roman" w:hAnsi="Times New Roman" w:cs="Times New Roman" w:eastAsia="Times New Roman" w:hint="default"/>
          <w:spacing w:val="-2"/>
        </w:rPr>
        <w:t>9</w:t>
      </w:r>
      <w:r>
        <w:rPr>
          <w:spacing w:val="-2"/>
        </w:rPr>
        <w:t>月退休。</w:t>
      </w:r>
      <w:r>
        <w:rPr>
          <w:spacing w:val="-41"/>
        </w:rPr>
        <w:t> </w:t>
      </w:r>
      <w:r>
        <w:rPr/>
        <w:t>现任公司董事、总裁。</w:t>
      </w:r>
    </w:p>
    <w:p>
      <w:pPr>
        <w:spacing w:line="240" w:lineRule="auto" w:before="3"/>
        <w:rPr>
          <w:rFonts w:ascii="宋体" w:hAnsi="宋体" w:cs="宋体" w:eastAsia="宋体" w:hint="default"/>
          <w:sz w:val="26"/>
          <w:szCs w:val="26"/>
        </w:rPr>
      </w:pPr>
    </w:p>
    <w:p>
      <w:pPr>
        <w:pStyle w:val="BodyText"/>
        <w:spacing w:line="316" w:lineRule="auto"/>
        <w:ind w:right="1128"/>
        <w:jc w:val="both"/>
      </w:pPr>
      <w:r>
        <w:rPr>
          <w:spacing w:val="-2"/>
        </w:rPr>
        <w:t>钟迎九先生：1969年3月出生，毕业于东南大学，本科学历，高级工程师。1991年08月至1992年9月任丹阳棉纺织厂动力车间</w:t>
      </w:r>
      <w:r>
        <w:rPr>
          <w:spacing w:val="-48"/>
        </w:rPr>
        <w:t> </w:t>
      </w:r>
      <w:r>
        <w:rPr>
          <w:spacing w:val="-48"/>
        </w:rPr>
      </w:r>
      <w:r>
        <w:rPr/>
        <w:t>电气维修员；1992年9月至1998年12月，任丹棉濠江纺织有限公司机电技术员、轮班长、团总支书记；1999年1月至2004年7</w:t>
      </w:r>
      <w:r>
        <w:rPr/>
        <w:t> 月，任江苏丹棉集团有限公司企管办主任助理、运转厂长、党政办公室副主任。2004年7月进入本公司，先后担任公司综合</w:t>
      </w:r>
      <w:r>
        <w:rPr>
          <w:spacing w:val="-86"/>
        </w:rPr>
        <w:t> </w:t>
      </w:r>
      <w:r>
        <w:rPr>
          <w:spacing w:val="-86"/>
        </w:rPr>
      </w:r>
      <w:r>
        <w:rPr/>
        <w:t>事务部经理、生产中心副总经理、生产中心总经理、董事、副总裁、生产中心总监职务。现任公司董事。</w:t>
      </w:r>
    </w:p>
    <w:p>
      <w:pPr>
        <w:spacing w:line="240" w:lineRule="auto" w:before="4"/>
        <w:rPr>
          <w:rFonts w:ascii="宋体" w:hAnsi="宋体" w:cs="宋体" w:eastAsia="宋体" w:hint="default"/>
          <w:sz w:val="25"/>
          <w:szCs w:val="25"/>
        </w:rPr>
      </w:pPr>
    </w:p>
    <w:p>
      <w:pPr>
        <w:pStyle w:val="BodyText"/>
        <w:spacing w:line="300" w:lineRule="auto"/>
        <w:ind w:right="1128"/>
        <w:jc w:val="both"/>
      </w:pPr>
      <w:r>
        <w:rPr>
          <w:spacing w:val="-2"/>
        </w:rPr>
        <w:t>蒋小平先生：</w:t>
      </w:r>
      <w:r>
        <w:rPr>
          <w:rFonts w:ascii="Times New Roman" w:hAnsi="Times New Roman" w:cs="Times New Roman" w:eastAsia="Times New Roman" w:hint="default"/>
          <w:spacing w:val="-2"/>
        </w:rPr>
        <w:t>1973</w:t>
      </w:r>
      <w:r>
        <w:rPr>
          <w:spacing w:val="-2"/>
        </w:rPr>
        <w:t>年</w:t>
      </w:r>
      <w:r>
        <w:rPr>
          <w:rFonts w:ascii="Times New Roman" w:hAnsi="Times New Roman" w:cs="Times New Roman" w:eastAsia="Times New Roman" w:hint="default"/>
          <w:spacing w:val="-2"/>
        </w:rPr>
        <w:t>11</w:t>
      </w:r>
      <w:r>
        <w:rPr>
          <w:spacing w:val="-2"/>
        </w:rPr>
        <w:t>月</w:t>
      </w:r>
      <w:r>
        <w:rPr>
          <w:rFonts w:ascii="Times New Roman" w:hAnsi="Times New Roman" w:cs="Times New Roman" w:eastAsia="Times New Roman" w:hint="default"/>
          <w:spacing w:val="-2"/>
        </w:rPr>
        <w:t>29</w:t>
      </w:r>
      <w:r>
        <w:rPr>
          <w:spacing w:val="-2"/>
        </w:rPr>
        <w:t>日出生，大专学历，助理工程师职称。曾任江苏丹棉集团有限公司党政办副主任兼纪委干事。历</w:t>
      </w:r>
      <w:r>
        <w:rPr>
          <w:spacing w:val="-58"/>
        </w:rPr>
        <w:t> </w:t>
      </w:r>
      <w:r>
        <w:rPr>
          <w:spacing w:val="-58"/>
        </w:rPr>
      </w:r>
      <w:r>
        <w:rPr/>
        <w:t>任公司综合事务部经理兼人力资源丹阳分部经理，现任监事会主席。</w:t>
      </w:r>
    </w:p>
    <w:p>
      <w:pPr>
        <w:spacing w:line="240" w:lineRule="auto" w:before="3"/>
        <w:rPr>
          <w:rFonts w:ascii="宋体" w:hAnsi="宋体" w:cs="宋体" w:eastAsia="宋体" w:hint="default"/>
          <w:sz w:val="26"/>
          <w:szCs w:val="26"/>
        </w:rPr>
      </w:pPr>
    </w:p>
    <w:p>
      <w:pPr>
        <w:pStyle w:val="BodyText"/>
        <w:spacing w:line="300" w:lineRule="auto"/>
        <w:ind w:right="1131"/>
        <w:jc w:val="both"/>
      </w:pPr>
      <w:r>
        <w:rPr>
          <w:spacing w:val="-2"/>
        </w:rPr>
        <w:t>朱锦善先生：</w:t>
      </w:r>
      <w:r>
        <w:rPr>
          <w:rFonts w:ascii="Times New Roman" w:hAnsi="Times New Roman" w:cs="Times New Roman" w:eastAsia="Times New Roman" w:hint="default"/>
          <w:spacing w:val="-2"/>
        </w:rPr>
        <w:t>1964</w:t>
      </w:r>
      <w:r>
        <w:rPr>
          <w:spacing w:val="-2"/>
        </w:rPr>
        <w:t>年</w:t>
      </w:r>
      <w:r>
        <w:rPr>
          <w:rFonts w:ascii="Times New Roman" w:hAnsi="Times New Roman" w:cs="Times New Roman" w:eastAsia="Times New Roman" w:hint="default"/>
          <w:spacing w:val="-2"/>
        </w:rPr>
        <w:t>1</w:t>
      </w:r>
      <w:r>
        <w:rPr>
          <w:spacing w:val="-2"/>
        </w:rPr>
        <w:t>月</w:t>
      </w:r>
      <w:r>
        <w:rPr>
          <w:rFonts w:ascii="Times New Roman" w:hAnsi="Times New Roman" w:cs="Times New Roman" w:eastAsia="Times New Roman" w:hint="default"/>
          <w:spacing w:val="-2"/>
        </w:rPr>
        <w:t>21</w:t>
      </w:r>
      <w:r>
        <w:rPr>
          <w:spacing w:val="-2"/>
        </w:rPr>
        <w:t>日出生，大专学历，中共党员，助理政工师职称。</w:t>
      </w:r>
      <w:r>
        <w:rPr>
          <w:rFonts w:ascii="Times New Roman" w:hAnsi="Times New Roman" w:cs="Times New Roman" w:eastAsia="Times New Roman" w:hint="default"/>
          <w:spacing w:val="-2"/>
        </w:rPr>
        <w:t>1980</w:t>
      </w:r>
      <w:r>
        <w:rPr>
          <w:spacing w:val="-2"/>
        </w:rPr>
        <w:t>年</w:t>
      </w:r>
      <w:r>
        <w:rPr>
          <w:rFonts w:ascii="Times New Roman" w:hAnsi="Times New Roman" w:cs="Times New Roman" w:eastAsia="Times New Roman" w:hint="default"/>
          <w:spacing w:val="-2"/>
        </w:rPr>
        <w:t>12</w:t>
      </w:r>
      <w:r>
        <w:rPr>
          <w:spacing w:val="-2"/>
        </w:rPr>
        <w:t>月至</w:t>
      </w:r>
      <w:r>
        <w:rPr>
          <w:rFonts w:ascii="Times New Roman" w:hAnsi="Times New Roman" w:cs="Times New Roman" w:eastAsia="Times New Roman" w:hint="default"/>
          <w:spacing w:val="-2"/>
        </w:rPr>
        <w:t>2008</w:t>
      </w:r>
      <w:r>
        <w:rPr>
          <w:spacing w:val="-2"/>
        </w:rPr>
        <w:t>年</w:t>
      </w:r>
      <w:r>
        <w:rPr>
          <w:rFonts w:ascii="Times New Roman" w:hAnsi="Times New Roman" w:cs="Times New Roman" w:eastAsia="Times New Roman" w:hint="default"/>
          <w:spacing w:val="-2"/>
        </w:rPr>
        <w:t>1</w:t>
      </w:r>
      <w:r>
        <w:rPr>
          <w:spacing w:val="-2"/>
        </w:rPr>
        <w:t>月就职于镇江金河纸业有</w:t>
      </w:r>
      <w:r>
        <w:rPr>
          <w:spacing w:val="-48"/>
        </w:rPr>
        <w:t> </w:t>
      </w:r>
      <w:r>
        <w:rPr/>
        <w:t>限公司，曾任党委办公室副主任。现任公司监事。</w:t>
      </w:r>
    </w:p>
    <w:p>
      <w:pPr>
        <w:spacing w:line="240" w:lineRule="auto" w:before="3"/>
        <w:rPr>
          <w:rFonts w:ascii="宋体" w:hAnsi="宋体" w:cs="宋体" w:eastAsia="宋体" w:hint="default"/>
          <w:sz w:val="26"/>
          <w:szCs w:val="26"/>
        </w:rPr>
      </w:pPr>
    </w:p>
    <w:p>
      <w:pPr>
        <w:pStyle w:val="BodyText"/>
        <w:spacing w:line="240" w:lineRule="auto"/>
        <w:ind w:right="0"/>
        <w:jc w:val="both"/>
      </w:pPr>
      <w:r>
        <w:rPr/>
        <w:t>干玲女士：</w:t>
      </w:r>
      <w:r>
        <w:rPr>
          <w:rFonts w:ascii="Times New Roman" w:hAnsi="Times New Roman" w:cs="Times New Roman" w:eastAsia="Times New Roman" w:hint="default"/>
        </w:rPr>
        <w:t>1977</w:t>
      </w:r>
      <w:r>
        <w:rPr/>
        <w:t>年</w:t>
      </w:r>
      <w:r>
        <w:rPr>
          <w:rFonts w:ascii="Times New Roman" w:hAnsi="Times New Roman" w:cs="Times New Roman" w:eastAsia="Times New Roman" w:hint="default"/>
        </w:rPr>
        <w:t>8</w:t>
      </w:r>
      <w:r>
        <w:rPr/>
        <w:t>月出生，中专学历。</w:t>
      </w:r>
      <w:r>
        <w:rPr>
          <w:rFonts w:ascii="Times New Roman" w:hAnsi="Times New Roman" w:cs="Times New Roman" w:eastAsia="Times New Roman" w:hint="default"/>
        </w:rPr>
        <w:t>2004</w:t>
      </w:r>
      <w:r>
        <w:rPr/>
        <w:t>年</w:t>
      </w:r>
      <w:r>
        <w:rPr>
          <w:rFonts w:ascii="Times New Roman" w:hAnsi="Times New Roman" w:cs="Times New Roman" w:eastAsia="Times New Roman" w:hint="default"/>
        </w:rPr>
        <w:t>2</w:t>
      </w:r>
      <w:r>
        <w:rPr/>
        <w:t>月起就职本公司，担任公司接待主管一职。现任公司职工代表监事。</w:t>
      </w:r>
    </w:p>
    <w:p>
      <w:pPr>
        <w:spacing w:line="240" w:lineRule="auto" w:before="0"/>
        <w:rPr>
          <w:rFonts w:ascii="宋体" w:hAnsi="宋体" w:cs="宋体" w:eastAsia="宋体" w:hint="default"/>
          <w:sz w:val="18"/>
          <w:szCs w:val="18"/>
        </w:rPr>
      </w:pPr>
    </w:p>
    <w:p>
      <w:pPr>
        <w:pStyle w:val="BodyText"/>
        <w:spacing w:line="300" w:lineRule="auto" w:before="139"/>
        <w:ind w:right="1131"/>
        <w:jc w:val="both"/>
      </w:pPr>
      <w:r>
        <w:rPr/>
        <w:t>蔡正华先生：</w:t>
      </w:r>
      <w:r>
        <w:rPr>
          <w:rFonts w:ascii="Times New Roman" w:hAnsi="Times New Roman" w:cs="Times New Roman" w:eastAsia="Times New Roman" w:hint="default"/>
        </w:rPr>
        <w:t>1985</w:t>
      </w:r>
      <w:r>
        <w:rPr/>
        <w:t>年</w:t>
      </w:r>
      <w:r>
        <w:rPr>
          <w:rFonts w:ascii="Times New Roman" w:hAnsi="Times New Roman" w:cs="Times New Roman" w:eastAsia="Times New Roman" w:hint="default"/>
        </w:rPr>
        <w:t>3</w:t>
      </w:r>
      <w:r>
        <w:rPr/>
        <w:t>月出生，华东政法大学法学学士和硕士学位，律师。历任上海博和律师事务所、北京大成（上海）律 </w:t>
      </w:r>
      <w:r>
        <w:rPr>
          <w:spacing w:val="-2"/>
        </w:rPr>
        <w:t>师事务所、上海市太平洋律师事务所等上海知名律师事务所，</w:t>
      </w:r>
      <w:r>
        <w:rPr>
          <w:rFonts w:ascii="Times New Roman" w:hAnsi="Times New Roman" w:cs="Times New Roman" w:eastAsia="Times New Roman" w:hint="default"/>
          <w:spacing w:val="-2"/>
        </w:rPr>
        <w:t>2017</w:t>
      </w:r>
      <w:r>
        <w:rPr>
          <w:spacing w:val="-2"/>
        </w:rPr>
        <w:t>年加盟北京盈科（上海）律师事务所，现为北京盈科（上</w:t>
      </w:r>
      <w:r>
        <w:rPr>
          <w:spacing w:val="-62"/>
        </w:rPr>
        <w:t> </w:t>
      </w:r>
      <w:r>
        <w:rPr>
          <w:spacing w:val="-62"/>
        </w:rPr>
      </w:r>
      <w:r>
        <w:rPr/>
        <w:t>海）律师事务所高级合伙人，刑民交叉部主任。现任公司独立董事。</w:t>
      </w:r>
    </w:p>
    <w:p>
      <w:pPr>
        <w:spacing w:line="240" w:lineRule="auto" w:before="3"/>
        <w:rPr>
          <w:rFonts w:ascii="宋体" w:hAnsi="宋体" w:cs="宋体" w:eastAsia="宋体" w:hint="default"/>
          <w:sz w:val="26"/>
          <w:szCs w:val="26"/>
        </w:rPr>
      </w:pPr>
    </w:p>
    <w:p>
      <w:pPr>
        <w:pStyle w:val="BodyText"/>
        <w:spacing w:line="300" w:lineRule="auto"/>
        <w:ind w:right="1131"/>
        <w:jc w:val="both"/>
      </w:pPr>
      <w:r>
        <w:rPr>
          <w:spacing w:val="-2"/>
        </w:rPr>
        <w:t>陈雪娇女士：</w:t>
      </w:r>
      <w:r>
        <w:rPr>
          <w:rFonts w:ascii="Times New Roman" w:hAnsi="Times New Roman" w:cs="Times New Roman" w:eastAsia="Times New Roman" w:hint="default"/>
          <w:spacing w:val="-2"/>
        </w:rPr>
        <w:t>1983</w:t>
      </w:r>
      <w:r>
        <w:rPr>
          <w:spacing w:val="-2"/>
        </w:rPr>
        <w:t>年</w:t>
      </w:r>
      <w:r>
        <w:rPr>
          <w:rFonts w:ascii="Times New Roman" w:hAnsi="Times New Roman" w:cs="Times New Roman" w:eastAsia="Times New Roman" w:hint="default"/>
          <w:spacing w:val="-2"/>
        </w:rPr>
        <w:t>11</w:t>
      </w:r>
      <w:r>
        <w:rPr>
          <w:spacing w:val="-2"/>
        </w:rPr>
        <w:t>月出生，本科学历，律师。历任江苏石塔律师事务所律师助理、江苏王江南律师事务所律师。现任公</w:t>
      </w:r>
      <w:r>
        <w:rPr>
          <w:spacing w:val="-63"/>
        </w:rPr>
        <w:t> </w:t>
      </w:r>
      <w:r>
        <w:rPr>
          <w:spacing w:val="-63"/>
        </w:rPr>
      </w:r>
      <w:r>
        <w:rPr/>
        <w:t>司独立董事。</w:t>
      </w:r>
    </w:p>
    <w:p>
      <w:pPr>
        <w:spacing w:line="240" w:lineRule="auto" w:before="0"/>
        <w:rPr>
          <w:rFonts w:ascii="宋体" w:hAnsi="宋体" w:cs="宋体" w:eastAsia="宋体" w:hint="default"/>
          <w:sz w:val="18"/>
          <w:szCs w:val="18"/>
        </w:rPr>
      </w:pPr>
    </w:p>
    <w:p>
      <w:pPr>
        <w:spacing w:line="240" w:lineRule="auto" w:before="5"/>
        <w:rPr>
          <w:rFonts w:ascii="宋体" w:hAnsi="宋体" w:cs="宋体" w:eastAsia="宋体" w:hint="default"/>
          <w:sz w:val="14"/>
          <w:szCs w:val="14"/>
        </w:rPr>
      </w:pPr>
    </w:p>
    <w:p>
      <w:pPr>
        <w:pStyle w:val="BodyText"/>
        <w:spacing w:line="312" w:lineRule="auto"/>
        <w:ind w:right="1129"/>
        <w:jc w:val="both"/>
      </w:pPr>
      <w:r>
        <w:rPr>
          <w:spacing w:val="-2"/>
        </w:rPr>
        <w:t>丁虹女士：</w:t>
      </w:r>
      <w:r>
        <w:rPr>
          <w:rFonts w:ascii="Times New Roman" w:hAnsi="Times New Roman" w:cs="Times New Roman" w:eastAsia="Times New Roman" w:hint="default"/>
          <w:spacing w:val="-2"/>
        </w:rPr>
        <w:t>1976</w:t>
      </w:r>
      <w:r>
        <w:rPr>
          <w:spacing w:val="-2"/>
        </w:rPr>
        <w:t>年2月出生，无境外永久居留权，拥有复旦大学世界经济学学士学位和上海交通大学-法国马赛商学院工商管</w:t>
      </w:r>
      <w:r>
        <w:rPr>
          <w:spacing w:val="-59"/>
        </w:rPr>
        <w:t> </w:t>
      </w:r>
      <w:r>
        <w:rPr>
          <w:spacing w:val="-59"/>
        </w:rPr>
      </w:r>
      <w:r>
        <w:rPr>
          <w:spacing w:val="-2"/>
        </w:rPr>
        <w:t>理硕士学位，注册会计师。历任德勤会计师事务所高级审计师、上海新康电子有限公司高级财务分析与成本经理、英格索兰</w:t>
      </w:r>
      <w:r>
        <w:rPr>
          <w:spacing w:val="-67"/>
        </w:rPr>
        <w:t> </w:t>
      </w:r>
      <w:r>
        <w:rPr>
          <w:spacing w:val="-67"/>
        </w:rPr>
      </w:r>
      <w:r>
        <w:rPr>
          <w:spacing w:val="-2"/>
        </w:rPr>
        <w:t>工业技术有限公司财务与业务流程经理、上海新康电子有限公司财务经理。现任威世电子上海区财务总监。现任公司独立董</w:t>
      </w:r>
      <w:r>
        <w:rPr>
          <w:spacing w:val="-67"/>
        </w:rPr>
        <w:t> </w:t>
      </w:r>
      <w:r>
        <w:rPr>
          <w:spacing w:val="-67"/>
        </w:rPr>
      </w:r>
      <w:r>
        <w:rPr/>
        <w:t>事。</w:t>
      </w:r>
    </w:p>
    <w:p>
      <w:pPr>
        <w:spacing w:after="0" w:line="312" w:lineRule="auto"/>
        <w:jc w:val="both"/>
        <w:sectPr>
          <w:pgSz w:w="11910" w:h="16840"/>
          <w:pgMar w:header="906" w:footer="1018" w:top="1100" w:bottom="1200" w:left="1020" w:right="0"/>
        </w:sectPr>
      </w:pPr>
    </w:p>
    <w:p>
      <w:pPr>
        <w:spacing w:line="240" w:lineRule="auto" w:before="11"/>
        <w:rPr>
          <w:rFonts w:ascii="宋体" w:hAnsi="宋体" w:cs="宋体" w:eastAsia="宋体" w:hint="default"/>
          <w:sz w:val="22"/>
          <w:szCs w:val="22"/>
        </w:rPr>
      </w:pPr>
    </w:p>
    <w:p>
      <w:pPr>
        <w:pStyle w:val="BodyText"/>
        <w:spacing w:line="240" w:lineRule="auto" w:before="44"/>
        <w:ind w:right="0"/>
        <w:jc w:val="left"/>
      </w:pPr>
      <w:r>
        <w:rPr/>
        <w:t>在股东单位任职情况</w:t>
      </w:r>
    </w:p>
    <w:p>
      <w:pPr>
        <w:pStyle w:val="BodyText"/>
        <w:spacing w:line="360" w:lineRule="auto" w:before="116"/>
        <w:ind w:right="9132"/>
        <w:jc w:val="left"/>
      </w:pPr>
      <w:r>
        <w:rPr/>
        <w:t>□ 适用 √ 不适用 在其他单位任职情况</w:t>
      </w:r>
    </w:p>
    <w:p>
      <w:pPr>
        <w:pStyle w:val="BodyText"/>
        <w:spacing w:line="357" w:lineRule="auto" w:before="26"/>
        <w:ind w:right="4092"/>
        <w:jc w:val="left"/>
      </w:pPr>
      <w:r>
        <w:rPr/>
        <w:t>□ 适用 √ 不适用 公司现任及报告期内离任董事、监事和高级管理人员近三年证券监管机构处罚的情况</w:t>
      </w:r>
    </w:p>
    <w:p>
      <w:pPr>
        <w:pStyle w:val="BodyText"/>
        <w:spacing w:line="240" w:lineRule="auto" w:before="28"/>
        <w:ind w:right="0"/>
        <w:jc w:val="left"/>
      </w:pPr>
      <w:r>
        <w:rPr/>
        <w:t>□ 适用 √ 不适用</w:t>
      </w:r>
    </w:p>
    <w:p>
      <w:pPr>
        <w:spacing w:line="240" w:lineRule="auto" w:before="1"/>
        <w:rPr>
          <w:rFonts w:ascii="宋体" w:hAnsi="宋体" w:cs="宋体" w:eastAsia="宋体" w:hint="default"/>
          <w:sz w:val="25"/>
          <w:szCs w:val="25"/>
        </w:rPr>
      </w:pPr>
    </w:p>
    <w:p>
      <w:pPr>
        <w:pStyle w:val="Heading2"/>
        <w:spacing w:line="240" w:lineRule="auto"/>
        <w:ind w:right="0"/>
        <w:jc w:val="left"/>
        <w:rPr>
          <w:b w:val="0"/>
          <w:bCs w:val="0"/>
        </w:rPr>
      </w:pPr>
      <w:r>
        <w:rPr/>
        <w:t>四、董事、监事、高级管理人员报酬情况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董事、监事、高级管理人员报酬的决策程序、确定依据、实际支付情况</w:t>
      </w:r>
    </w:p>
    <w:p>
      <w:pPr>
        <w:pStyle w:val="BodyText"/>
        <w:spacing w:line="307" w:lineRule="auto" w:before="116"/>
        <w:ind w:right="0" w:firstLine="90"/>
        <w:jc w:val="left"/>
      </w:pPr>
      <w:r>
        <w:rPr>
          <w:rFonts w:ascii="Times New Roman" w:hAnsi="Times New Roman" w:cs="Times New Roman" w:eastAsia="Times New Roman" w:hint="default"/>
          <w:spacing w:val="-2"/>
        </w:rPr>
        <w:t>1</w:t>
      </w:r>
      <w:r>
        <w:rPr>
          <w:spacing w:val="-2"/>
        </w:rPr>
        <w:t>、董事、监事、高级管理人员报酬的决策程序：公司独立董事津贴发放标准由董事会提出，股东大会审议通过后实施；高</w:t>
      </w:r>
      <w:r>
        <w:rPr/>
        <w:t> 级管理人员薪酬方案由董事会薪酬与考核委员会提出，董事会审议通过后实施。 </w:t>
      </w:r>
      <w:r>
        <w:rPr>
          <w:rFonts w:ascii="Times New Roman" w:hAnsi="Times New Roman" w:cs="Times New Roman" w:eastAsia="Times New Roman" w:hint="default"/>
          <w:spacing w:val="-2"/>
        </w:rPr>
        <w:t>2</w:t>
      </w:r>
      <w:r>
        <w:rPr>
          <w:spacing w:val="-2"/>
        </w:rPr>
        <w:t>、董事、监事、高级管理人员报酬确定依据：董事会按照工作绩效、职责履行、业务能力以及公司经营业绩确定总裁、副</w:t>
      </w:r>
      <w:r>
        <w:rPr>
          <w:spacing w:val="-68"/>
        </w:rPr>
        <w:t> </w:t>
      </w:r>
      <w:r>
        <w:rPr>
          <w:spacing w:val="-68"/>
        </w:rPr>
      </w:r>
      <w:r>
        <w:rPr/>
        <w:t>总裁、财务总监和董事会秘书的薪酬标准。</w:t>
      </w:r>
    </w:p>
    <w:p>
      <w:pPr>
        <w:pStyle w:val="BodyText"/>
        <w:spacing w:line="240" w:lineRule="auto" w:before="66"/>
        <w:ind w:right="0"/>
        <w:jc w:val="left"/>
      </w:pPr>
      <w:r>
        <w:rPr/>
        <w:t>公司报告期内董事、监事和高级管理人员报酬情况</w:t>
      </w:r>
    </w:p>
    <w:p>
      <w:pPr>
        <w:pStyle w:val="BodyText"/>
        <w:spacing w:line="240" w:lineRule="auto" w:before="116"/>
        <w:ind w:left="0" w:right="1132"/>
        <w:jc w:val="right"/>
      </w:pPr>
      <w:r>
        <w:rPr>
          <w:spacing w:val="-1"/>
        </w:rPr>
        <w:t>单位：万元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9"/>
        <w:gridCol w:w="1367"/>
        <w:gridCol w:w="1367"/>
        <w:gridCol w:w="1367"/>
        <w:gridCol w:w="1367"/>
        <w:gridCol w:w="1367"/>
        <w:gridCol w:w="1367"/>
      </w:tblGrid>
      <w:tr>
        <w:trPr>
          <w:trHeight w:val="714" w:hRule="exact"/>
        </w:trPr>
        <w:tc>
          <w:tcPr>
            <w:tcW w:w="136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姓名</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职务</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性别</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年龄</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318" w:right="0"/>
              <w:jc w:val="left"/>
              <w:rPr>
                <w:rFonts w:ascii="宋体" w:hAnsi="宋体" w:cs="宋体" w:eastAsia="宋体" w:hint="default"/>
                <w:sz w:val="18"/>
                <w:szCs w:val="18"/>
              </w:rPr>
            </w:pPr>
            <w:r>
              <w:rPr>
                <w:rFonts w:ascii="宋体" w:hAnsi="宋体" w:cs="宋体" w:eastAsia="宋体" w:hint="default"/>
                <w:sz w:val="18"/>
                <w:szCs w:val="18"/>
              </w:rPr>
              <w:t>任职状态</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0"/>
              <w:ind w:left="138" w:right="137"/>
              <w:jc w:val="left"/>
              <w:rPr>
                <w:rFonts w:ascii="宋体" w:hAnsi="宋体" w:cs="宋体" w:eastAsia="宋体" w:hint="default"/>
                <w:sz w:val="18"/>
                <w:szCs w:val="18"/>
              </w:rPr>
            </w:pPr>
            <w:r>
              <w:rPr>
                <w:rFonts w:ascii="宋体" w:hAnsi="宋体" w:cs="宋体" w:eastAsia="宋体" w:hint="default"/>
                <w:sz w:val="18"/>
                <w:szCs w:val="18"/>
              </w:rPr>
              <w:t>从公司获得的 税前报酬总额</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0"/>
              <w:ind w:left="138" w:right="137"/>
              <w:jc w:val="left"/>
              <w:rPr>
                <w:rFonts w:ascii="宋体" w:hAnsi="宋体" w:cs="宋体" w:eastAsia="宋体" w:hint="default"/>
                <w:sz w:val="18"/>
                <w:szCs w:val="18"/>
              </w:rPr>
            </w:pPr>
            <w:r>
              <w:rPr>
                <w:rFonts w:ascii="宋体" w:hAnsi="宋体" w:cs="宋体" w:eastAsia="宋体" w:hint="default"/>
                <w:sz w:val="18"/>
                <w:szCs w:val="18"/>
              </w:rPr>
              <w:t>是否在公司关 联方获取报酬</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钱京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董事长，总裁</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56.06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高强</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董事，副总裁</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64.56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徐霄凌</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董事，副总裁</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陈妹妹</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3" w:right="173"/>
              <w:jc w:val="left"/>
              <w:rPr>
                <w:rFonts w:ascii="宋体" w:hAnsi="宋体" w:cs="宋体" w:eastAsia="宋体" w:hint="default"/>
                <w:sz w:val="18"/>
                <w:szCs w:val="18"/>
              </w:rPr>
            </w:pPr>
            <w:r>
              <w:rPr>
                <w:rFonts w:ascii="宋体" w:hAnsi="宋体" w:cs="宋体" w:eastAsia="宋体" w:hint="default"/>
                <w:sz w:val="18"/>
                <w:szCs w:val="18"/>
              </w:rPr>
              <w:t>董事会秘书， 副总裁</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21.62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钟迎九</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28.62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陆道如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2"/>
                <w:sz w:val="18"/>
              </w:rPr>
              <w:t>112.26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胡兆凤</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12.06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蔡正华</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5.36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丁虹</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0.17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陈雪娇</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1.79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蒋小平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监事会主席</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27.63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朱锦善</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7.39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干玲</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9.33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赵长健</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董事，副总裁</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37.5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王晓瑞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3.63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岳修峰</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5.18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434.16</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50"/>
        <w:ind w:right="0"/>
        <w:jc w:val="left"/>
      </w:pPr>
      <w:r>
        <w:rPr/>
        <w:t>公司董事、高级管理人员报告期内被授予的股权激励情况</w:t>
      </w:r>
    </w:p>
    <w:p>
      <w:pPr>
        <w:pStyle w:val="BodyText"/>
        <w:spacing w:line="240" w:lineRule="auto" w:before="116"/>
        <w:ind w:right="0"/>
        <w:jc w:val="left"/>
      </w:pPr>
      <w:r>
        <w:rPr/>
        <w:t>□ 适用 √ 不适用</w:t>
      </w:r>
    </w:p>
    <w:p>
      <w:pPr>
        <w:spacing w:after="0" w:line="240" w:lineRule="auto"/>
        <w:jc w:val="left"/>
        <w:sectPr>
          <w:pgSz w:w="11910" w:h="16840"/>
          <w:pgMar w:header="906" w:footer="1018" w:top="1100" w:bottom="1200" w:left="1020" w:right="0"/>
        </w:sectPr>
      </w:pPr>
    </w:p>
    <w:p>
      <w:pPr>
        <w:spacing w:line="240" w:lineRule="auto" w:before="8"/>
        <w:rPr>
          <w:rFonts w:ascii="宋体" w:hAnsi="宋体" w:cs="宋体" w:eastAsia="宋体" w:hint="default"/>
          <w:sz w:val="20"/>
          <w:szCs w:val="20"/>
        </w:rPr>
      </w:pPr>
    </w:p>
    <w:p>
      <w:pPr>
        <w:pStyle w:val="Heading2"/>
        <w:spacing w:line="240" w:lineRule="auto" w:before="26"/>
        <w:ind w:right="0"/>
        <w:jc w:val="left"/>
        <w:rPr>
          <w:b w:val="0"/>
          <w:bCs w:val="0"/>
        </w:rPr>
      </w:pPr>
      <w:r>
        <w:rPr/>
        <w:t>五、公司员工情况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r>
        <w:rPr>
          <w:rFonts w:ascii="Times New Roman" w:hAnsi="Times New Roman" w:cs="Times New Roman" w:eastAsia="Times New Roman" w:hint="default"/>
        </w:rPr>
        <w:t>1</w:t>
      </w:r>
      <w:r>
        <w:rPr/>
        <w:t>、员工数量、专业构成及教育程度</w:t>
      </w:r>
      <w:r>
        <w:rPr>
          <w:b w:val="0"/>
          <w:bCs w:val="0"/>
        </w:rPr>
      </w:r>
    </w:p>
    <w:p>
      <w:pPr>
        <w:spacing w:line="240" w:lineRule="auto" w:before="10"/>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4784"/>
        <w:gridCol w:w="4784"/>
      </w:tblGrid>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母公司在职员工的数量（人）</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1,186</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主要子公司在职员工的数量（人）</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191</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在职员工的数量合计（人）</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1,377</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当期领取薪酬员工总人数（人）</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1,377</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母公司及主要子公司需承担费用的离退休职工人数（人）</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9568"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专业构成</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专业构成类别</w:t>
            </w:r>
          </w:p>
        </w:tc>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576" w:right="0"/>
              <w:jc w:val="left"/>
              <w:rPr>
                <w:rFonts w:ascii="宋体" w:hAnsi="宋体" w:cs="宋体" w:eastAsia="宋体" w:hint="default"/>
                <w:sz w:val="18"/>
                <w:szCs w:val="18"/>
              </w:rPr>
            </w:pPr>
            <w:r>
              <w:rPr>
                <w:rFonts w:ascii="宋体" w:hAnsi="宋体" w:cs="宋体" w:eastAsia="宋体" w:hint="default"/>
                <w:sz w:val="18"/>
                <w:szCs w:val="18"/>
              </w:rPr>
              <w:t>专业构成人数（人）</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生产人员</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565</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销售人员</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156</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技术人员</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488</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财务人员</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22</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行政人员</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146</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1,377</w:t>
            </w:r>
          </w:p>
        </w:tc>
      </w:tr>
      <w:tr>
        <w:trPr>
          <w:trHeight w:val="401" w:hRule="exact"/>
        </w:trPr>
        <w:tc>
          <w:tcPr>
            <w:tcW w:w="9568"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教育程度</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教育程度类别</w:t>
            </w:r>
          </w:p>
        </w:tc>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数量（人）</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研究生及以上</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72</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本科</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389</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大专</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273</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643</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1,377</w:t>
            </w:r>
          </w:p>
        </w:tc>
      </w:tr>
    </w:tbl>
    <w:p>
      <w:pPr>
        <w:spacing w:line="240" w:lineRule="auto" w:before="1"/>
        <w:rPr>
          <w:rFonts w:ascii="宋体" w:hAnsi="宋体" w:cs="宋体" w:eastAsia="宋体" w:hint="default"/>
          <w:b/>
          <w:bCs/>
          <w:sz w:val="19"/>
          <w:szCs w:val="19"/>
        </w:rPr>
      </w:pPr>
    </w:p>
    <w:p>
      <w:pPr>
        <w:pStyle w:val="Heading3"/>
        <w:spacing w:line="240" w:lineRule="auto" w:before="35"/>
        <w:ind w:right="0"/>
        <w:jc w:val="left"/>
        <w:rPr>
          <w:b w:val="0"/>
          <w:bCs w:val="0"/>
        </w:rPr>
      </w:pPr>
      <w:r>
        <w:rPr>
          <w:rFonts w:ascii="Times New Roman" w:hAnsi="Times New Roman" w:cs="Times New Roman" w:eastAsia="Times New Roman" w:hint="default"/>
        </w:rPr>
        <w:t>2</w:t>
      </w:r>
      <w:r>
        <w:rPr/>
        <w:t>、薪酬政策</w:t>
      </w:r>
      <w:r>
        <w:rPr>
          <w:b w:val="0"/>
          <w:bCs w:val="0"/>
        </w:rPr>
      </w:r>
    </w:p>
    <w:p>
      <w:pPr>
        <w:spacing w:line="240" w:lineRule="auto" w:before="6"/>
        <w:rPr>
          <w:rFonts w:ascii="宋体" w:hAnsi="宋体" w:cs="宋体" w:eastAsia="宋体" w:hint="default"/>
          <w:b/>
          <w:bCs/>
          <w:sz w:val="26"/>
          <w:szCs w:val="26"/>
        </w:rPr>
      </w:pPr>
    </w:p>
    <w:p>
      <w:pPr>
        <w:pStyle w:val="BodyText"/>
        <w:spacing w:line="300" w:lineRule="auto"/>
        <w:ind w:right="1128"/>
        <w:jc w:val="left"/>
      </w:pPr>
      <w:r>
        <w:rPr>
          <w:spacing w:val="-1"/>
        </w:rPr>
        <w:t>公司持续履行了</w:t>
      </w:r>
      <w:r>
        <w:rPr>
          <w:rFonts w:ascii="Times New Roman" w:hAnsi="Times New Roman" w:cs="Times New Roman" w:eastAsia="Times New Roman" w:hint="default"/>
          <w:spacing w:val="-1"/>
        </w:rPr>
        <w:t>“</w:t>
      </w:r>
      <w:r>
        <w:rPr>
          <w:spacing w:val="-1"/>
        </w:rPr>
        <w:t>对内具有公平性，对外具有竞争力</w:t>
      </w:r>
      <w:r>
        <w:rPr>
          <w:rFonts w:ascii="Times New Roman" w:hAnsi="Times New Roman" w:cs="Times New Roman" w:eastAsia="Times New Roman" w:hint="default"/>
          <w:spacing w:val="-1"/>
        </w:rPr>
        <w:t>”</w:t>
      </w:r>
      <w:r>
        <w:rPr>
          <w:spacing w:val="-1"/>
        </w:rPr>
        <w:t>的薪酬体系，遵循</w:t>
      </w:r>
      <w:r>
        <w:rPr>
          <w:rFonts w:ascii="Times New Roman" w:hAnsi="Times New Roman" w:cs="Times New Roman" w:eastAsia="Times New Roman" w:hint="default"/>
          <w:spacing w:val="-1"/>
        </w:rPr>
        <w:t>“</w:t>
      </w:r>
      <w:r>
        <w:rPr>
          <w:spacing w:val="-1"/>
        </w:rPr>
        <w:t>按劳分配、效率优先、兼顾公平及可持续发展</w:t>
      </w:r>
      <w:r>
        <w:rPr>
          <w:rFonts w:ascii="Times New Roman" w:hAnsi="Times New Roman" w:cs="Times New Roman" w:eastAsia="Times New Roman" w:hint="default"/>
          <w:spacing w:val="-1"/>
        </w:rPr>
        <w:t>”</w:t>
      </w:r>
      <w:r>
        <w:rPr>
          <w:spacing w:val="-1"/>
        </w:rPr>
        <w:t>的分</w:t>
      </w:r>
      <w:r>
        <w:rPr>
          <w:spacing w:val="-80"/>
        </w:rPr>
        <w:t> </w:t>
      </w:r>
      <w:r>
        <w:rPr/>
        <w:t>配原则，采取</w:t>
      </w:r>
      <w:r>
        <w:rPr>
          <w:rFonts w:ascii="Times New Roman" w:hAnsi="Times New Roman" w:cs="Times New Roman" w:eastAsia="Times New Roman" w:hint="default"/>
        </w:rPr>
        <w:t>“</w:t>
      </w:r>
      <w:r>
        <w:rPr/>
        <w:t>以能定级、以岗定薪、以绩定奖</w:t>
      </w:r>
      <w:r>
        <w:rPr>
          <w:rFonts w:ascii="Times New Roman" w:hAnsi="Times New Roman" w:cs="Times New Roman" w:eastAsia="Times New Roman" w:hint="default"/>
        </w:rPr>
        <w:t>”</w:t>
      </w:r>
      <w:r>
        <w:rPr/>
        <w:t>的分配形式，合理拉开收入差距。</w:t>
      </w:r>
    </w:p>
    <w:p>
      <w:pPr>
        <w:spacing w:line="240" w:lineRule="auto" w:before="1"/>
        <w:rPr>
          <w:rFonts w:ascii="宋体" w:hAnsi="宋体" w:cs="宋体" w:eastAsia="宋体" w:hint="default"/>
          <w:sz w:val="22"/>
          <w:szCs w:val="22"/>
        </w:rPr>
      </w:pPr>
    </w:p>
    <w:p>
      <w:pPr>
        <w:pStyle w:val="Heading3"/>
        <w:spacing w:line="240" w:lineRule="auto"/>
        <w:ind w:right="0"/>
        <w:jc w:val="left"/>
        <w:rPr>
          <w:b w:val="0"/>
          <w:bCs w:val="0"/>
        </w:rPr>
      </w:pPr>
      <w:r>
        <w:rPr>
          <w:rFonts w:ascii="Times New Roman" w:hAnsi="Times New Roman" w:cs="Times New Roman" w:eastAsia="Times New Roman" w:hint="default"/>
        </w:rPr>
        <w:t>3</w:t>
      </w:r>
      <w:r>
        <w:rPr/>
        <w:t>、培训计划</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2019年公司重点针对对各类岗位开展技能提升类培训及思维创新类培训。</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4</w:t>
      </w:r>
      <w:r>
        <w:rPr/>
        <w:t>、劳务外包情况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 适用 √ 不适用</w:t>
      </w:r>
    </w:p>
    <w:p>
      <w:pPr>
        <w:spacing w:after="0" w:line="240" w:lineRule="auto"/>
        <w:jc w:val="left"/>
        <w:sectPr>
          <w:pgSz w:w="11910" w:h="16840"/>
          <w:pgMar w:header="906" w:footer="1018" w:top="1100" w:bottom="1200" w:left="10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7"/>
          <w:szCs w:val="17"/>
        </w:rPr>
      </w:pPr>
    </w:p>
    <w:p>
      <w:pPr>
        <w:pStyle w:val="Heading1"/>
        <w:spacing w:line="240" w:lineRule="auto"/>
        <w:ind w:right="1018"/>
        <w:jc w:val="center"/>
        <w:rPr>
          <w:b w:val="0"/>
          <w:bCs w:val="0"/>
        </w:rPr>
      </w:pPr>
      <w:bookmarkStart w:name="_TOC_250003" w:id="10"/>
      <w:r>
        <w:rPr/>
        <w:t>第十节公司治理</w:t>
      </w:r>
      <w:bookmarkEnd w:id="10"/>
      <w:r>
        <w:rPr>
          <w:b w:val="0"/>
          <w:bCs w:val="0"/>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6"/>
          <w:szCs w:val="16"/>
        </w:rPr>
      </w:pPr>
    </w:p>
    <w:p>
      <w:pPr>
        <w:pStyle w:val="Heading2"/>
        <w:spacing w:line="240" w:lineRule="auto" w:before="26"/>
        <w:ind w:right="0"/>
        <w:jc w:val="both"/>
        <w:rPr>
          <w:b w:val="0"/>
          <w:bCs w:val="0"/>
        </w:rPr>
      </w:pPr>
      <w:r>
        <w:rPr/>
        <w:t>一、公司治理的基本状况</w:t>
      </w:r>
      <w:r>
        <w:rPr>
          <w:b w:val="0"/>
          <w:bCs w:val="0"/>
        </w:rPr>
      </w:r>
    </w:p>
    <w:p>
      <w:pPr>
        <w:spacing w:line="240" w:lineRule="auto" w:before="7"/>
        <w:rPr>
          <w:rFonts w:ascii="宋体" w:hAnsi="宋体" w:cs="宋体" w:eastAsia="宋体" w:hint="default"/>
          <w:b/>
          <w:bCs/>
          <w:sz w:val="26"/>
          <w:szCs w:val="26"/>
        </w:rPr>
      </w:pPr>
    </w:p>
    <w:p>
      <w:pPr>
        <w:pStyle w:val="BodyText"/>
        <w:spacing w:line="316" w:lineRule="auto"/>
        <w:ind w:right="1131" w:firstLine="479"/>
        <w:jc w:val="both"/>
      </w:pPr>
      <w:r>
        <w:rPr>
          <w:spacing w:val="-11"/>
        </w:rPr>
        <w:t>报告期内，公司严格按照《公司法》、《证券法》、《上市公司治理准则》、《深圳证券交易所股票上市规则》和中国证监</w:t>
      </w:r>
      <w:r>
        <w:rPr/>
        <w:t> </w:t>
      </w:r>
      <w:r>
        <w:rPr>
          <w:spacing w:val="-2"/>
        </w:rPr>
        <w:t>会有关法律法规的要求，不断完善公司法人治理结构，建立健全公司内部控制制度，积极开展投资者关系管理活动，规范公</w:t>
      </w:r>
      <w:r>
        <w:rPr>
          <w:spacing w:val="-69"/>
        </w:rPr>
        <w:t> </w:t>
      </w:r>
      <w:r>
        <w:rPr>
          <w:spacing w:val="-69"/>
        </w:rPr>
      </w:r>
      <w:r>
        <w:rPr/>
        <w:t>司运作，进一步提高了公司治理水平。</w:t>
      </w:r>
    </w:p>
    <w:p>
      <w:pPr>
        <w:pStyle w:val="BodyText"/>
        <w:spacing w:line="316" w:lineRule="auto" w:before="19"/>
        <w:ind w:right="1131" w:firstLine="479"/>
        <w:jc w:val="both"/>
      </w:pPr>
      <w:r>
        <w:rPr>
          <w:spacing w:val="-1"/>
        </w:rPr>
        <w:t>截至报告期末，公司整体运行规范，公司治理实际情况基本符合中国证监会发布的有关上市公司治理的规范性文件的</w:t>
      </w:r>
      <w:r>
        <w:rPr/>
        <w:t> 要求。</w:t>
      </w:r>
    </w:p>
    <w:p>
      <w:pPr>
        <w:pStyle w:val="BodyText"/>
        <w:spacing w:line="319" w:lineRule="auto" w:before="18"/>
        <w:ind w:left="593" w:right="0"/>
        <w:jc w:val="left"/>
      </w:pPr>
      <w:r>
        <w:rPr/>
        <w:t>（一）关于股东与股东大会 </w:t>
      </w:r>
      <w:r>
        <w:rPr>
          <w:spacing w:val="-1"/>
        </w:rPr>
        <w:t>公司严格按照《上市公司股东大会规则》和《公司章程》的规定和要求，规范股东大会的召集、召开及议事程序，能</w:t>
      </w:r>
    </w:p>
    <w:p>
      <w:pPr>
        <w:pStyle w:val="BodyText"/>
        <w:spacing w:line="240" w:lineRule="auto" w:before="17"/>
        <w:ind w:right="0"/>
        <w:jc w:val="both"/>
      </w:pPr>
      <w:r>
        <w:rPr/>
        <w:t>够确保全体股东特别是中小股东享有平等地位，充分行使自己的权力。</w:t>
      </w:r>
    </w:p>
    <w:p>
      <w:pPr>
        <w:pStyle w:val="BodyText"/>
        <w:spacing w:line="319" w:lineRule="auto" w:before="76"/>
        <w:ind w:left="593" w:right="1632"/>
        <w:jc w:val="left"/>
      </w:pPr>
      <w:r>
        <w:rPr/>
        <w:t>（二）关于公司与控股股东 公司控股股东能严格规范自己的行为，没有超越公司股东大会直接或间接干预公司的决策和经营活动的行为。</w:t>
      </w:r>
    </w:p>
    <w:p>
      <w:pPr>
        <w:pStyle w:val="BodyText"/>
        <w:spacing w:line="316" w:lineRule="auto" w:before="17"/>
        <w:ind w:left="593" w:right="0"/>
        <w:jc w:val="left"/>
      </w:pPr>
      <w:r>
        <w:rPr/>
        <w:t>（三）关于董事与董事会 </w:t>
      </w:r>
      <w:r>
        <w:rPr>
          <w:spacing w:val="-1"/>
        </w:rPr>
        <w:t>公司严格按照《公司章程》规定的选聘程序选举董事，公司目前有独立董事三名，占全体董事的三分之一，董事会人</w:t>
      </w:r>
    </w:p>
    <w:p>
      <w:pPr>
        <w:pStyle w:val="BodyText"/>
        <w:spacing w:line="316" w:lineRule="auto" w:before="19"/>
        <w:ind w:right="1127"/>
        <w:jc w:val="left"/>
      </w:pPr>
      <w:r>
        <w:rPr>
          <w:spacing w:val="-5"/>
        </w:rPr>
        <w:t>数和人员构成符合法律、法规和《公司章程》的要求。全体董事能够依据《董事会议事规则》、《深圳证券交易所中小企业板</w:t>
      </w:r>
      <w:r>
        <w:rPr>
          <w:spacing w:val="-81"/>
        </w:rPr>
        <w:t> </w:t>
      </w:r>
      <w:r>
        <w:rPr>
          <w:spacing w:val="-81"/>
        </w:rPr>
      </w:r>
      <w:r>
        <w:rPr/>
        <w:t>块上市公司董事行为指引》等制度开展工作，勤勉尽责履行义务。</w:t>
      </w:r>
    </w:p>
    <w:p>
      <w:pPr>
        <w:pStyle w:val="BodyText"/>
        <w:spacing w:line="319" w:lineRule="auto" w:before="18"/>
        <w:ind w:left="593" w:right="1120"/>
        <w:jc w:val="left"/>
      </w:pPr>
      <w:r>
        <w:rPr/>
        <w:t>（四）关于监事与监事会 </w:t>
      </w:r>
      <w:r>
        <w:rPr>
          <w:spacing w:val="-4"/>
        </w:rPr>
        <w:t>公司严格按照《公司法》、《公司章程》的有关规定选聘监事，监事会的人数及构成符合法律、法规的要求。公司目前</w:t>
      </w:r>
    </w:p>
    <w:p>
      <w:pPr>
        <w:pStyle w:val="BodyText"/>
        <w:spacing w:line="316" w:lineRule="auto" w:before="17"/>
        <w:ind w:right="1129"/>
        <w:jc w:val="both"/>
      </w:pPr>
      <w:r>
        <w:rPr>
          <w:spacing w:val="-2"/>
        </w:rPr>
        <w:t>有职工代表监事一名，占全体监事的三分之一，监事人数和人员构成符合法律、法规的要求。公司监事能够按照《监事会议</w:t>
      </w:r>
      <w:r>
        <w:rPr>
          <w:spacing w:val="-68"/>
        </w:rPr>
        <w:t> </w:t>
      </w:r>
      <w:r>
        <w:rPr>
          <w:spacing w:val="-68"/>
        </w:rPr>
      </w:r>
      <w:r>
        <w:rPr>
          <w:spacing w:val="-2"/>
        </w:rPr>
        <w:t>事规则》等的要求，认真履行职责，对公司重大事项、财务状况、公司董事、经理和其他高级管理人员履行职责的合法合规</w:t>
      </w:r>
      <w:r>
        <w:rPr>
          <w:spacing w:val="-65"/>
        </w:rPr>
        <w:t> </w:t>
      </w:r>
      <w:r>
        <w:rPr>
          <w:spacing w:val="-65"/>
        </w:rPr>
      </w:r>
      <w:r>
        <w:rPr/>
        <w:t>性等进行监督，切实维护公司及股东的权益。</w:t>
      </w:r>
    </w:p>
    <w:p>
      <w:pPr>
        <w:pStyle w:val="BodyText"/>
        <w:spacing w:line="316" w:lineRule="auto" w:before="18"/>
        <w:ind w:left="593" w:right="1120"/>
        <w:jc w:val="left"/>
      </w:pPr>
      <w:r>
        <w:rPr/>
        <w:t>（五）关于绩效评价和激励约束机制 </w:t>
      </w:r>
      <w:r>
        <w:rPr>
          <w:spacing w:val="-4"/>
        </w:rPr>
        <w:t>公司逐步完善董事、监事和经理人员的绩效评价标准和激励约束机制，公司经理人员的聘任严格按照《公司法》和《公</w:t>
      </w:r>
    </w:p>
    <w:p>
      <w:pPr>
        <w:pStyle w:val="BodyText"/>
        <w:spacing w:line="240" w:lineRule="auto" w:before="19"/>
        <w:ind w:right="0"/>
        <w:jc w:val="both"/>
      </w:pPr>
      <w:r>
        <w:rPr/>
        <w:t>司章程》的规定进行，公开、透明，符合法律法规的规定。</w:t>
      </w:r>
    </w:p>
    <w:p>
      <w:pPr>
        <w:pStyle w:val="BodyText"/>
        <w:spacing w:line="316" w:lineRule="auto" w:before="76"/>
        <w:ind w:left="593" w:right="0"/>
        <w:jc w:val="left"/>
      </w:pPr>
      <w:r>
        <w:rPr/>
        <w:t>（六）关于相关利益者 </w:t>
      </w:r>
      <w:r>
        <w:rPr>
          <w:spacing w:val="-1"/>
        </w:rPr>
        <w:t>公司充分尊重和维护相关利益者的合法权益，实现社会、股东、公司、员工等各方利益的协调平衡，共同推动公司持</w:t>
      </w:r>
    </w:p>
    <w:p>
      <w:pPr>
        <w:pStyle w:val="BodyText"/>
        <w:spacing w:line="240" w:lineRule="auto" w:before="19"/>
        <w:ind w:right="0"/>
        <w:jc w:val="both"/>
      </w:pPr>
      <w:r>
        <w:rPr/>
        <w:t>续、稳健发展。</w:t>
      </w:r>
    </w:p>
    <w:p>
      <w:pPr>
        <w:pStyle w:val="BodyText"/>
        <w:spacing w:line="316" w:lineRule="auto" w:before="76"/>
        <w:ind w:left="593" w:right="0"/>
        <w:jc w:val="left"/>
      </w:pPr>
      <w:r>
        <w:rPr/>
        <w:t>（七）关于信息披露与透明度 </w:t>
      </w:r>
      <w:r>
        <w:rPr>
          <w:spacing w:val="-1"/>
        </w:rPr>
        <w:t>公司已指定董事会秘书为公司的投资者关系管理负责人，负责公司信息披露和投资者关系管理，接待股东的来访和咨</w:t>
      </w:r>
    </w:p>
    <w:p>
      <w:pPr>
        <w:pStyle w:val="BodyText"/>
        <w:spacing w:line="316" w:lineRule="auto" w:before="19"/>
        <w:ind w:right="0"/>
        <w:jc w:val="left"/>
      </w:pPr>
      <w:r>
        <w:rPr>
          <w:spacing w:val="-8"/>
        </w:rPr>
        <w:t>询。公司指定《证券时报》、《中国证券报》、《上海证券报》和巨潮网为公司信息披露的报纸和网站，严格按照有关法律法规</w:t>
      </w:r>
      <w:r>
        <w:rPr>
          <w:spacing w:val="-87"/>
        </w:rPr>
        <w:t> </w:t>
      </w:r>
      <w:r>
        <w:rPr>
          <w:spacing w:val="-87"/>
        </w:rPr>
      </w:r>
      <w:r>
        <w:rPr>
          <w:spacing w:val="-4"/>
        </w:rPr>
        <w:t>的规定和公司制定的《信息披露事务管理制度》真实、准确、完整、及时地披露信息，确保所有股东有公平的机会获得信息。</w:t>
      </w:r>
    </w:p>
    <w:p>
      <w:pPr>
        <w:pStyle w:val="BodyText"/>
        <w:spacing w:line="240" w:lineRule="auto" w:before="18"/>
        <w:ind w:left="593" w:right="0"/>
        <w:jc w:val="left"/>
      </w:pPr>
      <w:r>
        <w:rPr/>
        <w:t>（八）报告期内，公司建立和修订的制度文件</w:t>
      </w:r>
    </w:p>
    <w:p>
      <w:pPr>
        <w:spacing w:line="240" w:lineRule="auto" w:before="2"/>
        <w:rPr>
          <w:rFonts w:ascii="宋体" w:hAnsi="宋体" w:cs="宋体" w:eastAsia="宋体" w:hint="default"/>
          <w:sz w:val="5"/>
          <w:szCs w:val="5"/>
        </w:rPr>
      </w:pPr>
    </w:p>
    <w:tbl>
      <w:tblPr>
        <w:tblW w:w="0" w:type="auto"/>
        <w:jc w:val="left"/>
        <w:tblInd w:w="106" w:type="dxa"/>
        <w:tblLayout w:type="fixed"/>
        <w:tblCellMar>
          <w:top w:w="0" w:type="dxa"/>
          <w:left w:w="0" w:type="dxa"/>
          <w:bottom w:w="0" w:type="dxa"/>
          <w:right w:w="0" w:type="dxa"/>
        </w:tblCellMar>
        <w:tblLook w:val="01E0"/>
      </w:tblPr>
      <w:tblGrid>
        <w:gridCol w:w="1008"/>
        <w:gridCol w:w="1530"/>
        <w:gridCol w:w="2775"/>
        <w:gridCol w:w="1771"/>
        <w:gridCol w:w="1772"/>
      </w:tblGrid>
      <w:tr>
        <w:trPr>
          <w:trHeight w:val="347" w:hRule="exact"/>
        </w:trPr>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69" w:lineRule="exact"/>
              <w:ind w:right="1"/>
              <w:jc w:val="center"/>
              <w:rPr>
                <w:rFonts w:ascii="宋体" w:hAnsi="宋体" w:cs="宋体" w:eastAsia="宋体" w:hint="default"/>
                <w:sz w:val="21"/>
                <w:szCs w:val="21"/>
              </w:rPr>
            </w:pPr>
            <w:r>
              <w:rPr>
                <w:rFonts w:ascii="宋体" w:hAnsi="宋体" w:cs="宋体" w:eastAsia="宋体" w:hint="default"/>
                <w:sz w:val="21"/>
                <w:szCs w:val="21"/>
              </w:rPr>
              <w:t>序号</w:t>
            </w:r>
          </w:p>
        </w:tc>
        <w:tc>
          <w:tcPr>
            <w:tcW w:w="1530" w:type="dxa"/>
            <w:tcBorders>
              <w:top w:val="single" w:sz="6" w:space="0" w:color="000000"/>
              <w:left w:val="single" w:sz="6" w:space="0" w:color="000000"/>
              <w:bottom w:val="single" w:sz="6" w:space="0" w:color="000000"/>
              <w:right w:val="single" w:sz="6" w:space="0" w:color="000000"/>
            </w:tcBorders>
          </w:tcPr>
          <w:p>
            <w:pPr>
              <w:pStyle w:val="TableParagraph"/>
              <w:spacing w:line="269" w:lineRule="exact"/>
              <w:ind w:right="1"/>
              <w:jc w:val="center"/>
              <w:rPr>
                <w:rFonts w:ascii="宋体" w:hAnsi="宋体" w:cs="宋体" w:eastAsia="宋体" w:hint="default"/>
                <w:sz w:val="21"/>
                <w:szCs w:val="21"/>
              </w:rPr>
            </w:pPr>
            <w:r>
              <w:rPr>
                <w:rFonts w:ascii="宋体" w:hAnsi="宋体" w:cs="宋体" w:eastAsia="宋体" w:hint="default"/>
                <w:sz w:val="21"/>
                <w:szCs w:val="21"/>
              </w:rPr>
              <w:t>名称</w:t>
            </w:r>
          </w:p>
        </w:tc>
        <w:tc>
          <w:tcPr>
            <w:tcW w:w="2775" w:type="dxa"/>
            <w:tcBorders>
              <w:top w:val="single" w:sz="6" w:space="0" w:color="000000"/>
              <w:left w:val="single" w:sz="6" w:space="0" w:color="000000"/>
              <w:bottom w:val="single" w:sz="6" w:space="0" w:color="000000"/>
              <w:right w:val="single" w:sz="6" w:space="0" w:color="000000"/>
            </w:tcBorders>
          </w:tcPr>
          <w:p>
            <w:pPr>
              <w:pStyle w:val="TableParagraph"/>
              <w:spacing w:line="269" w:lineRule="exact"/>
              <w:ind w:right="1"/>
              <w:jc w:val="center"/>
              <w:rPr>
                <w:rFonts w:ascii="宋体" w:hAnsi="宋体" w:cs="宋体" w:eastAsia="宋体" w:hint="default"/>
                <w:sz w:val="21"/>
                <w:szCs w:val="21"/>
              </w:rPr>
            </w:pPr>
            <w:r>
              <w:rPr>
                <w:rFonts w:ascii="宋体" w:hAnsi="宋体" w:cs="宋体" w:eastAsia="宋体" w:hint="default"/>
                <w:sz w:val="21"/>
                <w:szCs w:val="21"/>
              </w:rPr>
              <w:t>披露时间</w:t>
            </w:r>
          </w:p>
        </w:tc>
        <w:tc>
          <w:tcPr>
            <w:tcW w:w="1771" w:type="dxa"/>
            <w:tcBorders>
              <w:top w:val="single" w:sz="6" w:space="0" w:color="000000"/>
              <w:left w:val="single" w:sz="6" w:space="0" w:color="000000"/>
              <w:bottom w:val="single" w:sz="6" w:space="0" w:color="000000"/>
              <w:right w:val="single" w:sz="6" w:space="0" w:color="000000"/>
            </w:tcBorders>
          </w:tcPr>
          <w:p>
            <w:pPr>
              <w:pStyle w:val="TableParagraph"/>
              <w:spacing w:line="269" w:lineRule="exact"/>
              <w:ind w:right="1"/>
              <w:jc w:val="center"/>
              <w:rPr>
                <w:rFonts w:ascii="宋体" w:hAnsi="宋体" w:cs="宋体" w:eastAsia="宋体" w:hint="default"/>
                <w:sz w:val="21"/>
                <w:szCs w:val="21"/>
              </w:rPr>
            </w:pPr>
            <w:r>
              <w:rPr>
                <w:rFonts w:ascii="宋体" w:hAnsi="宋体" w:cs="宋体" w:eastAsia="宋体" w:hint="default"/>
                <w:sz w:val="21"/>
                <w:szCs w:val="21"/>
              </w:rPr>
              <w:t>信息披露载体</w:t>
            </w:r>
          </w:p>
        </w:tc>
        <w:tc>
          <w:tcPr>
            <w:tcW w:w="1772" w:type="dxa"/>
            <w:tcBorders>
              <w:top w:val="single" w:sz="6" w:space="0" w:color="000000"/>
              <w:left w:val="single" w:sz="6" w:space="0" w:color="000000"/>
              <w:bottom w:val="single" w:sz="6" w:space="0" w:color="000000"/>
              <w:right w:val="single" w:sz="6" w:space="0" w:color="000000"/>
            </w:tcBorders>
          </w:tcPr>
          <w:p>
            <w:pPr>
              <w:pStyle w:val="TableParagraph"/>
              <w:spacing w:line="285" w:lineRule="exact"/>
              <w:ind w:right="0"/>
              <w:jc w:val="center"/>
              <w:rPr>
                <w:rFonts w:ascii="宋体" w:hAnsi="宋体" w:cs="宋体" w:eastAsia="宋体" w:hint="default"/>
                <w:sz w:val="21"/>
                <w:szCs w:val="21"/>
              </w:rPr>
            </w:pPr>
            <w:r>
              <w:rPr>
                <w:rFonts w:ascii="宋体" w:hAnsi="宋体" w:cs="宋体" w:eastAsia="宋体" w:hint="default"/>
                <w:sz w:val="21"/>
                <w:szCs w:val="21"/>
              </w:rPr>
              <w:t>新建</w:t>
            </w:r>
            <w:r>
              <w:rPr>
                <w:rFonts w:ascii="Times New Roman" w:hAnsi="Times New Roman" w:cs="Times New Roman" w:eastAsia="Times New Roman" w:hint="default"/>
                <w:sz w:val="21"/>
                <w:szCs w:val="21"/>
              </w:rPr>
              <w:t>/</w:t>
            </w:r>
            <w:r>
              <w:rPr>
                <w:rFonts w:ascii="宋体" w:hAnsi="宋体" w:cs="宋体" w:eastAsia="宋体" w:hint="default"/>
                <w:sz w:val="21"/>
                <w:szCs w:val="21"/>
              </w:rPr>
              <w:t>修订</w:t>
            </w:r>
          </w:p>
        </w:tc>
      </w:tr>
      <w:tr>
        <w:trPr>
          <w:trHeight w:val="347" w:hRule="exact"/>
        </w:trPr>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1"/>
              <w:jc w:val="center"/>
              <w:rPr>
                <w:rFonts w:ascii="Times New Roman" w:hAnsi="Times New Roman" w:cs="Times New Roman" w:eastAsia="Times New Roman" w:hint="default"/>
                <w:sz w:val="21"/>
                <w:szCs w:val="21"/>
              </w:rPr>
            </w:pPr>
            <w:r>
              <w:rPr>
                <w:rFonts w:ascii="Times New Roman"/>
                <w:sz w:val="21"/>
              </w:rPr>
              <w:t>1</w:t>
            </w:r>
          </w:p>
        </w:tc>
        <w:tc>
          <w:tcPr>
            <w:tcW w:w="1530" w:type="dxa"/>
            <w:tcBorders>
              <w:top w:val="single" w:sz="6" w:space="0" w:color="000000"/>
              <w:left w:val="single" w:sz="6" w:space="0" w:color="000000"/>
              <w:bottom w:val="single" w:sz="6" w:space="0" w:color="000000"/>
              <w:right w:val="single" w:sz="6" w:space="0" w:color="000000"/>
            </w:tcBorders>
          </w:tcPr>
          <w:p>
            <w:pPr>
              <w:pStyle w:val="TableParagraph"/>
              <w:spacing w:line="269" w:lineRule="exact"/>
              <w:ind w:right="1"/>
              <w:jc w:val="center"/>
              <w:rPr>
                <w:rFonts w:ascii="宋体" w:hAnsi="宋体" w:cs="宋体" w:eastAsia="宋体" w:hint="default"/>
                <w:sz w:val="21"/>
                <w:szCs w:val="21"/>
              </w:rPr>
            </w:pPr>
            <w:r>
              <w:rPr>
                <w:rFonts w:ascii="宋体" w:hAnsi="宋体" w:cs="宋体" w:eastAsia="宋体" w:hint="default"/>
                <w:sz w:val="21"/>
                <w:szCs w:val="21"/>
              </w:rPr>
              <w:t>公司章程</w:t>
            </w:r>
          </w:p>
        </w:tc>
        <w:tc>
          <w:tcPr>
            <w:tcW w:w="2775" w:type="dxa"/>
            <w:tcBorders>
              <w:top w:val="single" w:sz="6" w:space="0" w:color="000000"/>
              <w:left w:val="single" w:sz="6" w:space="0" w:color="000000"/>
              <w:bottom w:val="single" w:sz="6" w:space="0" w:color="000000"/>
              <w:right w:val="single" w:sz="6" w:space="0" w:color="000000"/>
            </w:tcBorders>
          </w:tcPr>
          <w:p>
            <w:pPr>
              <w:pStyle w:val="TableParagraph"/>
              <w:spacing w:line="285" w:lineRule="exact"/>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201</w:t>
            </w:r>
            <w:r>
              <w:rPr>
                <w:rFonts w:ascii="宋体" w:hAnsi="宋体" w:cs="宋体" w:eastAsia="宋体" w:hint="default"/>
                <w:sz w:val="21"/>
                <w:szCs w:val="21"/>
              </w:rPr>
              <w:t>9年8月17日</w:t>
            </w:r>
          </w:p>
        </w:tc>
        <w:tc>
          <w:tcPr>
            <w:tcW w:w="1771" w:type="dxa"/>
            <w:tcBorders>
              <w:top w:val="single" w:sz="6" w:space="0" w:color="000000"/>
              <w:left w:val="single" w:sz="6" w:space="0" w:color="000000"/>
              <w:bottom w:val="single" w:sz="6" w:space="0" w:color="000000"/>
              <w:right w:val="single" w:sz="6" w:space="0" w:color="000000"/>
            </w:tcBorders>
          </w:tcPr>
          <w:p>
            <w:pPr>
              <w:pStyle w:val="TableParagraph"/>
              <w:spacing w:line="269" w:lineRule="exact"/>
              <w:ind w:right="1"/>
              <w:jc w:val="center"/>
              <w:rPr>
                <w:rFonts w:ascii="宋体" w:hAnsi="宋体" w:cs="宋体" w:eastAsia="宋体" w:hint="default"/>
                <w:sz w:val="21"/>
                <w:szCs w:val="21"/>
              </w:rPr>
            </w:pPr>
            <w:r>
              <w:rPr>
                <w:rFonts w:ascii="宋体" w:hAnsi="宋体" w:cs="宋体" w:eastAsia="宋体" w:hint="default"/>
                <w:sz w:val="21"/>
                <w:szCs w:val="21"/>
              </w:rPr>
              <w:t>巨潮资讯网</w:t>
            </w:r>
          </w:p>
        </w:tc>
        <w:tc>
          <w:tcPr>
            <w:tcW w:w="1772" w:type="dxa"/>
            <w:tcBorders>
              <w:top w:val="single" w:sz="6" w:space="0" w:color="000000"/>
              <w:left w:val="single" w:sz="6" w:space="0" w:color="000000"/>
              <w:bottom w:val="single" w:sz="6" w:space="0" w:color="000000"/>
              <w:right w:val="single" w:sz="6" w:space="0" w:color="000000"/>
            </w:tcBorders>
          </w:tcPr>
          <w:p>
            <w:pPr>
              <w:pStyle w:val="TableParagraph"/>
              <w:spacing w:line="269" w:lineRule="exact"/>
              <w:ind w:right="0"/>
              <w:jc w:val="center"/>
              <w:rPr>
                <w:rFonts w:ascii="宋体" w:hAnsi="宋体" w:cs="宋体" w:eastAsia="宋体" w:hint="default"/>
                <w:sz w:val="21"/>
                <w:szCs w:val="21"/>
              </w:rPr>
            </w:pPr>
            <w:r>
              <w:rPr>
                <w:rFonts w:ascii="宋体" w:hAnsi="宋体" w:cs="宋体" w:eastAsia="宋体" w:hint="default"/>
                <w:sz w:val="21"/>
                <w:szCs w:val="21"/>
              </w:rPr>
              <w:t>修订</w:t>
            </w:r>
          </w:p>
        </w:tc>
      </w:tr>
    </w:tbl>
    <w:p>
      <w:pPr>
        <w:spacing w:line="240" w:lineRule="auto" w:before="2"/>
        <w:rPr>
          <w:rFonts w:ascii="宋体" w:hAnsi="宋体" w:cs="宋体" w:eastAsia="宋体" w:hint="default"/>
          <w:sz w:val="24"/>
          <w:szCs w:val="24"/>
        </w:rPr>
      </w:pPr>
    </w:p>
    <w:p>
      <w:pPr>
        <w:pStyle w:val="BodyText"/>
        <w:spacing w:line="240" w:lineRule="auto" w:before="44"/>
        <w:ind w:right="0"/>
        <w:jc w:val="left"/>
      </w:pPr>
      <w:r>
        <w:rPr/>
        <w:t>公司治理的实际状况与中国证监会发布的有关上市公司治理的规范性文件是否存在重大差异</w:t>
      </w:r>
    </w:p>
    <w:p>
      <w:pPr>
        <w:pStyle w:val="BodyText"/>
        <w:spacing w:line="357" w:lineRule="auto" w:before="116"/>
        <w:ind w:right="3552"/>
        <w:jc w:val="left"/>
      </w:pPr>
      <w:r>
        <w:rPr/>
        <w:t>□ 是 √ 否 公司治理的实际状况与中国证监会发布的有关上市公司治理的规范性文件不存在重大差异。</w:t>
      </w:r>
    </w:p>
    <w:p>
      <w:pPr>
        <w:spacing w:after="0" w:line="357" w:lineRule="auto"/>
        <w:jc w:val="left"/>
        <w:sectPr>
          <w:pgSz w:w="11910" w:h="16840"/>
          <w:pgMar w:header="906" w:footer="1018" w:top="1100" w:bottom="1200" w:left="1020" w:right="0"/>
        </w:sectPr>
      </w:pPr>
    </w:p>
    <w:p>
      <w:pPr>
        <w:spacing w:line="240" w:lineRule="auto" w:before="8"/>
        <w:rPr>
          <w:rFonts w:ascii="宋体" w:hAnsi="宋体" w:cs="宋体" w:eastAsia="宋体" w:hint="default"/>
          <w:sz w:val="20"/>
          <w:szCs w:val="20"/>
        </w:rPr>
      </w:pPr>
    </w:p>
    <w:p>
      <w:pPr>
        <w:pStyle w:val="Heading2"/>
        <w:spacing w:line="240" w:lineRule="auto" w:before="26"/>
        <w:ind w:right="0"/>
        <w:jc w:val="left"/>
        <w:rPr>
          <w:b w:val="0"/>
          <w:bCs w:val="0"/>
        </w:rPr>
      </w:pPr>
      <w:r>
        <w:rPr/>
        <w:t>二、公司相对于控股股东在业务、人员、资产、机构、财务等方面的独立情况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公司在业务、人员、资产、机构、财务等方面与控股股东相互独立，公司具有独立完整的业务及自主经营能力。</w:t>
      </w:r>
    </w:p>
    <w:p>
      <w:pPr>
        <w:pStyle w:val="BodyText"/>
        <w:spacing w:line="316" w:lineRule="auto" w:before="76"/>
        <w:ind w:right="1032"/>
        <w:jc w:val="left"/>
      </w:pPr>
      <w:r>
        <w:rPr/>
        <w:t>（一）业务 </w:t>
      </w:r>
      <w:r>
        <w:rPr>
          <w:spacing w:val="-2"/>
        </w:rPr>
        <w:t>公司拥有独立完整的供应、生产和销售系统，独立开展业务，不依赖于股东或其它任何关联方。公司控股股东为自然人，在</w:t>
      </w:r>
      <w:r>
        <w:rPr>
          <w:spacing w:val="-66"/>
        </w:rPr>
        <w:t> </w:t>
      </w:r>
      <w:r>
        <w:rPr>
          <w:spacing w:val="-66"/>
        </w:rPr>
      </w:r>
      <w:r>
        <w:rPr/>
        <w:t>业务上与公司之间不存在竞争关系。</w:t>
      </w:r>
    </w:p>
    <w:p>
      <w:pPr>
        <w:pStyle w:val="BodyText"/>
        <w:spacing w:line="240" w:lineRule="auto" w:before="19"/>
        <w:ind w:right="0"/>
        <w:jc w:val="left"/>
      </w:pPr>
      <w:r>
        <w:rPr/>
        <w:t>（二）人员</w:t>
      </w:r>
    </w:p>
    <w:p>
      <w:pPr>
        <w:pStyle w:val="BodyText"/>
        <w:spacing w:line="316" w:lineRule="auto" w:before="76"/>
        <w:ind w:right="1119"/>
        <w:jc w:val="left"/>
      </w:pPr>
      <w:r>
        <w:rPr/>
        <w:t>公司劳动、人事及工资管理完全独立。公司总裁、副总裁、董事会秘书、财务</w:t>
      </w:r>
      <w:r>
        <w:rPr>
          <w:spacing w:val="3"/>
        </w:rPr>
        <w:t> </w:t>
      </w:r>
      <w:r>
        <w:rPr/>
        <w:t>负责人等高级管理人员均在公司工作并领取</w:t>
      </w:r>
      <w:r>
        <w:rPr/>
        <w:t> 薪酬。</w:t>
      </w:r>
    </w:p>
    <w:p>
      <w:pPr>
        <w:pStyle w:val="BodyText"/>
        <w:spacing w:line="316" w:lineRule="auto" w:before="19"/>
        <w:ind w:right="1032"/>
        <w:jc w:val="left"/>
      </w:pPr>
      <w:r>
        <w:rPr/>
        <w:t>（三）资产 </w:t>
      </w:r>
      <w:r>
        <w:rPr>
          <w:spacing w:val="-2"/>
        </w:rPr>
        <w:t>公司拥有独立于控股股东的生产经营场所，拥有独立完整的资产结构，拥有独立的生产系统、辅助生产系统和配套设施，拥</w:t>
      </w:r>
      <w:r>
        <w:rPr>
          <w:spacing w:val="-67"/>
        </w:rPr>
        <w:t> </w:t>
      </w:r>
      <w:r>
        <w:rPr>
          <w:spacing w:val="-67"/>
        </w:rPr>
      </w:r>
      <w:r>
        <w:rPr>
          <w:spacing w:val="-4"/>
        </w:rPr>
        <w:t>有独立的土地使用权、房屋产权，拥有独立的采购和销售系统。公司没有以资产、权益或信誉为控股股东的债务提供过担保，</w:t>
      </w:r>
      <w:r>
        <w:rPr>
          <w:spacing w:val="-44"/>
        </w:rPr>
        <w:t> </w:t>
      </w:r>
      <w:r>
        <w:rPr>
          <w:spacing w:val="-44"/>
        </w:rPr>
      </w:r>
      <w:r>
        <w:rPr/>
        <w:t>不存在资产、资金被控股股东占用而损害公司其他股东利益的情况。</w:t>
      </w:r>
    </w:p>
    <w:p>
      <w:pPr>
        <w:pStyle w:val="BodyText"/>
        <w:spacing w:line="316" w:lineRule="auto" w:before="18"/>
        <w:ind w:right="1032"/>
        <w:jc w:val="left"/>
      </w:pPr>
      <w:r>
        <w:rPr/>
        <w:t>（四）机构 </w:t>
      </w:r>
      <w:r>
        <w:rPr>
          <w:spacing w:val="-2"/>
        </w:rPr>
        <w:t>公司设立了健全的组织机构体系，股东大会、董事会、监事会及生产经营管理部门独立运作，并制定了相应的内部管理和控</w:t>
      </w:r>
      <w:r>
        <w:rPr>
          <w:spacing w:val="-66"/>
        </w:rPr>
        <w:t> </w:t>
      </w:r>
      <w:r>
        <w:rPr>
          <w:spacing w:val="-66"/>
        </w:rPr>
      </w:r>
      <w:r>
        <w:rPr/>
        <w:t>制制度，与控股股东或其职能部门之间不存在从属关系。</w:t>
      </w:r>
    </w:p>
    <w:p>
      <w:pPr>
        <w:pStyle w:val="BodyText"/>
        <w:spacing w:line="316" w:lineRule="auto" w:before="18"/>
        <w:ind w:right="1032"/>
        <w:jc w:val="left"/>
      </w:pPr>
      <w:r>
        <w:rPr/>
        <w:t>（五）财务 </w:t>
      </w:r>
      <w:r>
        <w:rPr>
          <w:spacing w:val="-2"/>
        </w:rPr>
        <w:t>公司设立有独立的财务部门，配备了充足的专职财务会计人员，建立了独立的会计核算体系和财务管理制度，开设了独立的</w:t>
      </w:r>
      <w:r>
        <w:rPr>
          <w:spacing w:val="-67"/>
        </w:rPr>
        <w:t> </w:t>
      </w:r>
      <w:r>
        <w:rPr>
          <w:spacing w:val="-67"/>
        </w:rPr>
      </w:r>
      <w:r>
        <w:rPr/>
        <w:t>银行账户，独立纳税，独立进行财务决策，不存在控股股东干预本公司资金使用的情况。</w:t>
      </w:r>
    </w:p>
    <w:p>
      <w:pPr>
        <w:spacing w:line="240" w:lineRule="auto" w:before="9"/>
        <w:rPr>
          <w:rFonts w:ascii="宋体" w:hAnsi="宋体" w:cs="宋体" w:eastAsia="宋体" w:hint="default"/>
          <w:sz w:val="20"/>
          <w:szCs w:val="20"/>
        </w:rPr>
      </w:pPr>
    </w:p>
    <w:p>
      <w:pPr>
        <w:pStyle w:val="Heading2"/>
        <w:spacing w:line="240" w:lineRule="auto"/>
        <w:ind w:right="0"/>
        <w:jc w:val="left"/>
        <w:rPr>
          <w:b w:val="0"/>
          <w:bCs w:val="0"/>
        </w:rPr>
      </w:pPr>
      <w:r>
        <w:rPr/>
        <w:t>三、同业竞争情况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
        <w:rPr>
          <w:rFonts w:ascii="宋体" w:hAnsi="宋体" w:cs="宋体" w:eastAsia="宋体" w:hint="default"/>
          <w:sz w:val="25"/>
          <w:szCs w:val="25"/>
        </w:rPr>
      </w:pPr>
    </w:p>
    <w:p>
      <w:pPr>
        <w:pStyle w:val="Heading2"/>
        <w:spacing w:line="240" w:lineRule="auto"/>
        <w:ind w:right="0"/>
        <w:jc w:val="left"/>
        <w:rPr>
          <w:b w:val="0"/>
          <w:bCs w:val="0"/>
        </w:rPr>
      </w:pPr>
      <w:r>
        <w:rPr/>
        <w:t>四、报告期内召开的年度股东大会和临时股东大会的有关情况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r>
        <w:rPr>
          <w:rFonts w:ascii="Times New Roman" w:hAnsi="Times New Roman" w:cs="Times New Roman" w:eastAsia="Times New Roman" w:hint="default"/>
        </w:rPr>
        <w:t>1</w:t>
      </w:r>
      <w:r>
        <w:rPr/>
        <w:t>、本报告期股东大会情况</w:t>
      </w:r>
      <w:r>
        <w:rPr>
          <w:b w:val="0"/>
          <w:bCs w:val="0"/>
        </w:rPr>
      </w:r>
    </w:p>
    <w:p>
      <w:pPr>
        <w:spacing w:line="240" w:lineRule="auto" w:before="11"/>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1596"/>
        <w:gridCol w:w="1594"/>
        <w:gridCol w:w="1594"/>
        <w:gridCol w:w="1594"/>
        <w:gridCol w:w="1594"/>
        <w:gridCol w:w="1594"/>
      </w:tblGrid>
      <w:tr>
        <w:trPr>
          <w:trHeight w:val="402" w:hRule="exact"/>
        </w:trPr>
        <w:tc>
          <w:tcPr>
            <w:tcW w:w="15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32" w:right="0"/>
              <w:jc w:val="left"/>
              <w:rPr>
                <w:rFonts w:ascii="宋体" w:hAnsi="宋体" w:cs="宋体" w:eastAsia="宋体" w:hint="default"/>
                <w:sz w:val="18"/>
                <w:szCs w:val="18"/>
              </w:rPr>
            </w:pPr>
            <w:r>
              <w:rPr>
                <w:rFonts w:ascii="宋体" w:hAnsi="宋体" w:cs="宋体" w:eastAsia="宋体" w:hint="default"/>
                <w:sz w:val="18"/>
                <w:szCs w:val="18"/>
              </w:rPr>
              <w:t>会议届次</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430"/>
              <w:jc w:val="right"/>
              <w:rPr>
                <w:rFonts w:ascii="宋体" w:hAnsi="宋体" w:cs="宋体" w:eastAsia="宋体" w:hint="default"/>
                <w:sz w:val="18"/>
                <w:szCs w:val="18"/>
              </w:rPr>
            </w:pPr>
            <w:r>
              <w:rPr>
                <w:rFonts w:ascii="宋体" w:hAnsi="宋体" w:cs="宋体" w:eastAsia="宋体" w:hint="default"/>
                <w:sz w:val="18"/>
                <w:szCs w:val="18"/>
              </w:rPr>
              <w:t>会议类型</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62" w:right="0"/>
              <w:jc w:val="left"/>
              <w:rPr>
                <w:rFonts w:ascii="宋体" w:hAnsi="宋体" w:cs="宋体" w:eastAsia="宋体" w:hint="default"/>
                <w:sz w:val="18"/>
                <w:szCs w:val="18"/>
              </w:rPr>
            </w:pPr>
            <w:r>
              <w:rPr>
                <w:rFonts w:ascii="宋体" w:hAnsi="宋体" w:cs="宋体" w:eastAsia="宋体" w:hint="default"/>
                <w:sz w:val="18"/>
                <w:szCs w:val="18"/>
              </w:rPr>
              <w:t>投资者参与比例</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31" w:right="0"/>
              <w:jc w:val="left"/>
              <w:rPr>
                <w:rFonts w:ascii="宋体" w:hAnsi="宋体" w:cs="宋体" w:eastAsia="宋体" w:hint="default"/>
                <w:sz w:val="18"/>
                <w:szCs w:val="18"/>
              </w:rPr>
            </w:pPr>
            <w:r>
              <w:rPr>
                <w:rFonts w:ascii="宋体" w:hAnsi="宋体" w:cs="宋体" w:eastAsia="宋体" w:hint="default"/>
                <w:sz w:val="18"/>
                <w:szCs w:val="18"/>
              </w:rPr>
              <w:t>召开日期</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32" w:right="0"/>
              <w:jc w:val="left"/>
              <w:rPr>
                <w:rFonts w:ascii="宋体" w:hAnsi="宋体" w:cs="宋体" w:eastAsia="宋体" w:hint="default"/>
                <w:sz w:val="18"/>
                <w:szCs w:val="18"/>
              </w:rPr>
            </w:pPr>
            <w:r>
              <w:rPr>
                <w:rFonts w:ascii="宋体" w:hAnsi="宋体" w:cs="宋体" w:eastAsia="宋体" w:hint="default"/>
                <w:sz w:val="18"/>
                <w:szCs w:val="18"/>
              </w:rPr>
              <w:t>披露日期</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31" w:right="0"/>
              <w:jc w:val="left"/>
              <w:rPr>
                <w:rFonts w:ascii="宋体" w:hAnsi="宋体" w:cs="宋体" w:eastAsia="宋体" w:hint="default"/>
                <w:sz w:val="18"/>
                <w:szCs w:val="18"/>
              </w:rPr>
            </w:pPr>
            <w:r>
              <w:rPr>
                <w:rFonts w:ascii="宋体" w:hAnsi="宋体" w:cs="宋体" w:eastAsia="宋体" w:hint="default"/>
                <w:sz w:val="18"/>
                <w:szCs w:val="18"/>
              </w:rPr>
              <w:t>披露索引</w:t>
            </w:r>
          </w:p>
        </w:tc>
      </w:tr>
      <w:tr>
        <w:trPr>
          <w:trHeight w:val="1026"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300" w:lineRule="auto"/>
              <w:ind w:left="102" w:right="176"/>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年度股东大 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right="399"/>
              <w:jc w:val="right"/>
              <w:rPr>
                <w:rFonts w:ascii="宋体" w:hAnsi="宋体" w:cs="宋体" w:eastAsia="宋体" w:hint="default"/>
                <w:sz w:val="18"/>
                <w:szCs w:val="18"/>
              </w:rPr>
            </w:pPr>
            <w:r>
              <w:rPr>
                <w:rFonts w:ascii="宋体" w:hAnsi="宋体" w:cs="宋体" w:eastAsia="宋体" w:hint="default"/>
                <w:sz w:val="18"/>
                <w:szCs w:val="18"/>
              </w:rPr>
              <w:t>年度股东大会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20.34%</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w:t>
            </w:r>
          </w:p>
          <w:p>
            <w:pPr>
              <w:pStyle w:val="TableParagraph"/>
              <w:spacing w:line="240" w:lineRule="auto" w:before="62"/>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21</w:t>
            </w:r>
          </w:p>
          <w:p>
            <w:pPr>
              <w:pStyle w:val="TableParagraph"/>
              <w:spacing w:line="240" w:lineRule="auto" w:before="62"/>
              <w:ind w:left="10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0"/>
              <w:ind w:left="103" w:right="174"/>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年度股东大 会决议公告</w:t>
            </w:r>
          </w:p>
          <w:p>
            <w:pPr>
              <w:pStyle w:val="TableParagraph"/>
              <w:spacing w:line="240" w:lineRule="auto" w:before="31"/>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2019-019</w:t>
            </w:r>
            <w:r>
              <w:rPr>
                <w:rFonts w:ascii="宋体" w:hAnsi="宋体" w:cs="宋体" w:eastAsia="宋体" w:hint="default"/>
                <w:sz w:val="18"/>
                <w:szCs w:val="18"/>
              </w:rPr>
              <w:t>）</w:t>
            </w:r>
          </w:p>
        </w:tc>
      </w:tr>
      <w:tr>
        <w:trPr>
          <w:trHeight w:val="1026"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00" w:lineRule="auto"/>
              <w:ind w:left="102" w:right="176"/>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年第一次临 时股东大会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right="399"/>
              <w:jc w:val="right"/>
              <w:rPr>
                <w:rFonts w:ascii="宋体" w:hAnsi="宋体" w:cs="宋体" w:eastAsia="宋体" w:hint="default"/>
                <w:sz w:val="18"/>
                <w:szCs w:val="18"/>
              </w:rPr>
            </w:pPr>
            <w:r>
              <w:rPr>
                <w:rFonts w:ascii="宋体" w:hAnsi="宋体" w:cs="宋体" w:eastAsia="宋体" w:hint="default"/>
                <w:sz w:val="18"/>
                <w:szCs w:val="18"/>
              </w:rPr>
              <w:t>临时股东大会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20.30%</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27</w:t>
            </w:r>
          </w:p>
          <w:p>
            <w:pPr>
              <w:pStyle w:val="TableParagraph"/>
              <w:spacing w:line="240" w:lineRule="auto" w:before="62"/>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28</w:t>
            </w:r>
          </w:p>
          <w:p>
            <w:pPr>
              <w:pStyle w:val="TableParagraph"/>
              <w:spacing w:line="240" w:lineRule="auto" w:before="62"/>
              <w:ind w:left="10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103" w:right="7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年第一次临 时股东大会决议 公告（</w:t>
            </w:r>
            <w:r>
              <w:rPr>
                <w:rFonts w:ascii="Times New Roman" w:hAnsi="Times New Roman" w:cs="Times New Roman" w:eastAsia="Times New Roman" w:hint="default"/>
                <w:sz w:val="18"/>
                <w:szCs w:val="18"/>
              </w:rPr>
              <w:t>2019-027</w:t>
            </w:r>
            <w:r>
              <w:rPr>
                <w:rFonts w:ascii="宋体" w:hAnsi="宋体" w:cs="宋体" w:eastAsia="宋体" w:hint="default"/>
                <w:sz w:val="18"/>
                <w:szCs w:val="18"/>
              </w:rPr>
              <w:t>）</w:t>
            </w:r>
          </w:p>
        </w:tc>
      </w:tr>
      <w:tr>
        <w:trPr>
          <w:trHeight w:val="1026"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00" w:lineRule="auto"/>
              <w:ind w:left="102" w:right="176"/>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年第二次临 时股东大会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right="399"/>
              <w:jc w:val="right"/>
              <w:rPr>
                <w:rFonts w:ascii="宋体" w:hAnsi="宋体" w:cs="宋体" w:eastAsia="宋体" w:hint="default"/>
                <w:sz w:val="18"/>
                <w:szCs w:val="18"/>
              </w:rPr>
            </w:pPr>
            <w:r>
              <w:rPr>
                <w:rFonts w:ascii="宋体" w:hAnsi="宋体" w:cs="宋体" w:eastAsia="宋体" w:hint="default"/>
                <w:sz w:val="18"/>
                <w:szCs w:val="18"/>
              </w:rPr>
              <w:t>临时股东大会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21.82%</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16</w:t>
            </w:r>
          </w:p>
          <w:p>
            <w:pPr>
              <w:pStyle w:val="TableParagraph"/>
              <w:spacing w:line="240" w:lineRule="auto" w:before="62"/>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w:t>
            </w:r>
          </w:p>
          <w:p>
            <w:pPr>
              <w:pStyle w:val="TableParagraph"/>
              <w:spacing w:line="240" w:lineRule="auto" w:before="62"/>
              <w:ind w:left="10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103" w:right="7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年第二次临 时股东大会决议 公告（</w:t>
            </w:r>
            <w:r>
              <w:rPr>
                <w:rFonts w:ascii="Times New Roman" w:hAnsi="Times New Roman" w:cs="Times New Roman" w:eastAsia="Times New Roman" w:hint="default"/>
                <w:sz w:val="18"/>
                <w:szCs w:val="18"/>
              </w:rPr>
              <w:t>2019-044</w:t>
            </w:r>
            <w:r>
              <w:rPr>
                <w:rFonts w:ascii="宋体" w:hAnsi="宋体" w:cs="宋体" w:eastAsia="宋体" w:hint="default"/>
                <w:sz w:val="18"/>
                <w:szCs w:val="18"/>
              </w:rPr>
              <w:t>）</w:t>
            </w:r>
          </w:p>
        </w:tc>
      </w:tr>
      <w:tr>
        <w:trPr>
          <w:trHeight w:val="1026"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00" w:lineRule="auto"/>
              <w:ind w:left="102" w:right="176"/>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年第三次临 时股东大会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right="399"/>
              <w:jc w:val="right"/>
              <w:rPr>
                <w:rFonts w:ascii="宋体" w:hAnsi="宋体" w:cs="宋体" w:eastAsia="宋体" w:hint="default"/>
                <w:sz w:val="18"/>
                <w:szCs w:val="18"/>
              </w:rPr>
            </w:pPr>
            <w:r>
              <w:rPr>
                <w:rFonts w:ascii="宋体" w:hAnsi="宋体" w:cs="宋体" w:eastAsia="宋体" w:hint="default"/>
                <w:sz w:val="18"/>
                <w:szCs w:val="18"/>
              </w:rPr>
              <w:t>临时股东大会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20.76%</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w:t>
            </w:r>
          </w:p>
          <w:p>
            <w:pPr>
              <w:pStyle w:val="TableParagraph"/>
              <w:spacing w:line="240" w:lineRule="auto" w:before="62"/>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21</w:t>
            </w:r>
          </w:p>
          <w:p>
            <w:pPr>
              <w:pStyle w:val="TableParagraph"/>
              <w:spacing w:line="240" w:lineRule="auto" w:before="62"/>
              <w:ind w:left="10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103" w:right="7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年第三次临 时股东大会决议 公告（</w:t>
            </w:r>
            <w:r>
              <w:rPr>
                <w:rFonts w:ascii="Times New Roman" w:hAnsi="Times New Roman" w:cs="Times New Roman" w:eastAsia="Times New Roman" w:hint="default"/>
                <w:sz w:val="18"/>
                <w:szCs w:val="18"/>
              </w:rPr>
              <w:t>2019-059</w:t>
            </w:r>
            <w:r>
              <w:rPr>
                <w:rFonts w:ascii="宋体" w:hAnsi="宋体" w:cs="宋体" w:eastAsia="宋体" w:hint="default"/>
                <w:sz w:val="18"/>
                <w:szCs w:val="18"/>
              </w:rPr>
              <w:t>）</w:t>
            </w:r>
          </w:p>
        </w:tc>
      </w:tr>
    </w:tbl>
    <w:p>
      <w:pPr>
        <w:spacing w:after="0" w:line="309" w:lineRule="auto"/>
        <w:jc w:val="left"/>
        <w:rPr>
          <w:rFonts w:ascii="宋体" w:hAnsi="宋体" w:cs="宋体" w:eastAsia="宋体" w:hint="default"/>
          <w:sz w:val="18"/>
          <w:szCs w:val="18"/>
        </w:rPr>
        <w:sectPr>
          <w:pgSz w:w="11910" w:h="16840"/>
          <w:pgMar w:header="906" w:footer="1018" w:top="1100" w:bottom="1200" w:left="1020" w:right="0"/>
        </w:sectPr>
      </w:pPr>
    </w:p>
    <w:p>
      <w:pPr>
        <w:spacing w:line="240" w:lineRule="auto" w:before="2"/>
        <w:rPr>
          <w:rFonts w:ascii="宋体" w:hAnsi="宋体" w:cs="宋体" w:eastAsia="宋体" w:hint="default"/>
          <w:b/>
          <w:bCs/>
          <w:sz w:val="23"/>
          <w:szCs w:val="23"/>
        </w:rPr>
      </w:pPr>
    </w:p>
    <w:p>
      <w:pPr>
        <w:pStyle w:val="BodyText"/>
        <w:spacing w:line="240" w:lineRule="auto" w:before="44"/>
        <w:ind w:right="0"/>
        <w:jc w:val="left"/>
      </w:pPr>
      <w:r>
        <w:rPr/>
        <w:t>□ 适用 √ 不适用</w:t>
      </w:r>
    </w:p>
    <w:p>
      <w:pPr>
        <w:spacing w:line="240" w:lineRule="auto" w:before="1"/>
        <w:rPr>
          <w:rFonts w:ascii="宋体" w:hAnsi="宋体" w:cs="宋体" w:eastAsia="宋体" w:hint="default"/>
          <w:sz w:val="25"/>
          <w:szCs w:val="25"/>
        </w:rPr>
      </w:pPr>
    </w:p>
    <w:p>
      <w:pPr>
        <w:pStyle w:val="Heading2"/>
        <w:spacing w:line="240" w:lineRule="auto"/>
        <w:ind w:right="0"/>
        <w:jc w:val="left"/>
        <w:rPr>
          <w:b w:val="0"/>
          <w:bCs w:val="0"/>
        </w:rPr>
      </w:pPr>
      <w:r>
        <w:rPr/>
        <w:t>五、报告期内独立董事履行职责的情况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r>
        <w:rPr>
          <w:rFonts w:ascii="Times New Roman" w:hAnsi="Times New Roman" w:cs="Times New Roman" w:eastAsia="Times New Roman" w:hint="default"/>
        </w:rPr>
        <w:t>1</w:t>
      </w:r>
      <w:r>
        <w:rPr/>
        <w:t>、独立董事出席董事会及股东大会的情况</w:t>
      </w:r>
      <w:r>
        <w:rPr>
          <w:b w:val="0"/>
          <w:bCs w:val="0"/>
        </w:rPr>
      </w:r>
    </w:p>
    <w:p>
      <w:pPr>
        <w:spacing w:line="240" w:lineRule="auto" w:before="11"/>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1427"/>
        <w:gridCol w:w="1164"/>
        <w:gridCol w:w="1164"/>
        <w:gridCol w:w="1163"/>
        <w:gridCol w:w="1163"/>
        <w:gridCol w:w="1163"/>
        <w:gridCol w:w="1163"/>
        <w:gridCol w:w="1163"/>
      </w:tblGrid>
      <w:tr>
        <w:trPr>
          <w:trHeight w:val="402" w:hRule="exact"/>
        </w:trPr>
        <w:tc>
          <w:tcPr>
            <w:tcW w:w="9570" w:type="dxa"/>
            <w:gridSpan w:val="8"/>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独立董事出席董事会及股东大会的情况</w:t>
            </w:r>
          </w:p>
        </w:tc>
      </w:tr>
      <w:tr>
        <w:trPr>
          <w:trHeight w:val="1337" w:hRule="exact"/>
        </w:trPr>
        <w:tc>
          <w:tcPr>
            <w:tcW w:w="14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left="168" w:right="0"/>
              <w:jc w:val="left"/>
              <w:rPr>
                <w:rFonts w:ascii="宋体" w:hAnsi="宋体" w:cs="宋体" w:eastAsia="宋体" w:hint="default"/>
                <w:sz w:val="18"/>
                <w:szCs w:val="18"/>
              </w:rPr>
            </w:pPr>
            <w:r>
              <w:rPr>
                <w:rFonts w:ascii="宋体" w:hAnsi="宋体" w:cs="宋体" w:eastAsia="宋体" w:hint="default"/>
                <w:sz w:val="18"/>
                <w:szCs w:val="18"/>
              </w:rPr>
              <w:t>独立董事姓名</w:t>
            </w:r>
          </w:p>
        </w:tc>
        <w:tc>
          <w:tcPr>
            <w:tcW w:w="116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127" w:right="125"/>
              <w:jc w:val="center"/>
              <w:rPr>
                <w:rFonts w:ascii="宋体" w:hAnsi="宋体" w:cs="宋体" w:eastAsia="宋体" w:hint="default"/>
                <w:sz w:val="18"/>
                <w:szCs w:val="18"/>
              </w:rPr>
            </w:pPr>
            <w:r>
              <w:rPr>
                <w:rFonts w:ascii="宋体" w:hAnsi="宋体" w:cs="宋体" w:eastAsia="宋体" w:hint="default"/>
                <w:sz w:val="18"/>
                <w:szCs w:val="18"/>
              </w:rPr>
              <w:t>本报告期应 参加董事会 次数</w:t>
            </w:r>
          </w:p>
        </w:tc>
        <w:tc>
          <w:tcPr>
            <w:tcW w:w="116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5"/>
              <w:ind w:left="217" w:right="125" w:hanging="90"/>
              <w:jc w:val="left"/>
              <w:rPr>
                <w:rFonts w:ascii="宋体" w:hAnsi="宋体" w:cs="宋体" w:eastAsia="宋体" w:hint="default"/>
                <w:sz w:val="18"/>
                <w:szCs w:val="18"/>
              </w:rPr>
            </w:pPr>
            <w:r>
              <w:rPr>
                <w:rFonts w:ascii="宋体" w:hAnsi="宋体" w:cs="宋体" w:eastAsia="宋体" w:hint="default"/>
                <w:sz w:val="18"/>
                <w:szCs w:val="18"/>
              </w:rPr>
              <w:t>现场出席董 事会次数</w:t>
            </w:r>
          </w:p>
        </w:tc>
        <w:tc>
          <w:tcPr>
            <w:tcW w:w="11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126" w:right="125"/>
              <w:jc w:val="center"/>
              <w:rPr>
                <w:rFonts w:ascii="宋体" w:hAnsi="宋体" w:cs="宋体" w:eastAsia="宋体" w:hint="default"/>
                <w:sz w:val="18"/>
                <w:szCs w:val="18"/>
              </w:rPr>
            </w:pPr>
            <w:r>
              <w:rPr>
                <w:rFonts w:ascii="宋体" w:hAnsi="宋体" w:cs="宋体" w:eastAsia="宋体" w:hint="default"/>
                <w:sz w:val="18"/>
                <w:szCs w:val="18"/>
              </w:rPr>
              <w:t>以通讯方式 参加董事会 次数</w:t>
            </w:r>
          </w:p>
        </w:tc>
        <w:tc>
          <w:tcPr>
            <w:tcW w:w="11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5"/>
              <w:ind w:left="216" w:right="125" w:hanging="90"/>
              <w:jc w:val="left"/>
              <w:rPr>
                <w:rFonts w:ascii="宋体" w:hAnsi="宋体" w:cs="宋体" w:eastAsia="宋体" w:hint="default"/>
                <w:sz w:val="18"/>
                <w:szCs w:val="18"/>
              </w:rPr>
            </w:pPr>
            <w:r>
              <w:rPr>
                <w:rFonts w:ascii="宋体" w:hAnsi="宋体" w:cs="宋体" w:eastAsia="宋体" w:hint="default"/>
                <w:sz w:val="18"/>
                <w:szCs w:val="18"/>
              </w:rPr>
              <w:t>委托出席董 事会次数</w:t>
            </w:r>
          </w:p>
        </w:tc>
        <w:tc>
          <w:tcPr>
            <w:tcW w:w="11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5"/>
              <w:ind w:left="396" w:right="125" w:hanging="270"/>
              <w:jc w:val="left"/>
              <w:rPr>
                <w:rFonts w:ascii="宋体" w:hAnsi="宋体" w:cs="宋体" w:eastAsia="宋体" w:hint="default"/>
                <w:sz w:val="18"/>
                <w:szCs w:val="18"/>
              </w:rPr>
            </w:pPr>
            <w:r>
              <w:rPr>
                <w:rFonts w:ascii="宋体" w:hAnsi="宋体" w:cs="宋体" w:eastAsia="宋体" w:hint="default"/>
                <w:sz w:val="18"/>
                <w:szCs w:val="18"/>
              </w:rPr>
              <w:t>缺席董事会 次数</w:t>
            </w:r>
          </w:p>
        </w:tc>
        <w:tc>
          <w:tcPr>
            <w:tcW w:w="11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26" w:right="125"/>
              <w:jc w:val="center"/>
              <w:rPr>
                <w:rFonts w:ascii="宋体" w:hAnsi="宋体" w:cs="宋体" w:eastAsia="宋体" w:hint="default"/>
                <w:sz w:val="18"/>
                <w:szCs w:val="18"/>
              </w:rPr>
            </w:pPr>
            <w:r>
              <w:rPr>
                <w:rFonts w:ascii="宋体" w:hAnsi="宋体" w:cs="宋体" w:eastAsia="宋体" w:hint="default"/>
                <w:sz w:val="18"/>
                <w:szCs w:val="18"/>
              </w:rPr>
              <w:t>是否连续两 次未亲自参 加董事会会 议</w:t>
            </w:r>
          </w:p>
        </w:tc>
        <w:tc>
          <w:tcPr>
            <w:tcW w:w="11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5"/>
              <w:ind w:left="306" w:right="125" w:hanging="180"/>
              <w:jc w:val="left"/>
              <w:rPr>
                <w:rFonts w:ascii="宋体" w:hAnsi="宋体" w:cs="宋体" w:eastAsia="宋体" w:hint="default"/>
                <w:sz w:val="18"/>
                <w:szCs w:val="18"/>
              </w:rPr>
            </w:pPr>
            <w:r>
              <w:rPr>
                <w:rFonts w:ascii="宋体" w:hAnsi="宋体" w:cs="宋体" w:eastAsia="宋体" w:hint="default"/>
                <w:sz w:val="18"/>
                <w:szCs w:val="18"/>
              </w:rPr>
              <w:t>出席股东大 会次数</w:t>
            </w:r>
          </w:p>
        </w:tc>
      </w:tr>
      <w:tr>
        <w:trPr>
          <w:trHeight w:val="403" w:hRule="exact"/>
        </w:trPr>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蔡正华</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7</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5</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4</w:t>
            </w:r>
          </w:p>
        </w:tc>
      </w:tr>
      <w:tr>
        <w:trPr>
          <w:trHeight w:val="402" w:hRule="exact"/>
        </w:trPr>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陈雪娇</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5</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4</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w:t>
            </w:r>
          </w:p>
        </w:tc>
      </w:tr>
      <w:tr>
        <w:trPr>
          <w:trHeight w:val="402" w:hRule="exact"/>
        </w:trPr>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丁虹</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w:t>
            </w:r>
          </w:p>
        </w:tc>
      </w:tr>
      <w:tr>
        <w:trPr>
          <w:trHeight w:val="402" w:hRule="exact"/>
        </w:trPr>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岳修峰</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5</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4</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3</w:t>
            </w:r>
          </w:p>
        </w:tc>
      </w:tr>
      <w:tr>
        <w:trPr>
          <w:trHeight w:val="402" w:hRule="exact"/>
        </w:trPr>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王晓瑞</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w:t>
            </w:r>
          </w:p>
        </w:tc>
      </w:tr>
    </w:tbl>
    <w:p>
      <w:pPr>
        <w:pStyle w:val="BodyText"/>
        <w:spacing w:line="240" w:lineRule="auto" w:before="49"/>
        <w:ind w:right="0"/>
        <w:jc w:val="left"/>
      </w:pPr>
      <w:r>
        <w:rPr/>
        <w:t>连续两次未亲自出席董事会的说明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2</w:t>
      </w:r>
      <w:r>
        <w:rPr/>
        <w:t>、独立董事对公司有关事项提出异议的情况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独立董事对公司有关事项是否提出异议</w:t>
      </w:r>
    </w:p>
    <w:p>
      <w:pPr>
        <w:pStyle w:val="BodyText"/>
        <w:spacing w:line="360" w:lineRule="auto" w:before="116"/>
        <w:ind w:right="6972"/>
        <w:jc w:val="left"/>
      </w:pPr>
      <w:r>
        <w:rPr/>
        <w:t>□ 是 √ 否 报告期内独立董事对公司有关事项未提出异议。</w:t>
      </w:r>
    </w:p>
    <w:p>
      <w:pPr>
        <w:spacing w:line="240" w:lineRule="auto" w:before="1"/>
        <w:rPr>
          <w:rFonts w:ascii="宋体" w:hAnsi="宋体" w:cs="宋体" w:eastAsia="宋体" w:hint="default"/>
          <w:sz w:val="20"/>
          <w:szCs w:val="20"/>
        </w:rPr>
      </w:pPr>
    </w:p>
    <w:p>
      <w:pPr>
        <w:pStyle w:val="Heading3"/>
        <w:spacing w:line="240" w:lineRule="auto"/>
        <w:ind w:right="0"/>
        <w:jc w:val="left"/>
        <w:rPr>
          <w:b w:val="0"/>
          <w:bCs w:val="0"/>
        </w:rPr>
      </w:pPr>
      <w:r>
        <w:rPr>
          <w:rFonts w:ascii="Times New Roman" w:hAnsi="Times New Roman" w:cs="Times New Roman" w:eastAsia="Times New Roman" w:hint="default"/>
        </w:rPr>
        <w:t>3</w:t>
      </w:r>
      <w:r>
        <w:rPr/>
        <w:t>、独立董事履行职责的其他说明</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独立董事对公司有关建议是否被采纳</w:t>
      </w:r>
    </w:p>
    <w:p>
      <w:pPr>
        <w:pStyle w:val="BodyText"/>
        <w:spacing w:line="357" w:lineRule="auto" w:before="116"/>
        <w:ind w:right="6792"/>
        <w:jc w:val="left"/>
      </w:pPr>
      <w:r>
        <w:rPr/>
        <w:t>□ 是 √ 否 独立董事对公司有关建议被采纳或未被采纳的说明 无</w:t>
      </w:r>
    </w:p>
    <w:p>
      <w:pPr>
        <w:spacing w:line="240" w:lineRule="auto" w:before="5"/>
        <w:rPr>
          <w:rFonts w:ascii="宋体" w:hAnsi="宋体" w:cs="宋体" w:eastAsia="宋体" w:hint="default"/>
          <w:sz w:val="18"/>
          <w:szCs w:val="18"/>
        </w:rPr>
      </w:pPr>
    </w:p>
    <w:p>
      <w:pPr>
        <w:pStyle w:val="Heading2"/>
        <w:spacing w:line="240" w:lineRule="auto"/>
        <w:ind w:right="0"/>
        <w:jc w:val="left"/>
        <w:rPr>
          <w:b w:val="0"/>
          <w:bCs w:val="0"/>
        </w:rPr>
      </w:pPr>
      <w:r>
        <w:rPr/>
        <w:t>六、董事会下设专门委员会在报告期内履行职责情况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（一）审计委员会</w:t>
      </w:r>
    </w:p>
    <w:p>
      <w:pPr>
        <w:pStyle w:val="BodyText"/>
        <w:spacing w:line="300" w:lineRule="auto" w:before="76"/>
        <w:ind w:left="473" w:right="4182"/>
        <w:jc w:val="left"/>
      </w:pPr>
      <w:r>
        <w:rPr/>
        <w:t>（</w:t>
      </w:r>
      <w:r>
        <w:rPr>
          <w:rFonts w:ascii="Times New Roman" w:hAnsi="Times New Roman" w:cs="Times New Roman" w:eastAsia="Times New Roman" w:hint="default"/>
        </w:rPr>
        <w:t>1</w:t>
      </w:r>
      <w:r>
        <w:rPr/>
        <w:t>）会议情况 报告期内，公司董事会审计委员会共召开了4次会议，全体委员均出席了会议。</w:t>
      </w:r>
    </w:p>
    <w:p>
      <w:pPr>
        <w:pStyle w:val="BodyText"/>
        <w:spacing w:line="240" w:lineRule="auto" w:before="31"/>
        <w:ind w:left="473" w:right="0"/>
        <w:jc w:val="left"/>
      </w:pPr>
      <w:r>
        <w:rPr/>
        <w:t>（</w:t>
      </w:r>
      <w:r>
        <w:rPr>
          <w:rFonts w:ascii="Times New Roman" w:hAnsi="Times New Roman" w:cs="Times New Roman" w:eastAsia="Times New Roman" w:hint="default"/>
        </w:rPr>
        <w:t>2</w:t>
      </w:r>
      <w:r>
        <w:rPr/>
        <w:t>）履职情况</w:t>
      </w:r>
    </w:p>
    <w:p>
      <w:pPr>
        <w:pStyle w:val="BodyText"/>
        <w:spacing w:line="300" w:lineRule="auto" w:before="62"/>
        <w:ind w:left="503" w:right="0" w:firstLine="240"/>
        <w:jc w:val="left"/>
      </w:pPr>
      <w:r>
        <w:rPr/>
        <w:t>①对</w:t>
      </w:r>
      <w:r>
        <w:rPr>
          <w:rFonts w:ascii="Times New Roman" w:hAnsi="Times New Roman" w:cs="Times New Roman" w:eastAsia="Times New Roman" w:hint="default"/>
        </w:rPr>
        <w:t>201</w:t>
      </w:r>
      <w:r>
        <w:rPr/>
        <w:t>8年财务报告的稽核 </w:t>
      </w:r>
      <w:r>
        <w:rPr>
          <w:spacing w:val="-1"/>
        </w:rPr>
        <w:t>审计委员会对公司</w:t>
      </w:r>
      <w:r>
        <w:rPr>
          <w:rFonts w:ascii="Times New Roman" w:hAnsi="Times New Roman" w:cs="Times New Roman" w:eastAsia="Times New Roman" w:hint="default"/>
          <w:spacing w:val="-1"/>
        </w:rPr>
        <w:t>201</w:t>
      </w:r>
      <w:r>
        <w:rPr>
          <w:spacing w:val="-1"/>
        </w:rPr>
        <w:t>8年度财务报表进行了审计，出具了审计意见。审计委员会对公司</w:t>
      </w:r>
      <w:r>
        <w:rPr>
          <w:rFonts w:ascii="Times New Roman" w:hAnsi="Times New Roman" w:cs="Times New Roman" w:eastAsia="Times New Roman" w:hint="default"/>
          <w:spacing w:val="-1"/>
        </w:rPr>
        <w:t>201</w:t>
      </w:r>
      <w:r>
        <w:rPr>
          <w:spacing w:val="-1"/>
        </w:rPr>
        <w:t>8年财务报表的审计意见为：</w:t>
      </w:r>
    </w:p>
    <w:p>
      <w:pPr>
        <w:pStyle w:val="BodyText"/>
        <w:spacing w:line="240" w:lineRule="auto" w:before="13"/>
        <w:ind w:right="0"/>
        <w:jc w:val="left"/>
      </w:pPr>
      <w:r>
        <w:rPr/>
        <w:t>公司财务报表已经按照企业会计准则和《企业会计制度》的规定编制，在所有重大方面公允反映了公司</w:t>
      </w:r>
      <w:r>
        <w:rPr>
          <w:rFonts w:ascii="Times New Roman" w:hAnsi="Times New Roman" w:cs="Times New Roman" w:eastAsia="Times New Roman" w:hint="default"/>
        </w:rPr>
        <w:t>201</w:t>
      </w:r>
      <w:r>
        <w:rPr/>
        <w:t>8年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日的财</w:t>
      </w:r>
    </w:p>
    <w:p>
      <w:pPr>
        <w:spacing w:after="0" w:line="240" w:lineRule="auto"/>
        <w:jc w:val="left"/>
        <w:sectPr>
          <w:headerReference w:type="default" r:id="rId17"/>
          <w:pgSz w:w="11910" w:h="16840"/>
          <w:pgMar w:header="917" w:footer="1018" w:top="1700" w:bottom="1200" w:left="1020" w:right="0"/>
        </w:sectPr>
      </w:pPr>
    </w:p>
    <w:p>
      <w:pPr>
        <w:spacing w:line="240" w:lineRule="auto" w:before="11"/>
        <w:rPr>
          <w:rFonts w:ascii="宋体" w:hAnsi="宋体" w:cs="宋体" w:eastAsia="宋体" w:hint="default"/>
          <w:sz w:val="22"/>
          <w:szCs w:val="22"/>
        </w:rPr>
      </w:pPr>
    </w:p>
    <w:p>
      <w:pPr>
        <w:pStyle w:val="BodyText"/>
        <w:spacing w:line="240" w:lineRule="auto" w:before="44"/>
        <w:ind w:right="0"/>
        <w:jc w:val="both"/>
      </w:pPr>
      <w:r>
        <w:rPr/>
        <w:t>务状况以及</w:t>
      </w:r>
      <w:r>
        <w:rPr>
          <w:rFonts w:ascii="Times New Roman" w:hAnsi="Times New Roman" w:cs="Times New Roman" w:eastAsia="Times New Roman" w:hint="default"/>
        </w:rPr>
        <w:t>201</w:t>
      </w:r>
      <w:r>
        <w:rPr/>
        <w:t>8年度的经营成果和现金流量。</w:t>
      </w:r>
    </w:p>
    <w:p>
      <w:pPr>
        <w:pStyle w:val="BodyText"/>
        <w:spacing w:line="240" w:lineRule="auto" w:before="62"/>
        <w:ind w:left="503" w:right="0"/>
        <w:jc w:val="left"/>
      </w:pPr>
      <w:r>
        <w:rPr/>
        <w:t>②对续聘会计师事务所提出建议，建议继续聘任上会会计师事务所作为公司</w:t>
      </w:r>
      <w:r>
        <w:rPr>
          <w:rFonts w:ascii="Times New Roman" w:hAnsi="Times New Roman" w:cs="Times New Roman" w:eastAsia="Times New Roman" w:hint="default"/>
        </w:rPr>
        <w:t>201</w:t>
      </w:r>
      <w:r>
        <w:rPr/>
        <w:t>9年度财务审计机构。</w:t>
      </w:r>
    </w:p>
    <w:p>
      <w:pPr>
        <w:pStyle w:val="BodyText"/>
        <w:spacing w:line="316" w:lineRule="auto" w:before="63"/>
        <w:ind w:left="503" w:right="1114"/>
        <w:jc w:val="left"/>
      </w:pPr>
      <w:r>
        <w:rPr/>
        <w:t>③对内部控制的核查 </w:t>
      </w:r>
      <w:r>
        <w:rPr>
          <w:spacing w:val="-2"/>
        </w:rPr>
        <w:t>公司董事会审计委员会对公司</w:t>
      </w:r>
      <w:r>
        <w:rPr>
          <w:rFonts w:ascii="Times New Roman" w:hAnsi="Times New Roman" w:cs="Times New Roman" w:eastAsia="Times New Roman" w:hint="default"/>
          <w:spacing w:val="-2"/>
        </w:rPr>
        <w:t>201</w:t>
      </w:r>
      <w:r>
        <w:rPr>
          <w:spacing w:val="-2"/>
        </w:rPr>
        <w:t>8年度内部控制情况进行了全面检查并出具了《</w:t>
      </w:r>
      <w:r>
        <w:rPr>
          <w:rFonts w:ascii="Times New Roman" w:hAnsi="Times New Roman" w:cs="Times New Roman" w:eastAsia="Times New Roman" w:hint="default"/>
          <w:spacing w:val="-2"/>
        </w:rPr>
        <w:t>201</w:t>
      </w:r>
      <w:r>
        <w:rPr>
          <w:spacing w:val="-2"/>
        </w:rPr>
        <w:t>8年度内部控制自我评价报告》，认</w:t>
      </w:r>
    </w:p>
    <w:p>
      <w:pPr>
        <w:pStyle w:val="BodyText"/>
        <w:spacing w:line="316" w:lineRule="auto"/>
        <w:ind w:right="1129"/>
        <w:jc w:val="both"/>
      </w:pPr>
      <w:r>
        <w:rPr>
          <w:spacing w:val="-2"/>
        </w:rPr>
        <w:t>为：公司建立了较为完善的法人治理结构，内部控制体系较为健全，符合相关法律法规和监管部门的要求。公司内部控制制</w:t>
      </w:r>
      <w:r>
        <w:rPr>
          <w:spacing w:val="-68"/>
        </w:rPr>
        <w:t> </w:t>
      </w:r>
      <w:r>
        <w:rPr>
          <w:spacing w:val="-68"/>
        </w:rPr>
      </w:r>
      <w:r>
        <w:rPr>
          <w:spacing w:val="-2"/>
        </w:rPr>
        <w:t>度能够得到贯彻执行，并在公司经营管理的各个环节和对外投资、关联交易、信息披露等方面发挥较好的管理控制作用，没</w:t>
      </w:r>
      <w:r>
        <w:rPr>
          <w:spacing w:val="-67"/>
        </w:rPr>
        <w:t> </w:t>
      </w:r>
      <w:r>
        <w:rPr>
          <w:spacing w:val="-67"/>
        </w:rPr>
      </w:r>
      <w:r>
        <w:rPr>
          <w:spacing w:val="-2"/>
        </w:rPr>
        <w:t>有发现公司内部控制存在重大缺陷或重大风险。公司内部控制制度为公司控制和防范经营管理风险、保护投资者合法权益提</w:t>
      </w:r>
      <w:r>
        <w:rPr>
          <w:spacing w:val="-64"/>
        </w:rPr>
        <w:t> </w:t>
      </w:r>
      <w:r>
        <w:rPr>
          <w:spacing w:val="-64"/>
        </w:rPr>
      </w:r>
      <w:r>
        <w:rPr/>
        <w:t>供了保障，促进了公司规范运作和健康持续发展，公司内部控制是有效的。</w:t>
      </w:r>
    </w:p>
    <w:p>
      <w:pPr>
        <w:pStyle w:val="BodyText"/>
        <w:spacing w:line="316" w:lineRule="auto" w:before="19"/>
        <w:ind w:left="473" w:right="0" w:hanging="360"/>
        <w:jc w:val="left"/>
      </w:pPr>
      <w:r>
        <w:rPr/>
        <w:t>（二）薪酬与考核委员会 </w:t>
      </w:r>
      <w:r>
        <w:rPr>
          <w:spacing w:val="-2"/>
        </w:rPr>
        <w:t>报告期内公司薪酬与考核委员召开了一次会议，全体委员均出席了会议，会议审议通过了公司董事、监事和高级管理人</w:t>
      </w:r>
    </w:p>
    <w:p>
      <w:pPr>
        <w:pStyle w:val="BodyText"/>
        <w:spacing w:line="240" w:lineRule="auto" w:before="18"/>
        <w:ind w:right="0"/>
        <w:jc w:val="both"/>
      </w:pPr>
      <w:r>
        <w:rPr/>
        <w:t>员</w:t>
      </w:r>
      <w:r>
        <w:rPr>
          <w:rFonts w:ascii="Times New Roman" w:hAnsi="Times New Roman" w:cs="Times New Roman" w:eastAsia="Times New Roman" w:hint="default"/>
        </w:rPr>
        <w:t>201</w:t>
      </w:r>
      <w:r>
        <w:rPr/>
        <w:t>8年度的薪酬，绩效考核数据真实。</w:t>
      </w:r>
    </w:p>
    <w:p>
      <w:pPr>
        <w:pStyle w:val="BodyText"/>
        <w:spacing w:line="316" w:lineRule="auto" w:before="63"/>
        <w:ind w:left="473" w:right="0" w:hanging="360"/>
        <w:jc w:val="left"/>
      </w:pPr>
      <w:r>
        <w:rPr/>
        <w:t>（三）战略发展委员会 </w:t>
      </w:r>
      <w:r>
        <w:rPr>
          <w:spacing w:val="-2"/>
        </w:rPr>
        <w:t>报告期内公司战略发展委员会召开了一次会议，全体委员均能出席了会议，会议通过了公司组织机构调整的方案。公司</w:t>
      </w:r>
    </w:p>
    <w:p>
      <w:pPr>
        <w:pStyle w:val="BodyText"/>
        <w:spacing w:line="240" w:lineRule="auto" w:before="18"/>
        <w:ind w:right="0"/>
        <w:jc w:val="both"/>
      </w:pPr>
      <w:r>
        <w:rPr/>
        <w:t>战略发展委员会认为：公司组织机构的调整是适合公司的发展，符合公司的发展战略的。</w:t>
      </w:r>
    </w:p>
    <w:p>
      <w:pPr>
        <w:pStyle w:val="BodyText"/>
        <w:spacing w:line="316" w:lineRule="auto" w:before="76"/>
        <w:ind w:left="473" w:right="1032" w:hanging="360"/>
        <w:jc w:val="left"/>
      </w:pPr>
      <w:r>
        <w:rPr/>
        <w:t>（四）提名委员会 </w:t>
      </w:r>
      <w:r>
        <w:rPr>
          <w:spacing w:val="-2"/>
        </w:rPr>
        <w:t>报告期内提名委员会共召开了四次会议，全体成员均出席了会议，会议通过口头表决的方式，第一次会议通过了提名钱</w:t>
      </w:r>
    </w:p>
    <w:p>
      <w:pPr>
        <w:pStyle w:val="BodyText"/>
        <w:spacing w:line="316" w:lineRule="auto" w:before="18"/>
        <w:ind w:right="1131"/>
        <w:jc w:val="both"/>
      </w:pPr>
      <w:r>
        <w:rPr>
          <w:spacing w:val="-2"/>
        </w:rPr>
        <w:t>京先生、高强先生、赵长健先生、胡兆凤女士、陆道如先生、钟迎九先生为公司第七届董事会非独立董事候选人，提名蔡正</w:t>
      </w:r>
      <w:r>
        <w:rPr>
          <w:spacing w:val="-66"/>
        </w:rPr>
        <w:t> </w:t>
      </w:r>
      <w:r>
        <w:rPr>
          <w:spacing w:val="-66"/>
        </w:rPr>
      </w:r>
      <w:r>
        <w:rPr>
          <w:spacing w:val="-2"/>
        </w:rPr>
        <w:t>华先生、袁玉平先生、陈雪娇女士为公司第七届董事会独立董事候选人；第二次会议通过了提名钱京先生为公司总裁，提名</w:t>
      </w:r>
      <w:r>
        <w:rPr>
          <w:spacing w:val="-67"/>
        </w:rPr>
        <w:t> </w:t>
      </w:r>
      <w:r>
        <w:rPr>
          <w:spacing w:val="-67"/>
        </w:rPr>
      </w:r>
      <w:r>
        <w:rPr>
          <w:spacing w:val="-2"/>
        </w:rPr>
        <w:t>高强先生为公司副总裁，提名赵长健先生为公司副总裁兼财务总监，提名陈妹妹女士为公司副总裁兼董事会秘书；第三次会</w:t>
      </w:r>
      <w:r>
        <w:rPr>
          <w:spacing w:val="-67"/>
        </w:rPr>
        <w:t> </w:t>
      </w:r>
      <w:r>
        <w:rPr>
          <w:spacing w:val="-67"/>
        </w:rPr>
      </w:r>
      <w:r>
        <w:rPr>
          <w:spacing w:val="-2"/>
        </w:rPr>
        <w:t>议通过了提名徐霄凌女士为公司第七届董事会非独立董事候选人、公司副总裁兼财务总监；第四次会议通过了提名丁虹女士</w:t>
      </w:r>
      <w:r>
        <w:rPr>
          <w:spacing w:val="-64"/>
        </w:rPr>
        <w:t> </w:t>
      </w:r>
      <w:r>
        <w:rPr>
          <w:spacing w:val="-64"/>
        </w:rPr>
      </w:r>
      <w:r>
        <w:rPr/>
        <w:t>为公司第七届董事会独立董事候选人。</w:t>
      </w: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26"/>
          <w:szCs w:val="26"/>
        </w:rPr>
      </w:pPr>
    </w:p>
    <w:p>
      <w:pPr>
        <w:pStyle w:val="Heading2"/>
        <w:spacing w:line="240" w:lineRule="auto"/>
        <w:ind w:right="0"/>
        <w:jc w:val="both"/>
        <w:rPr>
          <w:b w:val="0"/>
          <w:bCs w:val="0"/>
        </w:rPr>
      </w:pPr>
      <w:r>
        <w:rPr/>
        <w:t>七、监事会工作情况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both"/>
      </w:pPr>
      <w:r>
        <w:rPr/>
        <w:t>监事会在报告期内的监督活动中发现公司是否存在风险</w:t>
      </w:r>
    </w:p>
    <w:p>
      <w:pPr>
        <w:pStyle w:val="BodyText"/>
        <w:spacing w:line="360" w:lineRule="auto" w:before="116"/>
        <w:ind w:right="7692"/>
        <w:jc w:val="left"/>
      </w:pPr>
      <w:r>
        <w:rPr/>
        <w:t>□ 是 √ 否 监事会对报告期内的监督事项无异议。</w:t>
      </w:r>
    </w:p>
    <w:p>
      <w:pPr>
        <w:spacing w:line="240" w:lineRule="auto" w:before="2"/>
        <w:rPr>
          <w:rFonts w:ascii="宋体" w:hAnsi="宋体" w:cs="宋体" w:eastAsia="宋体" w:hint="default"/>
          <w:sz w:val="18"/>
          <w:szCs w:val="18"/>
        </w:rPr>
      </w:pPr>
    </w:p>
    <w:p>
      <w:pPr>
        <w:pStyle w:val="Heading2"/>
        <w:spacing w:line="240" w:lineRule="auto"/>
        <w:ind w:right="0"/>
        <w:jc w:val="both"/>
        <w:rPr>
          <w:b w:val="0"/>
          <w:bCs w:val="0"/>
        </w:rPr>
      </w:pPr>
      <w:r>
        <w:rPr/>
        <w:t>八、高级管理人员的考评及激励情况</w:t>
      </w:r>
      <w:r>
        <w:rPr>
          <w:b w:val="0"/>
          <w:bCs w:val="0"/>
        </w:rPr>
      </w:r>
    </w:p>
    <w:p>
      <w:pPr>
        <w:spacing w:line="240" w:lineRule="auto" w:before="7"/>
        <w:rPr>
          <w:rFonts w:ascii="宋体" w:hAnsi="宋体" w:cs="宋体" w:eastAsia="宋体" w:hint="default"/>
          <w:b/>
          <w:bCs/>
          <w:sz w:val="26"/>
          <w:szCs w:val="26"/>
        </w:rPr>
      </w:pPr>
    </w:p>
    <w:p>
      <w:pPr>
        <w:pStyle w:val="BodyText"/>
        <w:spacing w:line="316" w:lineRule="auto"/>
        <w:ind w:right="0" w:firstLine="360"/>
        <w:jc w:val="left"/>
      </w:pPr>
      <w:r>
        <w:rPr>
          <w:spacing w:val="-2"/>
        </w:rPr>
        <w:t>公司建立和完善了高级管理人员的绩效考评体系。公司高级管理人员实行薪酬与工作绩效直接挂钩的考评机制，通过对</w:t>
      </w:r>
      <w:r>
        <w:rPr/>
        <w:t> 公司高级管理人员签订的目标责任状的完成情况进行年终工作绩效考评，根据考评结果决定其报酬和奖励。</w:t>
      </w:r>
    </w:p>
    <w:p>
      <w:pPr>
        <w:spacing w:line="240" w:lineRule="auto" w:before="9"/>
        <w:rPr>
          <w:rFonts w:ascii="宋体" w:hAnsi="宋体" w:cs="宋体" w:eastAsia="宋体" w:hint="default"/>
          <w:sz w:val="20"/>
          <w:szCs w:val="20"/>
        </w:rPr>
      </w:pPr>
    </w:p>
    <w:p>
      <w:pPr>
        <w:pStyle w:val="Heading2"/>
        <w:spacing w:line="240" w:lineRule="auto"/>
        <w:ind w:right="0"/>
        <w:jc w:val="both"/>
        <w:rPr>
          <w:b w:val="0"/>
          <w:bCs w:val="0"/>
        </w:rPr>
      </w:pPr>
      <w:r>
        <w:rPr/>
        <w:t>九、内部控制评价报告</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both"/>
        <w:rPr>
          <w:b w:val="0"/>
          <w:bCs w:val="0"/>
        </w:rPr>
      </w:pPr>
      <w:r>
        <w:rPr>
          <w:rFonts w:ascii="Times New Roman" w:hAnsi="Times New Roman" w:cs="Times New Roman" w:eastAsia="Times New Roman" w:hint="default"/>
        </w:rPr>
        <w:t>1</w:t>
      </w:r>
      <w:r>
        <w:rPr/>
        <w:t>、报告期内发现的内部控制重大缺陷的具体情况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both"/>
      </w:pPr>
      <w:r>
        <w:rPr/>
        <w:t>□ 是 √ 否</w:t>
      </w:r>
    </w:p>
    <w:p>
      <w:pPr>
        <w:spacing w:line="240" w:lineRule="auto" w:before="13"/>
        <w:rPr>
          <w:rFonts w:ascii="宋体" w:hAnsi="宋体" w:cs="宋体" w:eastAsia="宋体" w:hint="default"/>
          <w:sz w:val="26"/>
          <w:szCs w:val="26"/>
        </w:rPr>
      </w:pPr>
    </w:p>
    <w:p>
      <w:pPr>
        <w:pStyle w:val="Heading3"/>
        <w:spacing w:line="240" w:lineRule="auto"/>
        <w:ind w:right="0"/>
        <w:jc w:val="both"/>
        <w:rPr>
          <w:b w:val="0"/>
          <w:bCs w:val="0"/>
        </w:rPr>
      </w:pPr>
      <w:r>
        <w:rPr>
          <w:rFonts w:ascii="Times New Roman" w:hAnsi="Times New Roman" w:cs="Times New Roman" w:eastAsia="Times New Roman" w:hint="default"/>
        </w:rPr>
        <w:t>2</w:t>
      </w:r>
      <w:r>
        <w:rPr/>
        <w:t>、内控自我评价报告</w:t>
      </w:r>
      <w:r>
        <w:rPr>
          <w:b w:val="0"/>
          <w:bCs w:val="0"/>
        </w:rPr>
      </w:r>
    </w:p>
    <w:p>
      <w:pPr>
        <w:spacing w:line="240" w:lineRule="auto" w:before="10"/>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3194"/>
        <w:gridCol w:w="6374"/>
      </w:tblGrid>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内部控制评价报告全文披露日期</w:t>
            </w:r>
          </w:p>
        </w:tc>
        <w:tc>
          <w:tcPr>
            <w:tcW w:w="6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28 </w:t>
            </w:r>
            <w:r>
              <w:rPr>
                <w:rFonts w:ascii="宋体" w:hAnsi="宋体" w:cs="宋体" w:eastAsia="宋体" w:hint="default"/>
                <w:sz w:val="18"/>
                <w:szCs w:val="18"/>
              </w:rPr>
              <w:t>日</w:t>
            </w:r>
          </w:p>
        </w:tc>
      </w:tr>
      <w:tr>
        <w:trPr>
          <w:trHeight w:val="401" w:hRule="exact"/>
        </w:trPr>
        <w:tc>
          <w:tcPr>
            <w:tcW w:w="31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内部控制评价报告全文披露索引</w:t>
            </w:r>
          </w:p>
        </w:tc>
        <w:tc>
          <w:tcPr>
            <w:tcW w:w="6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103" w:right="0"/>
              <w:jc w:val="left"/>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《中国证券报</w:t>
            </w:r>
            <w:r>
              <w:rPr>
                <w:rFonts w:ascii="宋体" w:hAnsi="宋体" w:cs="宋体" w:eastAsia="宋体" w:hint="default"/>
                <w:spacing w:val="-90"/>
                <w:sz w:val="18"/>
                <w:szCs w:val="18"/>
              </w:rPr>
              <w:t>》、</w:t>
            </w:r>
            <w:r>
              <w:rPr>
                <w:rFonts w:ascii="宋体" w:hAnsi="宋体" w:cs="宋体" w:eastAsia="宋体" w:hint="default"/>
                <w:sz w:val="18"/>
                <w:szCs w:val="18"/>
              </w:rPr>
              <w:t>《上海证券报</w:t>
            </w:r>
            <w:r>
              <w:rPr>
                <w:rFonts w:ascii="宋体" w:hAnsi="宋体" w:cs="宋体" w:eastAsia="宋体" w:hint="default"/>
                <w:spacing w:val="-2"/>
                <w:sz w:val="18"/>
                <w:szCs w:val="18"/>
              </w:rPr>
              <w:t>》</w:t>
            </w:r>
            <w:r>
              <w:rPr>
                <w:rFonts w:ascii="宋体" w:hAnsi="宋体" w:cs="宋体" w:eastAsia="宋体" w:hint="default"/>
                <w:sz w:val="18"/>
                <w:szCs w:val="18"/>
              </w:rPr>
              <w:t>和网站巨潮网</w:t>
            </w:r>
          </w:p>
        </w:tc>
      </w:tr>
    </w:tbl>
    <w:p>
      <w:pPr>
        <w:spacing w:after="0" w:line="240" w:lineRule="auto"/>
        <w:jc w:val="left"/>
        <w:rPr>
          <w:rFonts w:ascii="宋体" w:hAnsi="宋体" w:cs="宋体" w:eastAsia="宋体" w:hint="default"/>
          <w:sz w:val="18"/>
          <w:szCs w:val="18"/>
        </w:rPr>
        <w:sectPr>
          <w:headerReference w:type="default" r:id="rId18"/>
          <w:pgSz w:w="11910" w:h="16840"/>
          <w:pgMar w:header="906" w:footer="1018" w:top="1100" w:bottom="1200" w:left="1020" w:right="0"/>
        </w:sectPr>
      </w:pPr>
    </w:p>
    <w:p>
      <w:pPr>
        <w:spacing w:line="240" w:lineRule="auto" w:before="0"/>
        <w:rPr>
          <w:rFonts w:ascii="Times New Roman" w:hAnsi="Times New Roman" w:cs="Times New Roman" w:eastAsia="Times New Roman" w:hint="default"/>
          <w:sz w:val="29"/>
          <w:szCs w:val="29"/>
        </w:rPr>
      </w:pPr>
    </w:p>
    <w:tbl>
      <w:tblPr>
        <w:tblW w:w="0" w:type="auto"/>
        <w:jc w:val="left"/>
        <w:tblInd w:w="109" w:type="dxa"/>
        <w:tblLayout w:type="fixed"/>
        <w:tblCellMar>
          <w:top w:w="0" w:type="dxa"/>
          <w:left w:w="0" w:type="dxa"/>
          <w:bottom w:w="0" w:type="dxa"/>
          <w:right w:w="0" w:type="dxa"/>
        </w:tblCellMar>
        <w:tblLook w:val="01E0"/>
      </w:tblPr>
      <w:tblGrid>
        <w:gridCol w:w="3194"/>
        <w:gridCol w:w="3323"/>
        <w:gridCol w:w="3051"/>
      </w:tblGrid>
      <w:tr>
        <w:trPr>
          <w:trHeight w:val="362" w:hRule="exact"/>
        </w:trPr>
        <w:tc>
          <w:tcPr>
            <w:tcW w:w="3194"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63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w:t>
            </w:r>
            <w:hyperlink r:id="rId13">
              <w:r>
                <w:rPr>
                  <w:rFonts w:ascii="Times New Roman" w:hAnsi="Times New Roman" w:cs="Times New Roman" w:eastAsia="Times New Roman" w:hint="default"/>
                  <w:sz w:val="18"/>
                  <w:szCs w:val="18"/>
                </w:rPr>
                <w:t>http://www.cninfo.com.cn</w:t>
              </w:r>
            </w:hyperlink>
            <w:r>
              <w:rPr>
                <w:rFonts w:ascii="宋体" w:hAnsi="宋体" w:cs="宋体" w:eastAsia="宋体" w:hint="default"/>
                <w:sz w:val="18"/>
                <w:szCs w:val="18"/>
              </w:rPr>
              <w:t>）</w:t>
            </w:r>
          </w:p>
        </w:tc>
      </w:tr>
      <w:tr>
        <w:trPr>
          <w:trHeight w:val="714" w:hRule="exact"/>
        </w:trPr>
        <w:tc>
          <w:tcPr>
            <w:tcW w:w="31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02" w:right="199"/>
              <w:jc w:val="left"/>
              <w:rPr>
                <w:rFonts w:ascii="宋体" w:hAnsi="宋体" w:cs="宋体" w:eastAsia="宋体" w:hint="default"/>
                <w:sz w:val="18"/>
                <w:szCs w:val="18"/>
              </w:rPr>
            </w:pPr>
            <w:r>
              <w:rPr>
                <w:rFonts w:ascii="宋体" w:hAnsi="宋体" w:cs="宋体" w:eastAsia="宋体" w:hint="default"/>
                <w:sz w:val="18"/>
                <w:szCs w:val="18"/>
              </w:rPr>
              <w:t>纳入评价范围单位资产总额占公司合 并财务报表资产总额的比例</w:t>
            </w:r>
          </w:p>
        </w:tc>
        <w:tc>
          <w:tcPr>
            <w:tcW w:w="63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r>
      <w:tr>
        <w:trPr>
          <w:trHeight w:val="714" w:hRule="exact"/>
        </w:trPr>
        <w:tc>
          <w:tcPr>
            <w:tcW w:w="31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49"/>
              <w:ind w:left="102" w:right="199"/>
              <w:jc w:val="left"/>
              <w:rPr>
                <w:rFonts w:ascii="宋体" w:hAnsi="宋体" w:cs="宋体" w:eastAsia="宋体" w:hint="default"/>
                <w:sz w:val="18"/>
                <w:szCs w:val="18"/>
              </w:rPr>
            </w:pPr>
            <w:r>
              <w:rPr>
                <w:rFonts w:ascii="宋体" w:hAnsi="宋体" w:cs="宋体" w:eastAsia="宋体" w:hint="default"/>
                <w:sz w:val="18"/>
                <w:szCs w:val="18"/>
              </w:rPr>
              <w:t>纳入评价范围单位营业收入占公司合 并财务报表营业收入的比例</w:t>
            </w:r>
          </w:p>
        </w:tc>
        <w:tc>
          <w:tcPr>
            <w:tcW w:w="63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r>
      <w:tr>
        <w:trPr>
          <w:trHeight w:val="402" w:hRule="exact"/>
        </w:trPr>
        <w:tc>
          <w:tcPr>
            <w:tcW w:w="9568" w:type="dxa"/>
            <w:gridSpan w:val="3"/>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缺陷认定标准</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332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财务报告</w:t>
            </w:r>
          </w:p>
        </w:tc>
        <w:tc>
          <w:tcPr>
            <w:tcW w:w="305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非财务报告</w:t>
            </w:r>
          </w:p>
        </w:tc>
      </w:tr>
      <w:tr>
        <w:trPr>
          <w:trHeight w:val="7266" w:hRule="exact"/>
        </w:trPr>
        <w:tc>
          <w:tcPr>
            <w:tcW w:w="31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定性标准</w:t>
            </w:r>
          </w:p>
        </w:tc>
        <w:tc>
          <w:tcPr>
            <w:tcW w:w="3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4" w:lineRule="auto" w:before="107"/>
              <w:ind w:left="103" w:right="101"/>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）财务报告重大缺陷的迹象包括：</w:t>
            </w:r>
            <w:r>
              <w:rPr>
                <w:rFonts w:ascii="宋体" w:hAnsi="宋体" w:cs="宋体" w:eastAsia="宋体" w:hint="default"/>
                <w:spacing w:val="-67"/>
                <w:sz w:val="18"/>
                <w:szCs w:val="18"/>
              </w:rPr>
              <w:t> </w:t>
            </w:r>
            <w:r>
              <w:rPr>
                <w:rFonts w:ascii="宋体" w:hAnsi="宋体" w:cs="宋体" w:eastAsia="宋体" w:hint="default"/>
                <w:sz w:val="18"/>
                <w:szCs w:val="18"/>
              </w:rPr>
              <w:t>①</w:t>
            </w:r>
            <w:r>
              <w:rPr>
                <w:rFonts w:ascii="宋体" w:hAnsi="宋体" w:cs="宋体" w:eastAsia="宋体" w:hint="default"/>
                <w:sz w:val="18"/>
                <w:szCs w:val="18"/>
              </w:rPr>
              <w:t> 公司高级管理人员舞弊；②公司更正已 公布的财务报告；③注册会计师发现当 期财务报告存在重大错报，而内部控制 在运行过程中未能发现该错报；④公司 </w:t>
            </w:r>
            <w:r>
              <w:rPr>
                <w:rFonts w:ascii="宋体" w:hAnsi="宋体" w:cs="宋体" w:eastAsia="宋体" w:hint="default"/>
                <w:spacing w:val="-5"/>
                <w:sz w:val="18"/>
                <w:szCs w:val="18"/>
              </w:rPr>
              <w:t>对内部控制的监督无效。（</w:t>
            </w:r>
            <w:r>
              <w:rPr>
                <w:rFonts w:ascii="Times New Roman" w:hAnsi="Times New Roman" w:cs="Times New Roman" w:eastAsia="Times New Roman" w:hint="default"/>
                <w:spacing w:val="-5"/>
                <w:sz w:val="18"/>
                <w:szCs w:val="18"/>
              </w:rPr>
              <w:t>2</w:t>
            </w:r>
            <w:r>
              <w:rPr>
                <w:rFonts w:ascii="宋体" w:hAnsi="宋体" w:cs="宋体" w:eastAsia="宋体" w:hint="default"/>
                <w:spacing w:val="-5"/>
                <w:sz w:val="18"/>
                <w:szCs w:val="18"/>
              </w:rPr>
              <w:t>）财务报告</w:t>
            </w:r>
            <w:r>
              <w:rPr>
                <w:rFonts w:ascii="宋体" w:hAnsi="宋体" w:cs="宋体" w:eastAsia="宋体" w:hint="default"/>
                <w:sz w:val="18"/>
                <w:szCs w:val="18"/>
              </w:rPr>
              <w:t> 重要缺陷的迹象包括</w:t>
            </w:r>
            <w:r>
              <w:rPr>
                <w:rFonts w:ascii="Times New Roman" w:hAnsi="Times New Roman" w:cs="Times New Roman" w:eastAsia="Times New Roman" w:hint="default"/>
                <w:sz w:val="18"/>
                <w:szCs w:val="18"/>
              </w:rPr>
              <w:t>:</w:t>
            </w:r>
            <w:r>
              <w:rPr>
                <w:rFonts w:ascii="宋体" w:hAnsi="宋体" w:cs="宋体" w:eastAsia="宋体" w:hint="default"/>
                <w:sz w:val="18"/>
                <w:szCs w:val="18"/>
              </w:rPr>
              <w:t>①未依照公认会 计准则选择和应用会计政策、未建立反 舞弊程序和控制措施；②对于非常规或 特殊交易的账务处理没有建立相应的控 制机制或没有实施且没有相应的补偿性 控制；③对于期末财务报告过程的控制 存在一项或多项缺陷且不能合理保证编 制的财务报表达到真实、准确的目标。</w:t>
            </w:r>
          </w:p>
          <w:p>
            <w:pPr>
              <w:pStyle w:val="TableParagraph"/>
              <w:spacing w:line="300" w:lineRule="auto" w:before="20"/>
              <w:ind w:left="103" w:right="101"/>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）财务报告一般缺陷是指除上述重大</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缺陷、重要缺陷之外的其他控制缺陷。</w:t>
            </w:r>
          </w:p>
        </w:tc>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0"/>
              <w:ind w:left="103" w:right="56"/>
              <w:jc w:val="left"/>
              <w:rPr>
                <w:rFonts w:ascii="宋体" w:hAnsi="宋体" w:cs="宋体" w:eastAsia="宋体" w:hint="default"/>
                <w:sz w:val="18"/>
                <w:szCs w:val="18"/>
              </w:rPr>
            </w:pPr>
            <w:r>
              <w:rPr>
                <w:rFonts w:ascii="宋体" w:hAnsi="宋体" w:cs="宋体" w:eastAsia="宋体" w:hint="default"/>
                <w:sz w:val="18"/>
                <w:szCs w:val="18"/>
              </w:rPr>
              <w:t>非财务报告缺陷认定主要以缺陷对 </w:t>
            </w:r>
            <w:r>
              <w:rPr>
                <w:rFonts w:ascii="宋体" w:hAnsi="宋体" w:cs="宋体" w:eastAsia="宋体" w:hint="default"/>
                <w:spacing w:val="-3"/>
                <w:sz w:val="18"/>
                <w:szCs w:val="18"/>
              </w:rPr>
              <w:t>业务流程有效性的影响程度、发生的</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3"/>
                <w:sz w:val="18"/>
                <w:szCs w:val="18"/>
              </w:rPr>
              <w:t>可能性作判定。如果缺陷发生的可能</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3"/>
                <w:sz w:val="18"/>
                <w:szCs w:val="18"/>
              </w:rPr>
              <w:t>性较小，会降低工作效率或效果、或</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3"/>
                <w:sz w:val="18"/>
                <w:szCs w:val="18"/>
              </w:rPr>
              <w:t>加大效果的不确定性、或使之偏离预</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3"/>
                <w:sz w:val="18"/>
                <w:szCs w:val="18"/>
              </w:rPr>
              <w:t>期目标为一般缺陷；如果缺陷发生的</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3"/>
                <w:sz w:val="18"/>
                <w:szCs w:val="18"/>
              </w:rPr>
              <w:t>可能性较高，会显著降低工作效率或</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效果、或显著加大效果的不确定性、 或使之显著偏离预期目标为重要缺 </w:t>
            </w:r>
            <w:r>
              <w:rPr>
                <w:rFonts w:ascii="宋体" w:hAnsi="宋体" w:cs="宋体" w:eastAsia="宋体" w:hint="default"/>
                <w:spacing w:val="-3"/>
                <w:sz w:val="18"/>
                <w:szCs w:val="18"/>
              </w:rPr>
              <w:t>陷；如果缺陷发生的可能性高，会严</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3"/>
                <w:sz w:val="18"/>
                <w:szCs w:val="18"/>
              </w:rPr>
              <w:t>重降低工作效率或效果、或严重加大</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3"/>
                <w:sz w:val="18"/>
                <w:szCs w:val="18"/>
              </w:rPr>
              <w:t>效果的不确定性、或使之严重偏离预</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3"/>
                <w:sz w:val="18"/>
                <w:szCs w:val="18"/>
              </w:rPr>
              <w:t>期目标为重大缺陷；另外，以下迹象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通常表明非财务报告内部控制可能 </w:t>
            </w:r>
            <w:r>
              <w:rPr>
                <w:rFonts w:ascii="宋体" w:hAnsi="宋体" w:cs="宋体" w:eastAsia="宋体" w:hint="default"/>
                <w:spacing w:val="-9"/>
                <w:sz w:val="18"/>
                <w:szCs w:val="18"/>
              </w:rPr>
              <w:t>存在重大缺陷：（</w:t>
            </w:r>
            <w:r>
              <w:rPr>
                <w:rFonts w:ascii="Times New Roman" w:hAnsi="Times New Roman" w:cs="Times New Roman" w:eastAsia="Times New Roman" w:hint="default"/>
                <w:spacing w:val="-9"/>
                <w:sz w:val="18"/>
                <w:szCs w:val="18"/>
              </w:rPr>
              <w:t>1</w:t>
            </w:r>
            <w:r>
              <w:rPr>
                <w:rFonts w:ascii="宋体" w:hAnsi="宋体" w:cs="宋体" w:eastAsia="宋体" w:hint="default"/>
                <w:spacing w:val="-9"/>
                <w:sz w:val="18"/>
                <w:szCs w:val="18"/>
              </w:rPr>
              <w:t>）公司决策程序不</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3"/>
                <w:sz w:val="18"/>
                <w:szCs w:val="18"/>
              </w:rPr>
              <w:t>科学，如决策失误，导致企业并购后</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9"/>
                <w:sz w:val="18"/>
                <w:szCs w:val="18"/>
              </w:rPr>
              <w:t>未能达到预期目标；（</w:t>
            </w:r>
            <w:r>
              <w:rPr>
                <w:rFonts w:ascii="Times New Roman" w:hAnsi="Times New Roman" w:cs="Times New Roman" w:eastAsia="Times New Roman" w:hint="default"/>
                <w:spacing w:val="-9"/>
                <w:sz w:val="18"/>
                <w:szCs w:val="18"/>
              </w:rPr>
              <w:t>2</w:t>
            </w:r>
            <w:r>
              <w:rPr>
                <w:rFonts w:ascii="宋体" w:hAnsi="宋体" w:cs="宋体" w:eastAsia="宋体" w:hint="default"/>
                <w:spacing w:val="-9"/>
                <w:sz w:val="18"/>
                <w:szCs w:val="18"/>
              </w:rPr>
              <w:t>）违犯国家法</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6"/>
                <w:sz w:val="18"/>
                <w:szCs w:val="18"/>
              </w:rPr>
              <w:t>律、法规，如产品质量不合格；（</w:t>
            </w:r>
            <w:r>
              <w:rPr>
                <w:rFonts w:ascii="Times New Roman" w:hAnsi="Times New Roman" w:cs="Times New Roman" w:eastAsia="Times New Roman" w:hint="default"/>
                <w:spacing w:val="-6"/>
                <w:sz w:val="18"/>
                <w:szCs w:val="18"/>
              </w:rPr>
              <w:t>3</w:t>
            </w:r>
            <w:r>
              <w:rPr>
                <w:rFonts w:ascii="宋体" w:hAnsi="宋体" w:cs="宋体" w:eastAsia="宋体" w:hint="default"/>
                <w:spacing w:val="-6"/>
                <w:sz w:val="18"/>
                <w:szCs w:val="18"/>
              </w:rPr>
              <w:t>）</w:t>
            </w:r>
            <w:r>
              <w:rPr>
                <w:rFonts w:ascii="宋体" w:hAnsi="宋体" w:cs="宋体" w:eastAsia="宋体" w:hint="default"/>
                <w:spacing w:val="-78"/>
                <w:sz w:val="18"/>
                <w:szCs w:val="18"/>
              </w:rPr>
              <w:t> </w:t>
            </w:r>
            <w:r>
              <w:rPr>
                <w:rFonts w:ascii="宋体" w:hAnsi="宋体" w:cs="宋体" w:eastAsia="宋体" w:hint="default"/>
                <w:sz w:val="18"/>
                <w:szCs w:val="18"/>
              </w:rPr>
              <w:t>管理人员或关键技术人员纷纷流失；</w:t>
            </w:r>
          </w:p>
          <w:p>
            <w:pPr>
              <w:pStyle w:val="TableParagraph"/>
              <w:spacing w:line="307" w:lineRule="auto" w:before="20"/>
              <w:ind w:left="103" w:right="101"/>
              <w:jc w:val="left"/>
              <w:rPr>
                <w:rFonts w:ascii="宋体" w:hAnsi="宋体" w:cs="宋体" w:eastAsia="宋体" w:hint="default"/>
                <w:sz w:val="18"/>
                <w:szCs w:val="18"/>
              </w:rPr>
            </w:pPr>
            <w:r>
              <w:rPr>
                <w:rFonts w:ascii="宋体" w:hAnsi="宋体" w:cs="宋体" w:eastAsia="宋体" w:hint="default"/>
                <w:spacing w:val="-6"/>
                <w:sz w:val="18"/>
                <w:szCs w:val="18"/>
              </w:rPr>
              <w:t>（</w:t>
            </w:r>
            <w:r>
              <w:rPr>
                <w:rFonts w:ascii="Times New Roman" w:hAnsi="Times New Roman" w:cs="Times New Roman" w:eastAsia="Times New Roman" w:hint="default"/>
                <w:spacing w:val="-6"/>
                <w:sz w:val="18"/>
                <w:szCs w:val="18"/>
              </w:rPr>
              <w:t>4</w:t>
            </w:r>
            <w:r>
              <w:rPr>
                <w:rFonts w:ascii="宋体" w:hAnsi="宋体" w:cs="宋体" w:eastAsia="宋体" w:hint="default"/>
                <w:spacing w:val="-6"/>
                <w:sz w:val="18"/>
                <w:szCs w:val="18"/>
              </w:rPr>
              <w:t>）媒体负面新闻频现；（</w:t>
            </w:r>
            <w:r>
              <w:rPr>
                <w:rFonts w:ascii="Times New Roman" w:hAnsi="Times New Roman" w:cs="Times New Roman" w:eastAsia="Times New Roman" w:hint="default"/>
                <w:spacing w:val="-6"/>
                <w:sz w:val="18"/>
                <w:szCs w:val="18"/>
              </w:rPr>
              <w:t>5</w:t>
            </w:r>
            <w:r>
              <w:rPr>
                <w:rFonts w:ascii="宋体" w:hAnsi="宋体" w:cs="宋体" w:eastAsia="宋体" w:hint="default"/>
                <w:spacing w:val="-6"/>
                <w:sz w:val="18"/>
                <w:szCs w:val="18"/>
              </w:rPr>
              <w:t>）内部</w:t>
            </w:r>
            <w:r>
              <w:rPr>
                <w:rFonts w:ascii="宋体" w:hAnsi="宋体" w:cs="宋体" w:eastAsia="宋体" w:hint="default"/>
                <w:spacing w:val="-78"/>
                <w:sz w:val="18"/>
                <w:szCs w:val="18"/>
              </w:rPr>
              <w:t> </w:t>
            </w:r>
            <w:r>
              <w:rPr>
                <w:rFonts w:ascii="宋体" w:hAnsi="宋体" w:cs="宋体" w:eastAsia="宋体" w:hint="default"/>
                <w:sz w:val="18"/>
                <w:szCs w:val="18"/>
              </w:rPr>
              <w:t>控制评价的结果特别是重大或重要 </w:t>
            </w:r>
            <w:r>
              <w:rPr>
                <w:rFonts w:ascii="宋体" w:hAnsi="宋体" w:cs="宋体" w:eastAsia="宋体" w:hint="default"/>
                <w:spacing w:val="-9"/>
                <w:sz w:val="18"/>
                <w:szCs w:val="18"/>
              </w:rPr>
              <w:t>缺陷未得到整改；（</w:t>
            </w:r>
            <w:r>
              <w:rPr>
                <w:rFonts w:ascii="Times New Roman" w:hAnsi="Times New Roman" w:cs="Times New Roman" w:eastAsia="Times New Roman" w:hint="default"/>
                <w:spacing w:val="-9"/>
                <w:sz w:val="18"/>
                <w:szCs w:val="18"/>
              </w:rPr>
              <w:t>6</w:t>
            </w:r>
            <w:r>
              <w:rPr>
                <w:rFonts w:ascii="宋体" w:hAnsi="宋体" w:cs="宋体" w:eastAsia="宋体" w:hint="default"/>
                <w:spacing w:val="-9"/>
                <w:sz w:val="18"/>
                <w:szCs w:val="18"/>
              </w:rPr>
              <w:t>）重要业务缺乏</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制度控制或制度系统性失效。</w:t>
            </w:r>
          </w:p>
        </w:tc>
      </w:tr>
      <w:tr>
        <w:trPr>
          <w:trHeight w:val="3793" w:hRule="exact"/>
        </w:trPr>
        <w:tc>
          <w:tcPr>
            <w:tcW w:w="31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5"/>
                <w:szCs w:val="2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定量标准</w:t>
            </w:r>
          </w:p>
        </w:tc>
        <w:tc>
          <w:tcPr>
            <w:tcW w:w="3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5"/>
                <w:szCs w:val="25"/>
              </w:rPr>
            </w:pPr>
          </w:p>
          <w:p>
            <w:pPr>
              <w:pStyle w:val="TableParagraph"/>
              <w:spacing w:line="309" w:lineRule="auto"/>
              <w:ind w:left="103" w:right="11"/>
              <w:jc w:val="left"/>
              <w:rPr>
                <w:rFonts w:ascii="宋体" w:hAnsi="宋体" w:cs="宋体" w:eastAsia="宋体" w:hint="default"/>
                <w:sz w:val="18"/>
                <w:szCs w:val="18"/>
              </w:rPr>
            </w:pPr>
            <w:r>
              <w:rPr>
                <w:rFonts w:ascii="宋体" w:hAnsi="宋体" w:cs="宋体" w:eastAsia="宋体" w:hint="default"/>
                <w:sz w:val="18"/>
                <w:szCs w:val="18"/>
              </w:rPr>
              <w:t>将财务报告内部控制的缺陷划分为重大 </w:t>
            </w:r>
            <w:r>
              <w:rPr>
                <w:rFonts w:ascii="宋体" w:hAnsi="宋体" w:cs="宋体" w:eastAsia="宋体" w:hint="default"/>
                <w:spacing w:val="-3"/>
                <w:sz w:val="18"/>
                <w:szCs w:val="18"/>
              </w:rPr>
              <w:t>缺陷、重要缺陷和一般缺陷。重大缺陷：</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错报≥利润总额的</w:t>
            </w:r>
            <w:r>
              <w:rPr>
                <w:rFonts w:ascii="宋体" w:hAnsi="宋体" w:cs="宋体" w:eastAsia="宋体" w:hint="default"/>
                <w:spacing w:val="-45"/>
                <w:sz w:val="18"/>
                <w:szCs w:val="18"/>
              </w:rPr>
              <w:t> </w:t>
            </w:r>
            <w:r>
              <w:rPr>
                <w:rFonts w:ascii="Times New Roman" w:hAnsi="Times New Roman" w:cs="Times New Roman" w:eastAsia="Times New Roman" w:hint="default"/>
                <w:spacing w:val="-6"/>
                <w:sz w:val="18"/>
                <w:szCs w:val="18"/>
              </w:rPr>
              <w:t>5%</w:t>
            </w:r>
            <w:r>
              <w:rPr>
                <w:rFonts w:ascii="宋体" w:hAnsi="宋体" w:cs="宋体" w:eastAsia="宋体" w:hint="default"/>
                <w:spacing w:val="-6"/>
                <w:sz w:val="18"/>
                <w:szCs w:val="18"/>
              </w:rPr>
              <w:t>；重要缺陷：利润</w:t>
            </w:r>
            <w:r>
              <w:rPr>
                <w:rFonts w:ascii="宋体" w:hAnsi="宋体" w:cs="宋体" w:eastAsia="宋体" w:hint="default"/>
                <w:sz w:val="18"/>
                <w:szCs w:val="18"/>
              </w:rPr>
              <w:t> 总额的 </w:t>
            </w:r>
            <w:r>
              <w:rPr>
                <w:rFonts w:ascii="Times New Roman" w:hAnsi="Times New Roman" w:cs="Times New Roman" w:eastAsia="Times New Roman" w:hint="default"/>
                <w:sz w:val="18"/>
                <w:szCs w:val="18"/>
              </w:rPr>
              <w:t>3%</w:t>
            </w:r>
            <w:r>
              <w:rPr>
                <w:rFonts w:ascii="宋体" w:hAnsi="宋体" w:cs="宋体" w:eastAsia="宋体" w:hint="default"/>
                <w:sz w:val="18"/>
                <w:szCs w:val="18"/>
              </w:rPr>
              <w:t>≤错报＜利润总额的</w:t>
            </w:r>
            <w:r>
              <w:rPr>
                <w:rFonts w:ascii="宋体" w:hAnsi="宋体" w:cs="宋体" w:eastAsia="宋体" w:hint="default"/>
                <w:spacing w:val="-46"/>
                <w:sz w:val="18"/>
                <w:szCs w:val="18"/>
              </w:rPr>
              <w:t> </w:t>
            </w:r>
            <w:r>
              <w:rPr>
                <w:rFonts w:ascii="Times New Roman" w:hAnsi="Times New Roman" w:cs="Times New Roman" w:eastAsia="Times New Roman" w:hint="default"/>
                <w:spacing w:val="-7"/>
                <w:sz w:val="18"/>
                <w:szCs w:val="18"/>
              </w:rPr>
              <w:t>5%</w:t>
            </w:r>
            <w:r>
              <w:rPr>
                <w:rFonts w:ascii="宋体" w:hAnsi="宋体" w:cs="宋体" w:eastAsia="宋体" w:hint="default"/>
                <w:spacing w:val="-7"/>
                <w:sz w:val="18"/>
                <w:szCs w:val="18"/>
              </w:rPr>
              <w:t>；一</w:t>
            </w:r>
            <w:r>
              <w:rPr>
                <w:rFonts w:ascii="宋体" w:hAnsi="宋体" w:cs="宋体" w:eastAsia="宋体" w:hint="default"/>
                <w:sz w:val="18"/>
                <w:szCs w:val="18"/>
              </w:rPr>
              <w:t> 般缺陷错报＜利润总额的</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w:t>
            </w:r>
          </w:p>
        </w:tc>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56"/>
              <w:jc w:val="left"/>
              <w:rPr>
                <w:rFonts w:ascii="宋体" w:hAnsi="宋体" w:cs="宋体" w:eastAsia="宋体" w:hint="default"/>
                <w:sz w:val="18"/>
                <w:szCs w:val="18"/>
              </w:rPr>
            </w:pPr>
            <w:r>
              <w:rPr>
                <w:rFonts w:ascii="宋体" w:hAnsi="宋体" w:cs="宋体" w:eastAsia="宋体" w:hint="default"/>
                <w:sz w:val="18"/>
                <w:szCs w:val="18"/>
              </w:rPr>
              <w:t>根据对内部控制目标实现影响程度， 非财务报告内部控制缺陷分为一般 </w:t>
            </w:r>
            <w:r>
              <w:rPr>
                <w:rFonts w:ascii="宋体" w:hAnsi="宋体" w:cs="宋体" w:eastAsia="宋体" w:hint="default"/>
                <w:spacing w:val="-3"/>
                <w:sz w:val="18"/>
                <w:szCs w:val="18"/>
              </w:rPr>
              <w:t>缺陷、重要缺陷和重大缺陷。一般缺</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陷</w:t>
            </w:r>
            <w:r>
              <w:rPr>
                <w:rFonts w:ascii="宋体" w:hAnsi="宋体" w:cs="宋体" w:eastAsia="宋体" w:hint="default"/>
                <w:spacing w:val="-2"/>
                <w:sz w:val="18"/>
                <w:szCs w:val="18"/>
              </w:rPr>
              <w:t> </w:t>
            </w:r>
            <w:r>
              <w:rPr>
                <w:rFonts w:ascii="宋体" w:hAnsi="宋体" w:cs="宋体" w:eastAsia="宋体" w:hint="default"/>
                <w:sz w:val="18"/>
                <w:szCs w:val="18"/>
              </w:rPr>
              <w:t>：资产总额存在错报，错报金额</w:t>
            </w:r>
          </w:p>
          <w:p>
            <w:pPr>
              <w:pStyle w:val="TableParagraph"/>
              <w:spacing w:line="307" w:lineRule="auto" w:before="19"/>
              <w:ind w:left="103" w:right="11"/>
              <w:jc w:val="left"/>
              <w:rPr>
                <w:rFonts w:ascii="宋体" w:hAnsi="宋体" w:cs="宋体" w:eastAsia="宋体" w:hint="default"/>
                <w:sz w:val="18"/>
                <w:szCs w:val="18"/>
              </w:rPr>
            </w:pPr>
            <w:r>
              <w:rPr>
                <w:rFonts w:ascii="宋体" w:hAnsi="宋体" w:cs="宋体" w:eastAsia="宋体" w:hint="default"/>
                <w:sz w:val="18"/>
                <w:szCs w:val="18"/>
              </w:rPr>
              <w:t>＜资产总额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，营业收入存在错 报，错报金额＜营业收入总额</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0.5%</w:t>
            </w:r>
            <w:r>
              <w:rPr>
                <w:rFonts w:ascii="宋体" w:hAnsi="宋体" w:cs="宋体" w:eastAsia="宋体" w:hint="default"/>
                <w:sz w:val="18"/>
                <w:szCs w:val="18"/>
              </w:rPr>
              <w:t>； </w:t>
            </w:r>
            <w:r>
              <w:rPr>
                <w:rFonts w:ascii="宋体" w:hAnsi="宋体" w:cs="宋体" w:eastAsia="宋体" w:hint="default"/>
                <w:spacing w:val="-3"/>
                <w:sz w:val="18"/>
                <w:szCs w:val="18"/>
              </w:rPr>
              <w:t>重要缺陷：资产总额存在错报，资产</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总额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≤错报金额＜资产总额</w:t>
            </w:r>
          </w:p>
          <w:p>
            <w:pPr>
              <w:pStyle w:val="TableParagraph"/>
              <w:spacing w:line="300" w:lineRule="auto" w:before="7"/>
              <w:ind w:left="103" w:right="101"/>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30"/>
                <w:sz w:val="18"/>
                <w:szCs w:val="18"/>
              </w:rPr>
              <w:t> </w:t>
            </w:r>
            <w:r>
              <w:rPr>
                <w:rFonts w:ascii="宋体" w:hAnsi="宋体" w:cs="宋体" w:eastAsia="宋体" w:hint="default"/>
                <w:sz w:val="18"/>
                <w:szCs w:val="18"/>
              </w:rPr>
              <w:t>，营业收入存在错报，营业收入</w:t>
            </w:r>
            <w:r>
              <w:rPr>
                <w:rFonts w:ascii="宋体" w:hAnsi="宋体" w:cs="宋体" w:eastAsia="宋体" w:hint="default"/>
                <w:w w:val="99"/>
                <w:sz w:val="18"/>
                <w:szCs w:val="18"/>
              </w:rPr>
              <w:t> </w:t>
            </w:r>
            <w:r>
              <w:rPr>
                <w:rFonts w:ascii="宋体" w:hAnsi="宋体" w:cs="宋体" w:eastAsia="宋体" w:hint="default"/>
                <w:sz w:val="18"/>
                <w:szCs w:val="18"/>
              </w:rPr>
              <w:t>总额</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宋体" w:hAnsi="宋体" w:cs="宋体" w:eastAsia="宋体" w:hint="default"/>
                <w:sz w:val="18"/>
                <w:szCs w:val="18"/>
              </w:rPr>
              <w:t>≤错报金额＜营业收入总</w:t>
            </w:r>
            <w:r>
              <w:rPr>
                <w:rFonts w:ascii="宋体" w:hAnsi="宋体" w:cs="宋体" w:eastAsia="宋体" w:hint="default"/>
                <w:w w:val="99"/>
                <w:sz w:val="18"/>
                <w:szCs w:val="18"/>
              </w:rPr>
              <w:t> </w:t>
            </w:r>
            <w:r>
              <w:rPr>
                <w:rFonts w:ascii="宋体" w:hAnsi="宋体" w:cs="宋体" w:eastAsia="宋体" w:hint="default"/>
                <w:sz w:val="18"/>
                <w:szCs w:val="18"/>
              </w:rPr>
              <w:t>额</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；重大缺陷：资产总额存在错</w:t>
            </w:r>
            <w:r>
              <w:rPr>
                <w:rFonts w:ascii="宋体" w:hAnsi="宋体" w:cs="宋体" w:eastAsia="宋体" w:hint="default"/>
                <w:w w:val="99"/>
                <w:sz w:val="18"/>
                <w:szCs w:val="18"/>
              </w:rPr>
              <w:t> </w:t>
            </w:r>
            <w:r>
              <w:rPr>
                <w:rFonts w:ascii="宋体" w:hAnsi="宋体" w:cs="宋体" w:eastAsia="宋体" w:hint="default"/>
                <w:sz w:val="18"/>
                <w:szCs w:val="18"/>
              </w:rPr>
              <w:t>报，错报金额≥资产总额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，营</w:t>
            </w:r>
          </w:p>
        </w:tc>
      </w:tr>
    </w:tbl>
    <w:p>
      <w:pPr>
        <w:spacing w:after="0" w:line="300" w:lineRule="auto"/>
        <w:jc w:val="left"/>
        <w:rPr>
          <w:rFonts w:ascii="宋体" w:hAnsi="宋体" w:cs="宋体" w:eastAsia="宋体" w:hint="default"/>
          <w:sz w:val="18"/>
          <w:szCs w:val="18"/>
        </w:rPr>
        <w:sectPr>
          <w:pgSz w:w="11910" w:h="16840"/>
          <w:pgMar w:header="906" w:footer="1018" w:top="1100" w:bottom="1200" w:left="1020" w:right="0"/>
        </w:sectPr>
      </w:pPr>
    </w:p>
    <w:p>
      <w:pPr>
        <w:spacing w:line="240" w:lineRule="auto" w:before="0"/>
        <w:rPr>
          <w:rFonts w:ascii="Times New Roman" w:hAnsi="Times New Roman" w:cs="Times New Roman" w:eastAsia="Times New Roman" w:hint="default"/>
          <w:sz w:val="29"/>
          <w:szCs w:val="29"/>
        </w:rPr>
      </w:pPr>
    </w:p>
    <w:tbl>
      <w:tblPr>
        <w:tblW w:w="0" w:type="auto"/>
        <w:jc w:val="left"/>
        <w:tblInd w:w="109" w:type="dxa"/>
        <w:tblLayout w:type="fixed"/>
        <w:tblCellMar>
          <w:top w:w="0" w:type="dxa"/>
          <w:left w:w="0" w:type="dxa"/>
          <w:bottom w:w="0" w:type="dxa"/>
          <w:right w:w="0" w:type="dxa"/>
        </w:tblCellMar>
        <w:tblLook w:val="01E0"/>
      </w:tblPr>
      <w:tblGrid>
        <w:gridCol w:w="3194"/>
        <w:gridCol w:w="3323"/>
        <w:gridCol w:w="3051"/>
      </w:tblGrid>
      <w:tr>
        <w:trPr>
          <w:trHeight w:val="674" w:hRule="exact"/>
        </w:trPr>
        <w:tc>
          <w:tcPr>
            <w:tcW w:w="3194"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323" w:type="dxa"/>
            <w:tcBorders>
              <w:top w:val="single" w:sz="4" w:space="0" w:color="000000"/>
              <w:left w:val="single" w:sz="4" w:space="0" w:color="000000"/>
              <w:bottom w:val="single" w:sz="4" w:space="0" w:color="000000"/>
              <w:right w:val="single" w:sz="4" w:space="0" w:color="000000"/>
            </w:tcBorders>
          </w:tcPr>
          <w:p>
            <w:pPr/>
          </w:p>
        </w:tc>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103" w:right="101"/>
              <w:jc w:val="left"/>
              <w:rPr>
                <w:rFonts w:ascii="宋体" w:hAnsi="宋体" w:cs="宋体" w:eastAsia="宋体" w:hint="default"/>
                <w:sz w:val="18"/>
                <w:szCs w:val="18"/>
              </w:rPr>
            </w:pPr>
            <w:r>
              <w:rPr>
                <w:rFonts w:ascii="宋体" w:hAnsi="宋体" w:cs="宋体" w:eastAsia="宋体" w:hint="default"/>
                <w:spacing w:val="-3"/>
                <w:sz w:val="18"/>
                <w:szCs w:val="18"/>
              </w:rPr>
              <w:t>业收入存在错报，错报金额≥营业收</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入总额</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财务报告重大缺陷数量（个）</w:t>
            </w:r>
          </w:p>
        </w:tc>
        <w:tc>
          <w:tcPr>
            <w:tcW w:w="63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非财务报告重大缺陷数量（个）</w:t>
            </w:r>
          </w:p>
        </w:tc>
        <w:tc>
          <w:tcPr>
            <w:tcW w:w="63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财务报告重要缺陷数量（个）</w:t>
            </w:r>
          </w:p>
        </w:tc>
        <w:tc>
          <w:tcPr>
            <w:tcW w:w="63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非财务报告重要缺陷数量（个）</w:t>
            </w:r>
          </w:p>
        </w:tc>
        <w:tc>
          <w:tcPr>
            <w:tcW w:w="63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r>
    </w:tbl>
    <w:p>
      <w:pPr>
        <w:spacing w:line="240" w:lineRule="auto" w:before="6"/>
        <w:rPr>
          <w:rFonts w:ascii="Times New Roman" w:hAnsi="Times New Roman" w:cs="Times New Roman" w:eastAsia="Times New Roman" w:hint="default"/>
          <w:sz w:val="20"/>
          <w:szCs w:val="20"/>
        </w:rPr>
      </w:pPr>
    </w:p>
    <w:p>
      <w:pPr>
        <w:pStyle w:val="Heading2"/>
        <w:spacing w:line="240" w:lineRule="auto" w:before="26"/>
        <w:ind w:right="0"/>
        <w:jc w:val="left"/>
        <w:rPr>
          <w:b w:val="0"/>
          <w:bCs w:val="0"/>
        </w:rPr>
      </w:pPr>
      <w:r>
        <w:rPr/>
        <w:t>十、内部控制审计报告或鉴证报告</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内部控制审计报告</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662"/>
        <w:gridCol w:w="6906"/>
      </w:tblGrid>
      <w:tr>
        <w:trPr>
          <w:trHeight w:val="402" w:hRule="exact"/>
        </w:trPr>
        <w:tc>
          <w:tcPr>
            <w:tcW w:w="9568"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内部控制审计报告中的审议意见段</w:t>
            </w:r>
          </w:p>
        </w:tc>
      </w:tr>
      <w:tr>
        <w:trPr>
          <w:trHeight w:val="714" w:hRule="exact"/>
        </w:trPr>
        <w:tc>
          <w:tcPr>
            <w:tcW w:w="9568" w:type="dxa"/>
            <w:gridSpan w:val="2"/>
            <w:tcBorders>
              <w:top w:val="single" w:sz="4" w:space="0" w:color="000000"/>
              <w:left w:val="single" w:sz="4" w:space="0" w:color="000000"/>
              <w:bottom w:val="single" w:sz="4" w:space="0" w:color="000000"/>
              <w:right w:val="single" w:sz="4" w:space="0" w:color="000000"/>
            </w:tcBorders>
          </w:tcPr>
          <w:p>
            <w:pPr>
              <w:pStyle w:val="TableParagraph"/>
              <w:spacing w:line="300" w:lineRule="auto" w:before="50"/>
              <w:ind w:left="102" w:right="183"/>
              <w:jc w:val="left"/>
              <w:rPr>
                <w:rFonts w:ascii="宋体" w:hAnsi="宋体" w:cs="宋体" w:eastAsia="宋体" w:hint="default"/>
                <w:sz w:val="18"/>
                <w:szCs w:val="18"/>
              </w:rPr>
            </w:pPr>
            <w:r>
              <w:rPr>
                <w:rFonts w:ascii="宋体" w:hAnsi="宋体" w:cs="宋体" w:eastAsia="宋体" w:hint="default"/>
                <w:sz w:val="18"/>
                <w:szCs w:val="18"/>
              </w:rPr>
              <w:t>我们认为，恒宝股份根据财政部等五部委颁发的《企业内部控制基本规范》及相关规定于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日在所有重 大方面保持了与财务报表相关的有效的内部控制。本结论是在受到审计报告中指出的固有限制的条件下形成的。</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内控审计报告披露情况</w:t>
            </w:r>
          </w:p>
        </w:tc>
        <w:tc>
          <w:tcPr>
            <w:tcW w:w="6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披露</w:t>
            </w:r>
          </w:p>
        </w:tc>
      </w:tr>
      <w:tr>
        <w:trPr>
          <w:trHeight w:val="714" w:hRule="exact"/>
        </w:trPr>
        <w:tc>
          <w:tcPr>
            <w:tcW w:w="26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02" w:right="207"/>
              <w:jc w:val="left"/>
              <w:rPr>
                <w:rFonts w:ascii="宋体" w:hAnsi="宋体" w:cs="宋体" w:eastAsia="宋体" w:hint="default"/>
                <w:sz w:val="18"/>
                <w:szCs w:val="18"/>
              </w:rPr>
            </w:pPr>
            <w:r>
              <w:rPr>
                <w:rFonts w:ascii="宋体" w:hAnsi="宋体" w:cs="宋体" w:eastAsia="宋体" w:hint="default"/>
                <w:sz w:val="18"/>
                <w:szCs w:val="18"/>
              </w:rPr>
              <w:t>内部控制审计报告全文披露日 期</w:t>
            </w:r>
          </w:p>
        </w:tc>
        <w:tc>
          <w:tcPr>
            <w:tcW w:w="6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28 </w:t>
            </w:r>
            <w:r>
              <w:rPr>
                <w:rFonts w:ascii="宋体" w:hAnsi="宋体" w:cs="宋体" w:eastAsia="宋体" w:hint="default"/>
                <w:sz w:val="18"/>
                <w:szCs w:val="18"/>
              </w:rPr>
              <w:t>日</w:t>
            </w:r>
          </w:p>
        </w:tc>
      </w:tr>
      <w:tr>
        <w:trPr>
          <w:trHeight w:val="714" w:hRule="exact"/>
        </w:trPr>
        <w:tc>
          <w:tcPr>
            <w:tcW w:w="26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02" w:right="207"/>
              <w:jc w:val="left"/>
              <w:rPr>
                <w:rFonts w:ascii="宋体" w:hAnsi="宋体" w:cs="宋体" w:eastAsia="宋体" w:hint="default"/>
                <w:sz w:val="18"/>
                <w:szCs w:val="18"/>
              </w:rPr>
            </w:pPr>
            <w:r>
              <w:rPr>
                <w:rFonts w:ascii="宋体" w:hAnsi="宋体" w:cs="宋体" w:eastAsia="宋体" w:hint="default"/>
                <w:sz w:val="18"/>
                <w:szCs w:val="18"/>
              </w:rPr>
              <w:t>内部控制审计报告全文披露索 引</w:t>
            </w:r>
          </w:p>
        </w:tc>
        <w:tc>
          <w:tcPr>
            <w:tcW w:w="6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pacing w:val="-125"/>
                <w:sz w:val="18"/>
                <w:szCs w:val="18"/>
              </w:rPr>
              <w:t>、</w:t>
            </w:r>
            <w:r>
              <w:rPr>
                <w:rFonts w:ascii="宋体" w:hAnsi="宋体" w:cs="宋体" w:eastAsia="宋体" w:hint="default"/>
                <w:spacing w:val="-2"/>
                <w:sz w:val="18"/>
                <w:szCs w:val="18"/>
              </w:rPr>
              <w:t>《</w:t>
            </w:r>
            <w:r>
              <w:rPr>
                <w:rFonts w:ascii="宋体" w:hAnsi="宋体" w:cs="宋体" w:eastAsia="宋体" w:hint="default"/>
                <w:sz w:val="18"/>
                <w:szCs w:val="18"/>
              </w:rPr>
              <w:t>中国证券报</w:t>
            </w:r>
            <w:r>
              <w:rPr>
                <w:rFonts w:ascii="宋体" w:hAnsi="宋体" w:cs="宋体" w:eastAsia="宋体" w:hint="default"/>
                <w:spacing w:val="-90"/>
                <w:sz w:val="18"/>
                <w:szCs w:val="18"/>
              </w:rPr>
              <w:t>》</w:t>
            </w:r>
            <w:r>
              <w:rPr>
                <w:rFonts w:ascii="宋体" w:hAnsi="宋体" w:cs="宋体" w:eastAsia="宋体" w:hint="default"/>
                <w:spacing w:val="-125"/>
                <w:sz w:val="18"/>
                <w:szCs w:val="18"/>
              </w:rPr>
              <w:t>、</w:t>
            </w:r>
            <w:r>
              <w:rPr>
                <w:rFonts w:ascii="宋体" w:hAnsi="宋体" w:cs="宋体" w:eastAsia="宋体" w:hint="default"/>
                <w:spacing w:val="-2"/>
                <w:sz w:val="18"/>
                <w:szCs w:val="18"/>
              </w:rPr>
              <w:t>《</w:t>
            </w:r>
            <w:r>
              <w:rPr>
                <w:rFonts w:ascii="宋体" w:hAnsi="宋体" w:cs="宋体" w:eastAsia="宋体" w:hint="default"/>
                <w:sz w:val="18"/>
                <w:szCs w:val="18"/>
              </w:rPr>
              <w:t>上海证券报</w:t>
            </w:r>
            <w:r>
              <w:rPr>
                <w:rFonts w:ascii="宋体" w:hAnsi="宋体" w:cs="宋体" w:eastAsia="宋体" w:hint="default"/>
                <w:spacing w:val="-36"/>
                <w:sz w:val="18"/>
                <w:szCs w:val="18"/>
              </w:rPr>
              <w:t>》</w:t>
            </w:r>
            <w:r>
              <w:rPr>
                <w:rFonts w:ascii="宋体" w:hAnsi="宋体" w:cs="宋体" w:eastAsia="宋体" w:hint="default"/>
                <w:sz w:val="18"/>
                <w:szCs w:val="18"/>
              </w:rPr>
              <w:t>和网站巨潮</w:t>
            </w:r>
            <w:r>
              <w:rPr>
                <w:rFonts w:ascii="宋体" w:hAnsi="宋体" w:cs="宋体" w:eastAsia="宋体" w:hint="default"/>
                <w:spacing w:val="-35"/>
                <w:sz w:val="18"/>
                <w:szCs w:val="18"/>
              </w:rPr>
              <w:t>网</w:t>
            </w:r>
            <w:r>
              <w:rPr>
                <w:rFonts w:ascii="宋体" w:hAnsi="宋体" w:cs="宋体" w:eastAsia="宋体" w:hint="default"/>
                <w:sz w:val="18"/>
                <w:szCs w:val="18"/>
              </w:rPr>
              <w:t>（</w:t>
            </w:r>
            <w:hyperlink r:id="rId13">
              <w:r>
                <w:rPr>
                  <w:rFonts w:ascii="Times New Roman" w:hAnsi="Times New Roman" w:cs="Times New Roman" w:eastAsia="Times New Roman" w:hint="default"/>
                  <w:w w:val="100"/>
                  <w:sz w:val="18"/>
                  <w:szCs w:val="18"/>
                </w:rPr>
                <w:t>ht</w:t>
              </w:r>
              <w:r>
                <w:rPr>
                  <w:rFonts w:ascii="Times New Roman" w:hAnsi="Times New Roman" w:cs="Times New Roman" w:eastAsia="Times New Roman" w:hint="default"/>
                  <w:spacing w:val="-1"/>
                  <w:w w:val="100"/>
                  <w:sz w:val="18"/>
                  <w:szCs w:val="18"/>
                </w:rPr>
                <w:t>t</w:t>
              </w:r>
              <w:r>
                <w:rPr>
                  <w:rFonts w:ascii="Times New Roman" w:hAnsi="Times New Roman" w:cs="Times New Roman" w:eastAsia="Times New Roman" w:hint="default"/>
                  <w:w w:val="100"/>
                  <w:sz w:val="18"/>
                  <w:szCs w:val="18"/>
                </w:rPr>
                <w:t>p:</w:t>
              </w:r>
              <w:r>
                <w:rPr>
                  <w:rFonts w:ascii="Times New Roman" w:hAnsi="Times New Roman" w:cs="Times New Roman" w:eastAsia="Times New Roman" w:hint="default"/>
                  <w:w w:val="100"/>
                  <w:sz w:val="18"/>
                  <w:szCs w:val="18"/>
                </w:rPr>
                <w:t>/</w:t>
              </w:r>
              <w:r>
                <w:rPr>
                  <w:rFonts w:ascii="Times New Roman" w:hAnsi="Times New Roman" w:cs="Times New Roman" w:eastAsia="Times New Roman" w:hint="default"/>
                  <w:spacing w:val="-1"/>
                  <w:w w:val="100"/>
                  <w:sz w:val="18"/>
                  <w:szCs w:val="18"/>
                </w:rPr>
                <w:t>/</w:t>
              </w:r>
              <w:r>
                <w:rPr>
                  <w:rFonts w:ascii="Times New Roman" w:hAnsi="Times New Roman" w:cs="Times New Roman" w:eastAsia="Times New Roman" w:hint="default"/>
                  <w:w w:val="99"/>
                  <w:sz w:val="18"/>
                  <w:szCs w:val="18"/>
                </w:rPr>
                <w:t>ww</w:t>
              </w:r>
              <w:r>
                <w:rPr>
                  <w:rFonts w:ascii="Times New Roman" w:hAnsi="Times New Roman" w:cs="Times New Roman" w:eastAsia="Times New Roman" w:hint="default"/>
                  <w:spacing w:val="-12"/>
                  <w:w w:val="99"/>
                  <w:sz w:val="18"/>
                  <w:szCs w:val="18"/>
                </w:rPr>
                <w:t>w</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w w:val="100"/>
                  <w:sz w:val="18"/>
                  <w:szCs w:val="18"/>
                </w:rPr>
                <w:t>c</w:t>
              </w:r>
              <w:r>
                <w:rPr>
                  <w:rFonts w:ascii="Times New Roman" w:hAnsi="Times New Roman" w:cs="Times New Roman" w:eastAsia="Times New Roman" w:hint="default"/>
                  <w:w w:val="100"/>
                  <w:sz w:val="18"/>
                  <w:szCs w:val="18"/>
                </w:rPr>
                <w:t>ninfo.</w:t>
              </w:r>
              <w:r>
                <w:rPr>
                  <w:rFonts w:ascii="Times New Roman" w:hAnsi="Times New Roman" w:cs="Times New Roman" w:eastAsia="Times New Roman" w:hint="default"/>
                  <w:spacing w:val="-1"/>
                  <w:w w:val="100"/>
                  <w:sz w:val="18"/>
                  <w:szCs w:val="18"/>
                </w:rPr>
                <w:t>c</w:t>
              </w:r>
              <w:r>
                <w:rPr>
                  <w:rFonts w:ascii="Times New Roman" w:hAnsi="Times New Roman" w:cs="Times New Roman" w:eastAsia="Times New Roman" w:hint="default"/>
                  <w:w w:val="100"/>
                  <w:sz w:val="18"/>
                  <w:szCs w:val="18"/>
                </w:rPr>
                <w:t>om.c</w:t>
              </w:r>
              <w:r>
                <w:rPr>
                  <w:rFonts w:ascii="Times New Roman" w:hAnsi="Times New Roman" w:cs="Times New Roman" w:eastAsia="Times New Roman" w:hint="default"/>
                  <w:spacing w:val="-1"/>
                  <w:w w:val="100"/>
                  <w:sz w:val="18"/>
                  <w:szCs w:val="18"/>
                </w:rPr>
                <w:t>n</w:t>
              </w:r>
            </w:hyperlink>
            <w:r>
              <w:rPr>
                <w:rFonts w:ascii="宋体" w:hAnsi="宋体" w:cs="宋体" w:eastAsia="宋体" w:hint="default"/>
                <w:sz w:val="18"/>
                <w:szCs w:val="18"/>
              </w:rPr>
              <w:t>）</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内控审计报告意见类型</w:t>
            </w:r>
          </w:p>
        </w:tc>
        <w:tc>
          <w:tcPr>
            <w:tcW w:w="6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标准无保留意见</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非财务报告是否存在重大缺陷</w:t>
            </w:r>
          </w:p>
        </w:tc>
        <w:tc>
          <w:tcPr>
            <w:tcW w:w="6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pStyle w:val="BodyText"/>
        <w:spacing w:line="240" w:lineRule="auto" w:before="49"/>
        <w:ind w:right="0"/>
        <w:jc w:val="left"/>
      </w:pPr>
      <w:r>
        <w:rPr/>
        <w:t>会计师事务所是否出具非标准意见的内部控制审计报告</w:t>
      </w:r>
    </w:p>
    <w:p>
      <w:pPr>
        <w:pStyle w:val="BodyText"/>
        <w:spacing w:line="357" w:lineRule="auto" w:before="116"/>
        <w:ind w:right="4632"/>
        <w:jc w:val="left"/>
      </w:pPr>
      <w:r>
        <w:rPr/>
        <w:t>□ 是 √ 否 会计师事务所出具的内部控制审计报告与董事会的自我评价报告意见是否一致</w:t>
      </w:r>
    </w:p>
    <w:p>
      <w:pPr>
        <w:pStyle w:val="BodyText"/>
        <w:spacing w:line="240" w:lineRule="auto" w:before="28"/>
        <w:ind w:right="0"/>
        <w:jc w:val="left"/>
      </w:pPr>
      <w:r>
        <w:rPr/>
        <w:t>√ 是 □ 否</w:t>
      </w:r>
    </w:p>
    <w:p>
      <w:pPr>
        <w:spacing w:after="0" w:line="240" w:lineRule="auto"/>
        <w:jc w:val="left"/>
        <w:sectPr>
          <w:pgSz w:w="11910" w:h="16840"/>
          <w:pgMar w:header="906" w:footer="1018" w:top="1100" w:bottom="1200" w:left="10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7"/>
          <w:szCs w:val="17"/>
        </w:rPr>
      </w:pPr>
    </w:p>
    <w:p>
      <w:pPr>
        <w:pStyle w:val="Heading1"/>
        <w:spacing w:line="240" w:lineRule="auto"/>
        <w:ind w:left="3006" w:right="0"/>
        <w:jc w:val="left"/>
        <w:rPr>
          <w:b w:val="0"/>
          <w:bCs w:val="0"/>
        </w:rPr>
      </w:pPr>
      <w:bookmarkStart w:name="_TOC_250002" w:id="11"/>
      <w:r>
        <w:rPr/>
        <w:t>第十一节公司债券相关情况</w:t>
      </w:r>
      <w:bookmarkEnd w:id="11"/>
      <w:r>
        <w:rPr>
          <w:b w:val="0"/>
          <w:bCs w:val="0"/>
        </w:rPr>
      </w:r>
    </w:p>
    <w:p>
      <w:pPr>
        <w:spacing w:line="240" w:lineRule="auto" w:before="6"/>
        <w:rPr>
          <w:rFonts w:ascii="宋体" w:hAnsi="宋体" w:cs="宋体" w:eastAsia="宋体" w:hint="default"/>
          <w:b/>
          <w:bCs/>
          <w:sz w:val="42"/>
          <w:szCs w:val="42"/>
        </w:rPr>
      </w:pPr>
    </w:p>
    <w:p>
      <w:pPr>
        <w:pStyle w:val="BodyText"/>
        <w:spacing w:line="360" w:lineRule="auto"/>
        <w:ind w:right="2112"/>
        <w:jc w:val="left"/>
      </w:pPr>
      <w:r>
        <w:rPr/>
        <w:t>公司是否存在公开发行并在证券交易所上市，且在年度报告批准报出日未到期或到期未能全额兑付的公司债券 否</w:t>
      </w:r>
    </w:p>
    <w:p>
      <w:pPr>
        <w:spacing w:after="0" w:line="360" w:lineRule="auto"/>
        <w:jc w:val="left"/>
        <w:sectPr>
          <w:pgSz w:w="11910" w:h="16840"/>
          <w:pgMar w:header="906" w:footer="1018" w:top="1100" w:bottom="1200" w:left="10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7"/>
          <w:szCs w:val="17"/>
        </w:rPr>
      </w:pPr>
    </w:p>
    <w:p>
      <w:pPr>
        <w:pStyle w:val="Heading1"/>
        <w:spacing w:line="240" w:lineRule="auto"/>
        <w:ind w:left="3568" w:right="0"/>
        <w:jc w:val="left"/>
        <w:rPr>
          <w:b w:val="0"/>
          <w:bCs w:val="0"/>
        </w:rPr>
      </w:pPr>
      <w:bookmarkStart w:name="_TOC_250001" w:id="12"/>
      <w:r>
        <w:rPr/>
        <w:t>第十二节</w:t>
      </w:r>
      <w:r>
        <w:rPr>
          <w:spacing w:val="-5"/>
        </w:rPr>
        <w:t> </w:t>
      </w:r>
      <w:r>
        <w:rPr/>
        <w:t>财务报告</w:t>
      </w:r>
      <w:bookmarkEnd w:id="12"/>
      <w:r>
        <w:rPr>
          <w:b w:val="0"/>
          <w:bCs w:val="0"/>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6"/>
          <w:szCs w:val="16"/>
        </w:rPr>
      </w:pPr>
    </w:p>
    <w:p>
      <w:pPr>
        <w:pStyle w:val="Heading2"/>
        <w:spacing w:line="240" w:lineRule="auto" w:before="26"/>
        <w:ind w:right="0"/>
        <w:jc w:val="left"/>
        <w:rPr>
          <w:b w:val="0"/>
          <w:bCs w:val="0"/>
        </w:rPr>
      </w:pPr>
      <w:r>
        <w:rPr/>
        <w:t>一、审计报告</w:t>
      </w:r>
      <w:r>
        <w:rPr>
          <w:b w:val="0"/>
          <w:bCs w:val="0"/>
        </w:rPr>
      </w:r>
    </w:p>
    <w:p>
      <w:pPr>
        <w:spacing w:line="240" w:lineRule="auto" w:before="11"/>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4783"/>
        <w:gridCol w:w="4785"/>
      </w:tblGrid>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审计意见类型</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标准的无保留意见</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审计报告签署日期</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27 </w:t>
            </w:r>
            <w:r>
              <w:rPr>
                <w:rFonts w:ascii="宋体" w:hAnsi="宋体" w:cs="宋体" w:eastAsia="宋体" w:hint="default"/>
                <w:sz w:val="18"/>
                <w:szCs w:val="18"/>
              </w:rPr>
              <w:t>日</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审计机构名称</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上会会计师事务所（特殊普通合伙）</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审计报告文号</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上会师报字</w:t>
            </w:r>
            <w:r>
              <w:rPr>
                <w:rFonts w:ascii="Times New Roman" w:hAnsi="Times New Roman" w:cs="Times New Roman" w:eastAsia="Times New Roman" w:hint="default"/>
                <w:sz w:val="18"/>
                <w:szCs w:val="18"/>
              </w:rPr>
              <w:t>(2020)</w:t>
            </w: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注册会计师姓名</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耿磊 赵彧非</w:t>
            </w:r>
          </w:p>
        </w:tc>
      </w:tr>
    </w:tbl>
    <w:p>
      <w:pPr>
        <w:pStyle w:val="BodyText"/>
        <w:spacing w:line="240" w:lineRule="auto" w:before="49"/>
        <w:ind w:left="0" w:right="1018"/>
        <w:jc w:val="center"/>
      </w:pPr>
      <w:r>
        <w:rPr/>
        <w:t>审计报告正文</w:t>
      </w:r>
    </w:p>
    <w:p>
      <w:pPr>
        <w:pStyle w:val="Heading4"/>
        <w:spacing w:line="240" w:lineRule="auto" w:before="116"/>
        <w:ind w:right="0"/>
        <w:jc w:val="left"/>
        <w:rPr>
          <w:b w:val="0"/>
          <w:bCs w:val="0"/>
        </w:rPr>
      </w:pPr>
      <w:r>
        <w:rPr/>
        <w:t>一、审计意见</w:t>
      </w:r>
      <w:r>
        <w:rPr>
          <w:b w:val="0"/>
          <w:bCs w:val="0"/>
        </w:rPr>
      </w:r>
    </w:p>
    <w:p>
      <w:pPr>
        <w:pStyle w:val="BodyText"/>
        <w:spacing w:line="300" w:lineRule="auto" w:before="116"/>
        <w:ind w:right="0" w:firstLine="360"/>
        <w:jc w:val="left"/>
      </w:pPr>
      <w:r>
        <w:rPr/>
        <w:t>我们审计了恒宝股份有限公司</w:t>
      </w:r>
      <w:r>
        <w:rPr>
          <w:rFonts w:ascii="Times New Roman" w:hAnsi="Times New Roman" w:cs="Times New Roman" w:eastAsia="Times New Roman" w:hint="default"/>
        </w:rPr>
        <w:t>(</w:t>
      </w:r>
      <w:r>
        <w:rPr/>
        <w:t>以下简称</w:t>
      </w:r>
      <w:r>
        <w:rPr>
          <w:rFonts w:ascii="Times New Roman" w:hAnsi="Times New Roman" w:cs="Times New Roman" w:eastAsia="Times New Roman" w:hint="default"/>
        </w:rPr>
        <w:t>“</w:t>
      </w:r>
      <w:r>
        <w:rPr/>
        <w:t>恒宝股份</w:t>
      </w:r>
      <w:r>
        <w:rPr>
          <w:rFonts w:ascii="Times New Roman" w:hAnsi="Times New Roman" w:cs="Times New Roman" w:eastAsia="Times New Roman" w:hint="default"/>
        </w:rPr>
        <w:t>”</w:t>
      </w:r>
      <w:r>
        <w:rPr/>
        <w:t>或</w:t>
      </w:r>
      <w:r>
        <w:rPr>
          <w:rFonts w:ascii="Times New Roman" w:hAnsi="Times New Roman" w:cs="Times New Roman" w:eastAsia="Times New Roman" w:hint="default"/>
        </w:rPr>
        <w:t>“</w:t>
      </w:r>
      <w:r>
        <w:rPr/>
        <w:t>贵公司</w:t>
      </w:r>
      <w:r>
        <w:rPr>
          <w:rFonts w:ascii="Times New Roman" w:hAnsi="Times New Roman" w:cs="Times New Roman" w:eastAsia="Times New Roman" w:hint="default"/>
        </w:rPr>
        <w:t>”)</w:t>
      </w:r>
      <w:r>
        <w:rPr/>
        <w:t>财务报表，包括</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日的合并及公司资产负债</w:t>
      </w:r>
      <w:r>
        <w:rPr>
          <w:w w:val="99"/>
        </w:rPr>
        <w:t> </w:t>
      </w:r>
      <w:r>
        <w:rPr/>
        <w:t>表，</w:t>
      </w:r>
      <w:r>
        <w:rPr>
          <w:rFonts w:ascii="Times New Roman" w:hAnsi="Times New Roman" w:cs="Times New Roman" w:eastAsia="Times New Roman" w:hint="default"/>
        </w:rPr>
        <w:t>2019</w:t>
      </w:r>
      <w:r>
        <w:rPr/>
        <w:t>年度合并及公司利润表、合并及公司现金流量表、合并及公司所有者权益变动表以及相关财务报表附注。</w:t>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2"/>
          <w:szCs w:val="12"/>
        </w:rPr>
      </w:pPr>
    </w:p>
    <w:p>
      <w:pPr>
        <w:pStyle w:val="BodyText"/>
        <w:spacing w:line="300" w:lineRule="auto"/>
        <w:ind w:right="0" w:firstLine="360"/>
        <w:jc w:val="left"/>
      </w:pPr>
      <w:r>
        <w:rPr>
          <w:spacing w:val="-2"/>
        </w:rPr>
        <w:t>我们认为，后附的财务报表在所有重大方面按照企业会计准则的规定编制，公允反映了贵公司</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31</w:t>
      </w:r>
      <w:r>
        <w:rPr>
          <w:spacing w:val="-2"/>
        </w:rPr>
        <w:t>日的合并及</w:t>
      </w:r>
      <w:r>
        <w:rPr/>
        <w:t> 公司财务状况以及</w:t>
      </w:r>
      <w:r>
        <w:rPr>
          <w:rFonts w:ascii="Times New Roman" w:hAnsi="Times New Roman" w:cs="Times New Roman" w:eastAsia="Times New Roman" w:hint="default"/>
        </w:rPr>
        <w:t>2019</w:t>
      </w:r>
      <w:r>
        <w:rPr/>
        <w:t>年度的合并及公司经营成果和现金流量。</w:t>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2"/>
          <w:szCs w:val="12"/>
        </w:rPr>
      </w:pPr>
    </w:p>
    <w:p>
      <w:pPr>
        <w:pStyle w:val="BodyText"/>
        <w:spacing w:line="316" w:lineRule="auto"/>
        <w:ind w:left="473" w:right="0" w:firstLine="1"/>
        <w:jc w:val="left"/>
      </w:pPr>
      <w:r>
        <w:rPr>
          <w:rFonts w:ascii="宋体" w:hAnsi="宋体" w:cs="宋体" w:eastAsia="宋体" w:hint="default"/>
          <w:b/>
          <w:bCs/>
        </w:rPr>
        <w:t>二、形成审计意见的基础</w:t>
      </w:r>
      <w:r>
        <w:rPr>
          <w:rFonts w:ascii="宋体" w:hAnsi="宋体" w:cs="宋体" w:eastAsia="宋体" w:hint="default"/>
          <w:b/>
          <w:bCs/>
          <w:w w:val="99"/>
        </w:rPr>
        <w:t> </w:t>
      </w:r>
      <w:r>
        <w:rPr>
          <w:spacing w:val="-2"/>
        </w:rPr>
        <w:t>我们按照中国注册会计师审计准则的规定执行了审计工作。审计报告的</w:t>
      </w:r>
      <w:r>
        <w:rPr>
          <w:rFonts w:ascii="Times New Roman" w:hAnsi="Times New Roman" w:cs="Times New Roman" w:eastAsia="Times New Roman" w:hint="default"/>
          <w:spacing w:val="-2"/>
        </w:rPr>
        <w:t>“</w:t>
      </w:r>
      <w:r>
        <w:rPr>
          <w:spacing w:val="-2"/>
        </w:rPr>
        <w:t>注册会计师对财务报表审计的责任</w:t>
      </w:r>
      <w:r>
        <w:rPr>
          <w:rFonts w:ascii="Times New Roman" w:hAnsi="Times New Roman" w:cs="Times New Roman" w:eastAsia="Times New Roman" w:hint="default"/>
          <w:spacing w:val="-2"/>
        </w:rPr>
        <w:t>”</w:t>
      </w:r>
      <w:r>
        <w:rPr>
          <w:spacing w:val="-2"/>
        </w:rPr>
        <w:t>部分进一步</w:t>
      </w:r>
    </w:p>
    <w:p>
      <w:pPr>
        <w:pStyle w:val="BodyText"/>
        <w:spacing w:line="316" w:lineRule="auto"/>
        <w:ind w:right="0"/>
        <w:jc w:val="left"/>
      </w:pPr>
      <w:r>
        <w:rPr>
          <w:spacing w:val="-2"/>
        </w:rPr>
        <w:t>阐述了我们在这些准则下的责任。按照中国注册会计师职业道德守则，我们独立于贵公司，并履行了职业道德方面的其他责</w:t>
      </w:r>
      <w:r>
        <w:rPr>
          <w:spacing w:val="-64"/>
        </w:rPr>
        <w:t> </w:t>
      </w:r>
      <w:r>
        <w:rPr>
          <w:spacing w:val="-64"/>
        </w:rPr>
      </w:r>
      <w:r>
        <w:rPr/>
        <w:t>任。我们相信，我们获取的审计证据是充分、适当的，为发表审计意见提供了基础。</w:t>
      </w:r>
    </w:p>
    <w:p>
      <w:pPr>
        <w:spacing w:line="240" w:lineRule="auto" w:before="4"/>
        <w:rPr>
          <w:rFonts w:ascii="宋体" w:hAnsi="宋体" w:cs="宋体" w:eastAsia="宋体" w:hint="default"/>
          <w:sz w:val="25"/>
          <w:szCs w:val="25"/>
        </w:rPr>
      </w:pPr>
    </w:p>
    <w:p>
      <w:pPr>
        <w:pStyle w:val="BodyText"/>
        <w:spacing w:line="316" w:lineRule="auto"/>
        <w:ind w:left="473" w:right="0" w:firstLine="1"/>
        <w:jc w:val="left"/>
      </w:pPr>
      <w:r>
        <w:rPr>
          <w:rFonts w:ascii="宋体" w:hAnsi="宋体" w:cs="宋体" w:eastAsia="宋体" w:hint="default"/>
          <w:b/>
          <w:bCs/>
        </w:rPr>
        <w:t>三、关键审计事项</w:t>
      </w:r>
      <w:r>
        <w:rPr>
          <w:rFonts w:ascii="宋体" w:hAnsi="宋体" w:cs="宋体" w:eastAsia="宋体" w:hint="default"/>
          <w:b/>
          <w:bCs/>
          <w:w w:val="99"/>
        </w:rPr>
        <w:t> </w:t>
      </w:r>
      <w:r>
        <w:rPr>
          <w:spacing w:val="-2"/>
        </w:rPr>
        <w:t>关键审计事项是我们根据职业判断，认为对本期财务报表审计最为重要的事项。这些事项的应对以对财务报表整体进行</w:t>
      </w:r>
    </w:p>
    <w:p>
      <w:pPr>
        <w:pStyle w:val="BodyText"/>
        <w:spacing w:line="240" w:lineRule="auto" w:before="18"/>
        <w:ind w:right="0"/>
        <w:jc w:val="left"/>
      </w:pPr>
      <w:r>
        <w:rPr/>
        <w:t>审计并形成审计意见为背景，我们不对这些事项单独发表意见。我们在审计中识别出的关键审计事项如下：</w:t>
      </w:r>
    </w:p>
    <w:p>
      <w:pPr>
        <w:spacing w:line="240" w:lineRule="auto" w:before="0"/>
        <w:rPr>
          <w:rFonts w:ascii="宋体" w:hAnsi="宋体" w:cs="宋体" w:eastAsia="宋体" w:hint="default"/>
          <w:sz w:val="18"/>
          <w:szCs w:val="18"/>
        </w:rPr>
      </w:pPr>
    </w:p>
    <w:p>
      <w:pPr>
        <w:pStyle w:val="BodyText"/>
        <w:spacing w:line="240" w:lineRule="auto" w:before="153"/>
        <w:ind w:left="473" w:right="0"/>
        <w:jc w:val="left"/>
      </w:pPr>
      <w:r>
        <w:rPr/>
        <w:t>商誉减值</w:t>
      </w:r>
    </w:p>
    <w:p>
      <w:pPr>
        <w:pStyle w:val="BodyText"/>
        <w:spacing w:line="240" w:lineRule="auto" w:before="76"/>
        <w:ind w:left="473" w:right="0"/>
        <w:jc w:val="left"/>
      </w:pPr>
      <w:r>
        <w:rPr>
          <w:rFonts w:ascii="Times New Roman" w:hAnsi="Times New Roman" w:cs="Times New Roman" w:eastAsia="Times New Roman" w:hint="default"/>
        </w:rPr>
        <w:t>(1)</w:t>
      </w:r>
      <w:r>
        <w:rPr>
          <w:rFonts w:ascii="Times New Roman" w:hAnsi="Times New Roman" w:cs="Times New Roman" w:eastAsia="Times New Roman" w:hint="default"/>
          <w:spacing w:val="43"/>
        </w:rPr>
        <w:t> </w:t>
      </w:r>
      <w:r>
        <w:rPr/>
        <w:t>关键审计事项</w:t>
      </w:r>
    </w:p>
    <w:p>
      <w:pPr>
        <w:pStyle w:val="BodyText"/>
        <w:spacing w:line="240" w:lineRule="auto" w:before="63"/>
        <w:ind w:left="473" w:right="0"/>
        <w:jc w:val="left"/>
      </w:pPr>
      <w:r>
        <w:rPr>
          <w:spacing w:val="8"/>
        </w:rPr>
        <w:t>如财务报表附注五</w:t>
      </w:r>
      <w:r>
        <w:rPr>
          <w:rFonts w:ascii="Times New Roman" w:hAnsi="Times New Roman" w:cs="Times New Roman" w:eastAsia="Times New Roman" w:hint="default"/>
          <w:spacing w:val="8"/>
        </w:rPr>
        <w:t>-31</w:t>
      </w:r>
      <w:r>
        <w:rPr>
          <w:spacing w:val="8"/>
        </w:rPr>
        <w:t>、附注五</w:t>
      </w:r>
      <w:r>
        <w:rPr>
          <w:rFonts w:ascii="Times New Roman" w:hAnsi="Times New Roman" w:cs="Times New Roman" w:eastAsia="Times New Roman" w:hint="default"/>
          <w:spacing w:val="8"/>
        </w:rPr>
        <w:t>-45</w:t>
      </w:r>
      <w:r>
        <w:rPr>
          <w:spacing w:val="8"/>
        </w:rPr>
        <w:t>及附注七</w:t>
      </w:r>
      <w:r>
        <w:rPr>
          <w:rFonts w:ascii="Times New Roman" w:hAnsi="Times New Roman" w:cs="Times New Roman" w:eastAsia="Times New Roman" w:hint="default"/>
          <w:spacing w:val="8"/>
        </w:rPr>
        <w:t>-28</w:t>
      </w:r>
      <w:r>
        <w:rPr>
          <w:spacing w:val="8"/>
        </w:rPr>
        <w:t>所述，报告期末恒宝股份合并财务报表中商誉的账面净值为人民币</w:t>
      </w:r>
    </w:p>
    <w:p>
      <w:pPr>
        <w:pStyle w:val="BodyText"/>
        <w:spacing w:line="240" w:lineRule="auto" w:before="62"/>
        <w:ind w:right="0"/>
        <w:jc w:val="left"/>
      </w:pPr>
      <w:r>
        <w:rPr>
          <w:rFonts w:ascii="Times New Roman" w:hAnsi="Times New Roman" w:cs="Times New Roman" w:eastAsia="Times New Roman" w:hint="default"/>
        </w:rPr>
        <w:t>56,939,563.90</w:t>
      </w:r>
      <w:r>
        <w:rPr/>
        <w:t>元。</w:t>
      </w:r>
    </w:p>
    <w:p>
      <w:pPr>
        <w:pStyle w:val="BodyText"/>
        <w:spacing w:line="319" w:lineRule="auto" w:before="62"/>
        <w:ind w:right="0" w:firstLine="360"/>
        <w:jc w:val="left"/>
      </w:pPr>
      <w:r>
        <w:rPr>
          <w:spacing w:val="-2"/>
        </w:rPr>
        <w:t>恒宝股份于每年年度终了对商誉进行减值测试，以包含上述商誉的资产组预计未来现金流量的现值作为资产组可收回金</w:t>
      </w:r>
      <w:r>
        <w:rPr/>
        <w:t> 额的估计。在未来现金流量现值的计算中，管理层采用的关键假设包括收入增长率、毛利率、折现率。</w:t>
      </w:r>
    </w:p>
    <w:p>
      <w:pPr>
        <w:pStyle w:val="BodyText"/>
        <w:spacing w:line="316" w:lineRule="auto" w:before="17"/>
        <w:ind w:right="1032" w:firstLine="360"/>
        <w:jc w:val="left"/>
      </w:pPr>
      <w:r>
        <w:rPr>
          <w:spacing w:val="-2"/>
        </w:rPr>
        <w:t>由于商誉金额重大，且需要管理层在确定资产组可收回金额时作出重大判断和估计，我们将上述商誉减值作为关键审计</w:t>
      </w:r>
      <w:r>
        <w:rPr/>
        <w:t> 事项。</w:t>
      </w:r>
    </w:p>
    <w:p>
      <w:pPr>
        <w:spacing w:line="240" w:lineRule="auto" w:before="4"/>
        <w:rPr>
          <w:rFonts w:ascii="宋体" w:hAnsi="宋体" w:cs="宋体" w:eastAsia="宋体" w:hint="default"/>
          <w:sz w:val="25"/>
          <w:szCs w:val="25"/>
        </w:rPr>
      </w:pPr>
    </w:p>
    <w:p>
      <w:pPr>
        <w:pStyle w:val="BodyText"/>
        <w:spacing w:line="300" w:lineRule="auto"/>
        <w:ind w:left="473" w:right="4992"/>
        <w:jc w:val="left"/>
      </w:pPr>
      <w:r>
        <w:rPr>
          <w:rFonts w:ascii="Times New Roman" w:hAnsi="Times New Roman" w:cs="Times New Roman" w:eastAsia="Times New Roman" w:hint="default"/>
        </w:rPr>
        <w:t>(2)</w:t>
      </w:r>
      <w:r>
        <w:rPr>
          <w:rFonts w:ascii="Times New Roman" w:hAnsi="Times New Roman" w:cs="Times New Roman" w:eastAsia="Times New Roman" w:hint="default"/>
          <w:spacing w:val="44"/>
        </w:rPr>
        <w:t> </w:t>
      </w:r>
      <w:r>
        <w:rPr/>
        <w:t>审计应对</w:t>
      </w:r>
      <w:r>
        <w:rPr>
          <w:w w:val="99"/>
        </w:rPr>
        <w:t> </w:t>
      </w:r>
      <w:r>
        <w:rPr/>
        <w:t>我们对恒宝股份商誉减值的关键审计事项执行的主要审计程序包括：</w:t>
      </w:r>
    </w:p>
    <w:p>
      <w:pPr>
        <w:pStyle w:val="BodyText"/>
        <w:spacing w:line="240" w:lineRule="auto" w:before="31"/>
        <w:ind w:left="473" w:right="0"/>
        <w:jc w:val="left"/>
      </w:pPr>
      <w:r>
        <w:rPr/>
        <w:t>①</w:t>
      </w:r>
      <w:r>
        <w:rPr>
          <w:spacing w:val="-1"/>
        </w:rPr>
        <w:t> </w:t>
      </w:r>
      <w:r>
        <w:rPr/>
        <w:t>了解及评价恒宝股份与商誉减值测试相关的内部控制设计的有效性，并测试关键控制执行的有效性。</w:t>
      </w:r>
    </w:p>
    <w:p>
      <w:pPr>
        <w:pStyle w:val="BodyText"/>
        <w:spacing w:line="240" w:lineRule="auto" w:before="76"/>
        <w:ind w:left="473" w:right="0"/>
        <w:jc w:val="left"/>
      </w:pPr>
      <w:r>
        <w:rPr/>
        <w:t>②</w:t>
      </w:r>
      <w:r>
        <w:rPr>
          <w:spacing w:val="-1"/>
        </w:rPr>
        <w:t> </w:t>
      </w:r>
      <w:r>
        <w:rPr/>
        <w:t>检查管理层将商誉分摊至资产组的依据及其合理性。</w:t>
      </w:r>
    </w:p>
    <w:p>
      <w:pPr>
        <w:pStyle w:val="BodyText"/>
        <w:spacing w:line="240" w:lineRule="auto" w:before="76"/>
        <w:ind w:left="473" w:right="0"/>
        <w:jc w:val="left"/>
      </w:pPr>
      <w:r>
        <w:rPr/>
        <w:t>③</w:t>
      </w:r>
      <w:r>
        <w:rPr>
          <w:spacing w:val="6"/>
        </w:rPr>
        <w:t> </w:t>
      </w:r>
      <w:r>
        <w:rPr/>
        <w:t>评价管理层选择的估值方法和采用的关键假设的合理性。通过将收入增长率、利润率及折现率等关键参数与资产组</w:t>
      </w:r>
    </w:p>
    <w:p>
      <w:pPr>
        <w:spacing w:after="0" w:line="240" w:lineRule="auto"/>
        <w:jc w:val="left"/>
        <w:sectPr>
          <w:pgSz w:w="11910" w:h="16840"/>
          <w:pgMar w:header="906" w:footer="1018" w:top="1100" w:bottom="1200" w:left="1020" w:right="0"/>
        </w:sectPr>
      </w:pPr>
    </w:p>
    <w:p>
      <w:pPr>
        <w:spacing w:line="240" w:lineRule="auto" w:before="11"/>
        <w:rPr>
          <w:rFonts w:ascii="宋体" w:hAnsi="宋体" w:cs="宋体" w:eastAsia="宋体" w:hint="default"/>
          <w:sz w:val="22"/>
          <w:szCs w:val="22"/>
        </w:rPr>
      </w:pPr>
    </w:p>
    <w:p>
      <w:pPr>
        <w:pStyle w:val="BodyText"/>
        <w:spacing w:line="240" w:lineRule="auto" w:before="44"/>
        <w:ind w:right="0"/>
        <w:jc w:val="both"/>
      </w:pPr>
      <w:r>
        <w:rPr/>
        <w:t>以往业绩、管理层预算及预测进行比较，并结合市场趋势，审慎评价估值模型中关键参数的合理性。</w:t>
      </w:r>
    </w:p>
    <w:p>
      <w:pPr>
        <w:pStyle w:val="BodyText"/>
        <w:spacing w:line="240" w:lineRule="auto" w:before="76"/>
        <w:ind w:left="473" w:right="0"/>
        <w:jc w:val="left"/>
      </w:pPr>
      <w:r>
        <w:rPr/>
        <w:t>④</w:t>
      </w:r>
      <w:r>
        <w:rPr>
          <w:spacing w:val="-1"/>
        </w:rPr>
        <w:t> </w:t>
      </w:r>
      <w:r>
        <w:rPr/>
        <w:t>获取估值专家出具的评估报告，对评估报告中采用的评估方法、关键假设的合理性进行复核。</w:t>
      </w:r>
    </w:p>
    <w:p>
      <w:pPr>
        <w:spacing w:line="240" w:lineRule="auto" w:before="0"/>
        <w:rPr>
          <w:rFonts w:ascii="宋体" w:hAnsi="宋体" w:cs="宋体" w:eastAsia="宋体" w:hint="default"/>
          <w:sz w:val="18"/>
          <w:szCs w:val="18"/>
        </w:rPr>
      </w:pPr>
    </w:p>
    <w:p>
      <w:pPr>
        <w:pStyle w:val="BodyText"/>
        <w:spacing w:line="316" w:lineRule="auto" w:before="153"/>
        <w:ind w:left="473" w:right="1212" w:firstLine="1"/>
        <w:jc w:val="left"/>
      </w:pPr>
      <w:r>
        <w:rPr>
          <w:rFonts w:ascii="宋体" w:hAnsi="宋体" w:cs="宋体" w:eastAsia="宋体" w:hint="default"/>
          <w:b/>
          <w:bCs/>
        </w:rPr>
        <w:t>四、其他信息</w:t>
      </w:r>
      <w:r>
        <w:rPr>
          <w:rFonts w:ascii="宋体" w:hAnsi="宋体" w:cs="宋体" w:eastAsia="宋体" w:hint="default"/>
          <w:b/>
          <w:bCs/>
          <w:w w:val="99"/>
        </w:rPr>
        <w:t> </w:t>
      </w:r>
      <w:r>
        <w:rPr/>
        <w:t>贵公司管理层对其他信息负责。其他信息包括</w:t>
      </w:r>
      <w:r>
        <w:rPr>
          <w:rFonts w:ascii="Times New Roman" w:hAnsi="Times New Roman" w:cs="Times New Roman" w:eastAsia="Times New Roman" w:hint="default"/>
        </w:rPr>
        <w:t>2019</w:t>
      </w:r>
      <w:r>
        <w:rPr/>
        <w:t>年年度报告中涵盖的信息，但不包括财务报表和我们的审计报告。</w:t>
      </w:r>
    </w:p>
    <w:p>
      <w:pPr>
        <w:pStyle w:val="BodyText"/>
        <w:spacing w:line="624" w:lineRule="exact" w:before="22"/>
        <w:ind w:left="473" w:right="0"/>
        <w:jc w:val="left"/>
      </w:pPr>
      <w:r>
        <w:rPr/>
        <w:t>我们对财务报表发表的审计意见不涵盖其他信息，我们也不对其他信息发表任何形式的鉴证结论。 </w:t>
      </w:r>
      <w:r>
        <w:rPr>
          <w:spacing w:val="-2"/>
        </w:rPr>
        <w:t>结合我们对财务报表的审计，我们的责任是阅读其他信息，在此过程中，考虑其他信息是否与财务报表或我们在审计过</w:t>
      </w:r>
    </w:p>
    <w:p>
      <w:pPr>
        <w:pStyle w:val="BodyText"/>
        <w:spacing w:line="212" w:lineRule="exact"/>
        <w:ind w:right="0"/>
        <w:jc w:val="both"/>
      </w:pPr>
      <w:r>
        <w:rPr/>
        <w:t>程中了解到的情况存在重大不一致或者似乎存在重大错报。</w:t>
      </w:r>
    </w:p>
    <w:p>
      <w:pPr>
        <w:spacing w:line="240" w:lineRule="auto" w:before="0"/>
        <w:rPr>
          <w:rFonts w:ascii="宋体" w:hAnsi="宋体" w:cs="宋体" w:eastAsia="宋体" w:hint="default"/>
          <w:sz w:val="18"/>
          <w:szCs w:val="18"/>
        </w:rPr>
      </w:pPr>
    </w:p>
    <w:p>
      <w:pPr>
        <w:pStyle w:val="BodyText"/>
        <w:spacing w:line="316" w:lineRule="auto" w:before="153"/>
        <w:ind w:right="1129" w:firstLine="360"/>
        <w:jc w:val="both"/>
      </w:pPr>
      <w:r>
        <w:rPr>
          <w:spacing w:val="-2"/>
        </w:rPr>
        <w:t>基于我们已执行的工作，如果我们确定其他信息存在重大错报，我们应当报告该事实。在这方面，我们无任何事项需要</w:t>
      </w:r>
      <w:r>
        <w:rPr/>
        <w:t> 报告。</w:t>
      </w:r>
    </w:p>
    <w:p>
      <w:pPr>
        <w:spacing w:line="240" w:lineRule="auto" w:before="4"/>
        <w:rPr>
          <w:rFonts w:ascii="宋体" w:hAnsi="宋体" w:cs="宋体" w:eastAsia="宋体" w:hint="default"/>
          <w:sz w:val="25"/>
          <w:szCs w:val="25"/>
        </w:rPr>
      </w:pPr>
    </w:p>
    <w:p>
      <w:pPr>
        <w:spacing w:line="316" w:lineRule="auto" w:before="0"/>
        <w:ind w:left="473" w:right="1032" w:firstLine="1"/>
        <w:jc w:val="left"/>
        <w:rPr>
          <w:rFonts w:ascii="宋体" w:hAnsi="宋体" w:cs="宋体" w:eastAsia="宋体" w:hint="default"/>
          <w:sz w:val="18"/>
          <w:szCs w:val="18"/>
        </w:rPr>
      </w:pPr>
      <w:r>
        <w:rPr>
          <w:rFonts w:ascii="宋体" w:hAnsi="宋体" w:cs="宋体" w:eastAsia="宋体" w:hint="default"/>
          <w:b/>
          <w:bCs/>
          <w:sz w:val="18"/>
          <w:szCs w:val="18"/>
        </w:rPr>
        <w:t>五、管理层和治理层对财务报表的责任</w:t>
      </w:r>
      <w:r>
        <w:rPr>
          <w:rFonts w:ascii="宋体" w:hAnsi="宋体" w:cs="宋体" w:eastAsia="宋体" w:hint="default"/>
          <w:b/>
          <w:bCs/>
          <w:w w:val="99"/>
          <w:sz w:val="18"/>
          <w:szCs w:val="18"/>
        </w:rPr>
        <w:t> </w:t>
      </w:r>
      <w:r>
        <w:rPr>
          <w:rFonts w:ascii="宋体" w:hAnsi="宋体" w:cs="宋体" w:eastAsia="宋体" w:hint="default"/>
          <w:sz w:val="18"/>
          <w:szCs w:val="18"/>
        </w:rPr>
        <w:t>贵公司管理层负责按照企业会计准则的规定编制财务报表，使其实现公允反映，并设计、执行和维护必要的内部控制，</w:t>
      </w:r>
    </w:p>
    <w:p>
      <w:pPr>
        <w:pStyle w:val="BodyText"/>
        <w:spacing w:line="240" w:lineRule="auto" w:before="18"/>
        <w:ind w:right="0"/>
        <w:jc w:val="both"/>
      </w:pPr>
      <w:r>
        <w:rPr/>
        <w:t>以使财务报表不存在由于舞弊或错误导致的重大错报。</w:t>
      </w:r>
    </w:p>
    <w:p>
      <w:pPr>
        <w:spacing w:line="240" w:lineRule="auto" w:before="0"/>
        <w:rPr>
          <w:rFonts w:ascii="宋体" w:hAnsi="宋体" w:cs="宋体" w:eastAsia="宋体" w:hint="default"/>
          <w:sz w:val="18"/>
          <w:szCs w:val="18"/>
        </w:rPr>
      </w:pPr>
    </w:p>
    <w:p>
      <w:pPr>
        <w:pStyle w:val="BodyText"/>
        <w:spacing w:line="300" w:lineRule="auto" w:before="153"/>
        <w:ind w:right="1128" w:firstLine="360"/>
        <w:jc w:val="both"/>
      </w:pPr>
      <w:r>
        <w:rPr>
          <w:spacing w:val="-1"/>
        </w:rPr>
        <w:t>在编制财务报表时，管理层负责评估贵公司的持续经营能力，披露与持续经营相关的事项</w:t>
      </w:r>
      <w:r>
        <w:rPr>
          <w:rFonts w:ascii="Times New Roman" w:hAnsi="Times New Roman" w:cs="Times New Roman" w:eastAsia="Times New Roman" w:hint="default"/>
          <w:spacing w:val="-1"/>
        </w:rPr>
        <w:t>(</w:t>
      </w:r>
      <w:r>
        <w:rPr>
          <w:spacing w:val="-1"/>
        </w:rPr>
        <w:t>如适用</w:t>
      </w:r>
      <w:r>
        <w:rPr>
          <w:rFonts w:ascii="Times New Roman" w:hAnsi="Times New Roman" w:cs="Times New Roman" w:eastAsia="Times New Roman" w:hint="default"/>
          <w:spacing w:val="-1"/>
        </w:rPr>
        <w:t>)</w:t>
      </w:r>
      <w:r>
        <w:rPr>
          <w:spacing w:val="-1"/>
        </w:rPr>
        <w:t>，并运用持续经营假</w:t>
      </w:r>
      <w:r>
        <w:rPr/>
        <w:t> 设，除非管理层计划清算贵公司、终止运营或别无其他现实的选择。</w:t>
      </w:r>
    </w:p>
    <w:p>
      <w:pPr>
        <w:spacing w:line="624" w:lineRule="exact" w:before="54"/>
        <w:ind w:left="474" w:right="7153" w:hanging="2"/>
        <w:jc w:val="left"/>
        <w:rPr>
          <w:rFonts w:ascii="宋体" w:hAnsi="宋体" w:cs="宋体" w:eastAsia="宋体" w:hint="default"/>
          <w:sz w:val="18"/>
          <w:szCs w:val="18"/>
        </w:rPr>
      </w:pPr>
      <w:r>
        <w:rPr>
          <w:rFonts w:ascii="宋体" w:hAnsi="宋体" w:cs="宋体" w:eastAsia="宋体" w:hint="default"/>
          <w:sz w:val="18"/>
          <w:szCs w:val="18"/>
        </w:rPr>
        <w:t>治理层负责监督贵公司的财务报告过程。 </w:t>
      </w:r>
      <w:r>
        <w:rPr>
          <w:rFonts w:ascii="宋体" w:hAnsi="宋体" w:cs="宋体" w:eastAsia="宋体" w:hint="default"/>
          <w:b/>
          <w:bCs/>
          <w:sz w:val="18"/>
          <w:szCs w:val="18"/>
        </w:rPr>
        <w:t>六、注册会计师对财务报表审计的责任</w:t>
      </w:r>
      <w:r>
        <w:rPr>
          <w:rFonts w:ascii="宋体" w:hAnsi="宋体" w:cs="宋体" w:eastAsia="宋体" w:hint="default"/>
          <w:sz w:val="18"/>
          <w:szCs w:val="18"/>
        </w:rPr>
      </w:r>
    </w:p>
    <w:p>
      <w:pPr>
        <w:pStyle w:val="BodyText"/>
        <w:spacing w:line="212" w:lineRule="exact"/>
        <w:ind w:right="0" w:firstLine="360"/>
        <w:jc w:val="left"/>
      </w:pPr>
      <w:r>
        <w:rPr/>
        <w:t>我们的目标是对财务报表整体是否不存在由于舞弊或错误导致的重大错报获取合理保证</w:t>
      </w:r>
      <w:r>
        <w:rPr>
          <w:spacing w:val="-82"/>
        </w:rPr>
        <w:t>，</w:t>
      </w:r>
      <w:r>
        <w:rPr/>
        <w:t>并出具包含审计意见的审计报</w:t>
      </w:r>
    </w:p>
    <w:p>
      <w:pPr>
        <w:pStyle w:val="BodyText"/>
        <w:spacing w:line="316" w:lineRule="auto" w:before="76"/>
        <w:ind w:right="1131"/>
        <w:jc w:val="both"/>
      </w:pPr>
      <w:r>
        <w:rPr>
          <w:spacing w:val="-2"/>
        </w:rPr>
        <w:t>告。合理保证是高水平的保证，但并不能保证按照审计准则执行的审计在某一重大错报存在时总能发现。错报可能由于舞弊</w:t>
      </w:r>
      <w:r>
        <w:rPr>
          <w:spacing w:val="-66"/>
        </w:rPr>
        <w:t> </w:t>
      </w:r>
      <w:r>
        <w:rPr>
          <w:spacing w:val="-66"/>
        </w:rPr>
      </w:r>
      <w:r>
        <w:rPr>
          <w:spacing w:val="-2"/>
        </w:rPr>
        <w:t>或错误导致，如果合理预期错报单独或汇总起来可能影响财务报表使用者依据财务报表作出的经济决策，则通常认为错报是</w:t>
      </w:r>
      <w:r>
        <w:rPr>
          <w:spacing w:val="-64"/>
        </w:rPr>
        <w:t> </w:t>
      </w:r>
      <w:r>
        <w:rPr>
          <w:spacing w:val="-64"/>
        </w:rPr>
      </w:r>
      <w:r>
        <w:rPr/>
        <w:t>重大的。</w:t>
      </w:r>
    </w:p>
    <w:p>
      <w:pPr>
        <w:spacing w:line="240" w:lineRule="auto" w:before="4"/>
        <w:rPr>
          <w:rFonts w:ascii="宋体" w:hAnsi="宋体" w:cs="宋体" w:eastAsia="宋体" w:hint="default"/>
          <w:sz w:val="25"/>
          <w:szCs w:val="25"/>
        </w:rPr>
      </w:pPr>
    </w:p>
    <w:p>
      <w:pPr>
        <w:pStyle w:val="BodyText"/>
        <w:spacing w:line="240" w:lineRule="auto"/>
        <w:ind w:left="473" w:right="0"/>
        <w:jc w:val="left"/>
      </w:pPr>
      <w:r>
        <w:rPr/>
        <w:t>在按照审计准则执行审计工作的过程中，我们运用职业判断，并保持职业怀疑。同时，我们也执行以下工作：</w:t>
      </w:r>
    </w:p>
    <w:p>
      <w:pPr>
        <w:spacing w:line="240" w:lineRule="auto" w:before="0"/>
        <w:rPr>
          <w:rFonts w:ascii="宋体" w:hAnsi="宋体" w:cs="宋体" w:eastAsia="宋体" w:hint="default"/>
          <w:sz w:val="18"/>
          <w:szCs w:val="18"/>
        </w:rPr>
      </w:pPr>
    </w:p>
    <w:p>
      <w:pPr>
        <w:pStyle w:val="BodyText"/>
        <w:spacing w:line="309" w:lineRule="auto" w:before="152"/>
        <w:ind w:right="1128" w:firstLine="360"/>
        <w:jc w:val="both"/>
      </w:pPr>
      <w:r>
        <w:rPr>
          <w:rFonts w:ascii="Times New Roman" w:hAnsi="Times New Roman" w:cs="Times New Roman" w:eastAsia="Times New Roman" w:hint="default"/>
        </w:rPr>
        <w:t>1</w:t>
      </w:r>
      <w:r>
        <w:rPr/>
        <w:t>、识别和评估由于舞弊或错误导致的财务报表重大错报风险，设计和实施审计程序以应对这些风险，并获取充分、适 </w:t>
      </w:r>
      <w:r>
        <w:rPr>
          <w:spacing w:val="-2"/>
        </w:rPr>
        <w:t>当的审计证据，作为发表审计意见的基础。由于舞弊可能涉及串通、伪造、故意遗漏、虚假陈述或凌驾于内部控制之上，未</w:t>
      </w:r>
      <w:r>
        <w:rPr>
          <w:spacing w:val="-67"/>
        </w:rPr>
        <w:t> </w:t>
      </w:r>
      <w:r>
        <w:rPr>
          <w:spacing w:val="-67"/>
        </w:rPr>
      </w:r>
      <w:r>
        <w:rPr/>
        <w:t>能发现由于舞弊导致的重大错报的风险高于未能发现由于错误导致的重大错报的风险。</w:t>
      </w:r>
    </w:p>
    <w:p>
      <w:pPr>
        <w:pStyle w:val="BodyText"/>
        <w:spacing w:line="240" w:lineRule="auto" w:before="24"/>
        <w:ind w:left="473" w:right="0"/>
        <w:jc w:val="left"/>
      </w:pPr>
      <w:r>
        <w:rPr>
          <w:rFonts w:ascii="Times New Roman" w:hAnsi="Times New Roman" w:cs="Times New Roman" w:eastAsia="Times New Roman" w:hint="default"/>
        </w:rPr>
        <w:t>2</w:t>
      </w:r>
      <w:r>
        <w:rPr/>
        <w:t>、了解与审计相关的内部控制，以设计恰当的审计程序。</w:t>
      </w:r>
    </w:p>
    <w:p>
      <w:pPr>
        <w:pStyle w:val="BodyText"/>
        <w:spacing w:line="240" w:lineRule="auto" w:before="63"/>
        <w:ind w:left="473" w:right="0"/>
        <w:jc w:val="left"/>
      </w:pPr>
      <w:r>
        <w:rPr>
          <w:rFonts w:ascii="Times New Roman" w:hAnsi="Times New Roman" w:cs="Times New Roman" w:eastAsia="Times New Roman" w:hint="default"/>
        </w:rPr>
        <w:t>3</w:t>
      </w:r>
      <w:r>
        <w:rPr/>
        <w:t>、评价管理层选用会计政策的恰当性和作出会计估计及相关披露的合理性。</w:t>
      </w:r>
    </w:p>
    <w:p>
      <w:pPr>
        <w:pStyle w:val="BodyText"/>
        <w:spacing w:line="312" w:lineRule="auto" w:before="62"/>
        <w:ind w:right="1128" w:firstLine="360"/>
        <w:jc w:val="both"/>
      </w:pPr>
      <w:r>
        <w:rPr>
          <w:rFonts w:ascii="Times New Roman" w:hAnsi="Times New Roman" w:cs="Times New Roman" w:eastAsia="Times New Roman" w:hint="default"/>
        </w:rPr>
        <w:t>4</w:t>
      </w:r>
      <w:r>
        <w:rPr/>
        <w:t>、对管理层使用持续经营假设的恰当性得出结论。同时，根据获取的审计证据，就可能导致对贵公司持续经营能力产 </w:t>
      </w:r>
      <w:r>
        <w:rPr>
          <w:spacing w:val="-2"/>
        </w:rPr>
        <w:t>生重大疑虑的事项或情况是否存在重大不确定性得出结论。如果我们得出结论认为存在重大不确定性，审计准则要求我们在</w:t>
      </w:r>
      <w:r>
        <w:rPr>
          <w:spacing w:val="-64"/>
        </w:rPr>
        <w:t> </w:t>
      </w:r>
      <w:r>
        <w:rPr>
          <w:spacing w:val="-64"/>
        </w:rPr>
      </w:r>
      <w:r>
        <w:rPr>
          <w:spacing w:val="-2"/>
        </w:rPr>
        <w:t>审计报告中提请报表使用者注意财务报表中的相关披露；如果披露不充分，我们应当发表非无保留意见。我们的结论基于截</w:t>
      </w:r>
      <w:r>
        <w:rPr>
          <w:spacing w:val="-66"/>
        </w:rPr>
        <w:t> </w:t>
      </w:r>
      <w:r>
        <w:rPr>
          <w:spacing w:val="-66"/>
        </w:rPr>
      </w:r>
      <w:r>
        <w:rPr/>
        <w:t>至审计报告日可获得的信息。然而，未来的事项或情况可能导致贵公司不能持续经营。</w:t>
      </w:r>
    </w:p>
    <w:p>
      <w:pPr>
        <w:pStyle w:val="BodyText"/>
        <w:spacing w:line="240" w:lineRule="auto" w:before="22"/>
        <w:ind w:left="473" w:right="0"/>
        <w:jc w:val="left"/>
      </w:pPr>
      <w:r>
        <w:rPr>
          <w:rFonts w:ascii="Times New Roman" w:hAnsi="Times New Roman" w:cs="Times New Roman" w:eastAsia="Times New Roman" w:hint="default"/>
        </w:rPr>
        <w:t>5</w:t>
      </w:r>
      <w:r>
        <w:rPr/>
        <w:t>、评价财务报表的总体列报、结构和内容</w:t>
      </w:r>
      <w:r>
        <w:rPr>
          <w:rFonts w:ascii="Times New Roman" w:hAnsi="Times New Roman" w:cs="Times New Roman" w:eastAsia="Times New Roman" w:hint="default"/>
        </w:rPr>
        <w:t>(</w:t>
      </w:r>
      <w:r>
        <w:rPr/>
        <w:t>包括披露</w:t>
      </w:r>
      <w:r>
        <w:rPr>
          <w:rFonts w:ascii="Times New Roman" w:hAnsi="Times New Roman" w:cs="Times New Roman" w:eastAsia="Times New Roman" w:hint="default"/>
        </w:rPr>
        <w:t>)</w:t>
      </w:r>
      <w:r>
        <w:rPr/>
        <w:t>，并评价财务报表是否公允反映相关交易和事项。</w:t>
      </w:r>
    </w:p>
    <w:p>
      <w:pPr>
        <w:pStyle w:val="BodyText"/>
        <w:spacing w:line="300" w:lineRule="auto" w:before="63"/>
        <w:ind w:right="1128" w:firstLine="360"/>
        <w:jc w:val="both"/>
      </w:pPr>
      <w:r>
        <w:rPr>
          <w:rFonts w:ascii="Times New Roman" w:hAnsi="Times New Roman" w:cs="Times New Roman" w:eastAsia="Times New Roman" w:hint="default"/>
        </w:rPr>
        <w:t>6</w:t>
      </w:r>
      <w:r>
        <w:rPr/>
        <w:t>、就贵公司中实体或业务活动的财务信息获取充分、适当的审计证据，以对合并财务报表发表审计意见。我们负责指 导、监督和执行集团审计，并对审计意见承担全部责任。</w:t>
      </w:r>
    </w:p>
    <w:p>
      <w:pPr>
        <w:spacing w:after="0" w:line="300" w:lineRule="auto"/>
        <w:jc w:val="both"/>
        <w:sectPr>
          <w:pgSz w:w="11910" w:h="16840"/>
          <w:pgMar w:header="906" w:footer="1018" w:top="1100" w:bottom="1200" w:left="1020" w:right="0"/>
        </w:sectPr>
      </w:pPr>
    </w:p>
    <w:p>
      <w:pPr>
        <w:spacing w:line="240" w:lineRule="auto" w:before="11"/>
        <w:rPr>
          <w:rFonts w:ascii="宋体" w:hAnsi="宋体" w:cs="宋体" w:eastAsia="宋体" w:hint="default"/>
          <w:sz w:val="22"/>
          <w:szCs w:val="22"/>
        </w:rPr>
      </w:pPr>
    </w:p>
    <w:p>
      <w:pPr>
        <w:pStyle w:val="BodyText"/>
        <w:spacing w:line="316" w:lineRule="auto" w:before="44"/>
        <w:ind w:right="1131" w:firstLine="360"/>
        <w:jc w:val="both"/>
      </w:pPr>
      <w:r>
        <w:rPr>
          <w:spacing w:val="-2"/>
        </w:rPr>
        <w:t>我们与治理层就计划的审计范围、时间安排和重大审计发现等事项进行沟通，包括沟通我们在审计中识别出的值得关注</w:t>
      </w:r>
      <w:r>
        <w:rPr/>
        <w:t> 的内部控制缺陷。</w:t>
      </w:r>
    </w:p>
    <w:p>
      <w:pPr>
        <w:spacing w:line="240" w:lineRule="auto" w:before="4"/>
        <w:rPr>
          <w:rFonts w:ascii="宋体" w:hAnsi="宋体" w:cs="宋体" w:eastAsia="宋体" w:hint="default"/>
          <w:sz w:val="25"/>
          <w:szCs w:val="25"/>
        </w:rPr>
      </w:pPr>
    </w:p>
    <w:p>
      <w:pPr>
        <w:pStyle w:val="BodyText"/>
        <w:spacing w:line="316" w:lineRule="auto"/>
        <w:ind w:right="1131" w:firstLine="360"/>
        <w:jc w:val="both"/>
      </w:pPr>
      <w:r>
        <w:rPr>
          <w:spacing w:val="-2"/>
        </w:rPr>
        <w:t>我们还就已遵守与独立性相关的职业道德要求向治理层提供声明，并与治理层沟通可能被合理认为影响我们独立性的所</w:t>
      </w:r>
      <w:r>
        <w:rPr/>
        <w:t> 有关系和其他事项，以及相关的防范措施</w:t>
      </w:r>
      <w:r>
        <w:rPr>
          <w:rFonts w:ascii="Times New Roman" w:hAnsi="Times New Roman" w:cs="Times New Roman" w:eastAsia="Times New Roman" w:hint="default"/>
        </w:rPr>
        <w:t>(</w:t>
      </w:r>
      <w:r>
        <w:rPr/>
        <w:t>如适用</w:t>
      </w:r>
      <w:r>
        <w:rPr>
          <w:rFonts w:ascii="Times New Roman" w:hAnsi="Times New Roman" w:cs="Times New Roman" w:eastAsia="Times New Roman" w:hint="default"/>
        </w:rPr>
        <w:t>)</w:t>
      </w:r>
      <w:r>
        <w:rPr/>
        <w:t>。</w:t>
      </w:r>
    </w:p>
    <w:p>
      <w:pPr>
        <w:spacing w:line="240" w:lineRule="auto" w:before="10"/>
        <w:rPr>
          <w:rFonts w:ascii="宋体" w:hAnsi="宋体" w:cs="宋体" w:eastAsia="宋体" w:hint="default"/>
          <w:sz w:val="23"/>
          <w:szCs w:val="23"/>
        </w:rPr>
      </w:pPr>
    </w:p>
    <w:p>
      <w:pPr>
        <w:pStyle w:val="BodyText"/>
        <w:spacing w:line="316" w:lineRule="auto"/>
        <w:ind w:right="1129" w:firstLine="360"/>
        <w:jc w:val="both"/>
      </w:pPr>
      <w:r>
        <w:rPr>
          <w:spacing w:val="-2"/>
        </w:rPr>
        <w:t>从与治理层沟通过的事项中，我们确定哪些事项对本期财务报表审计最为重要，因而构成关键审计事项。我们在审计报</w:t>
      </w:r>
      <w:r>
        <w:rPr/>
        <w:t> </w:t>
      </w:r>
      <w:r>
        <w:rPr>
          <w:spacing w:val="-2"/>
        </w:rPr>
        <w:t>告中描述这些事项，除非法律法规禁止公开披露这些事项，或在极少数情形下，如果合理预期在审计报告中沟通某事项造成</w:t>
      </w:r>
      <w:r>
        <w:rPr>
          <w:spacing w:val="-63"/>
        </w:rPr>
        <w:t> </w:t>
      </w:r>
      <w:r>
        <w:rPr>
          <w:spacing w:val="-63"/>
        </w:rPr>
      </w:r>
      <w:r>
        <w:rPr/>
        <w:t>的负面后果超过在公众利益方面产生的益处，我们确定不应在审计报告中沟通该事项。</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13"/>
          <w:szCs w:val="13"/>
        </w:rPr>
      </w:pPr>
    </w:p>
    <w:p>
      <w:pPr>
        <w:pStyle w:val="BodyText"/>
        <w:tabs>
          <w:tab w:pos="3923" w:val="left" w:leader="none"/>
          <w:tab w:pos="5453" w:val="left" w:leader="none"/>
        </w:tabs>
        <w:spacing w:line="240" w:lineRule="auto"/>
        <w:ind w:left="473" w:right="0"/>
        <w:jc w:val="left"/>
      </w:pPr>
      <w:r>
        <w:rPr>
          <w:spacing w:val="-1"/>
        </w:rPr>
        <w:t>上会会计师事务所（特殊普通合伙）</w:t>
        <w:tab/>
      </w:r>
      <w:r>
        <w:rPr/>
        <w:t>中国注册会计师</w:t>
        <w:tab/>
        <w:t>耿磊</w:t>
      </w:r>
    </w:p>
    <w:p>
      <w:pPr>
        <w:spacing w:line="240" w:lineRule="auto" w:before="0"/>
        <w:rPr>
          <w:rFonts w:ascii="宋体" w:hAnsi="宋体" w:cs="宋体" w:eastAsia="宋体" w:hint="default"/>
          <w:sz w:val="18"/>
          <w:szCs w:val="18"/>
        </w:rPr>
      </w:pPr>
    </w:p>
    <w:p>
      <w:pPr>
        <w:pStyle w:val="BodyText"/>
        <w:spacing w:line="240" w:lineRule="auto" w:before="152"/>
        <w:ind w:left="3863" w:right="0"/>
        <w:jc w:val="left"/>
      </w:pPr>
      <w:r>
        <w:rPr/>
        <w:t>（项目合伙人）</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17"/>
          <w:szCs w:val="17"/>
        </w:rPr>
      </w:pPr>
    </w:p>
    <w:p>
      <w:pPr>
        <w:pStyle w:val="BodyText"/>
        <w:tabs>
          <w:tab w:pos="1529" w:val="left" w:leader="none"/>
        </w:tabs>
        <w:spacing w:line="240" w:lineRule="auto"/>
        <w:ind w:left="0" w:right="1086"/>
        <w:jc w:val="center"/>
      </w:pPr>
      <w:r>
        <w:rPr/>
        <w:t>中国注册会计师</w:t>
        <w:tab/>
        <w:t>赵彧非</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BodyText"/>
        <w:tabs>
          <w:tab w:pos="4313" w:val="left" w:leader="none"/>
        </w:tabs>
        <w:spacing w:line="240" w:lineRule="auto" w:before="146"/>
        <w:ind w:left="1883" w:right="0"/>
        <w:jc w:val="left"/>
      </w:pPr>
      <w:r>
        <w:rPr/>
        <w:t>中国  上海</w:t>
        <w:tab/>
        <w:t>二〇二〇年四月二十七日</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8"/>
          <w:szCs w:val="18"/>
        </w:rPr>
      </w:pPr>
    </w:p>
    <w:p>
      <w:pPr>
        <w:pStyle w:val="Heading2"/>
        <w:spacing w:line="240" w:lineRule="auto"/>
        <w:ind w:right="0"/>
        <w:jc w:val="left"/>
        <w:rPr>
          <w:b w:val="0"/>
          <w:bCs w:val="0"/>
        </w:rPr>
      </w:pPr>
      <w:r>
        <w:rPr/>
        <w:t>二、财务报表</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财务附注中报表的单位为：元</w:t>
      </w:r>
    </w:p>
    <w:p>
      <w:pPr>
        <w:spacing w:line="240" w:lineRule="auto" w:before="13"/>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1</w:t>
      </w:r>
      <w:r>
        <w:rPr/>
        <w:t>、合并资产负债表</w:t>
      </w:r>
      <w:r>
        <w:rPr>
          <w:b w:val="0"/>
          <w:bCs w:val="0"/>
        </w:rPr>
      </w:r>
    </w:p>
    <w:p>
      <w:pPr>
        <w:spacing w:line="240" w:lineRule="auto" w:before="1"/>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906" w:footer="1018" w:top="1100" w:bottom="1200" w:left="1020" w:right="0"/>
        </w:sectPr>
      </w:pPr>
    </w:p>
    <w:p>
      <w:pPr>
        <w:pStyle w:val="BodyText"/>
        <w:spacing w:line="240" w:lineRule="auto" w:before="44"/>
        <w:ind w:right="-20"/>
        <w:jc w:val="left"/>
      </w:pPr>
      <w:r>
        <w:rPr/>
        <w:t>编制单位：恒宝股份有限公司</w:t>
      </w:r>
    </w:p>
    <w:p>
      <w:pPr>
        <w:spacing w:line="240" w:lineRule="auto" w:before="0"/>
        <w:rPr>
          <w:rFonts w:ascii="宋体" w:hAnsi="宋体" w:cs="宋体" w:eastAsia="宋体" w:hint="default"/>
          <w:sz w:val="18"/>
          <w:szCs w:val="18"/>
        </w:rPr>
      </w:pPr>
      <w:r>
        <w:rPr/>
        <w:br w:type="column"/>
      </w:r>
      <w:r>
        <w:rPr>
          <w:rFonts w:ascii="宋体"/>
          <w:sz w:val="18"/>
        </w:rPr>
      </w:r>
    </w:p>
    <w:p>
      <w:pPr>
        <w:pStyle w:val="BodyText"/>
        <w:spacing w:line="240" w:lineRule="auto" w:before="161"/>
        <w:ind w:right="-20"/>
        <w:jc w:val="left"/>
      </w:pPr>
      <w:r>
        <w:rPr>
          <w:rFonts w:ascii="Times New Roman" w:hAnsi="Times New Roman" w:cs="Times New Roman" w:eastAsia="Times New Roman" w:hint="default"/>
        </w:rPr>
        <w:t>2019 </w:t>
      </w:r>
      <w:r>
        <w:rPr/>
        <w:t>年</w:t>
      </w:r>
      <w:r>
        <w:rPr>
          <w:spacing w:val="-45"/>
        </w:rPr>
        <w:t> </w:t>
      </w:r>
      <w:r>
        <w:rPr>
          <w:rFonts w:ascii="Times New Roman" w:hAnsi="Times New Roman" w:cs="Times New Roman" w:eastAsia="Times New Roman" w:hint="default"/>
        </w:rPr>
        <w:t>12 </w:t>
      </w:r>
      <w:r>
        <w:rPr/>
        <w:t>月</w:t>
      </w:r>
      <w:r>
        <w:rPr>
          <w:spacing w:val="-45"/>
        </w:rPr>
        <w:t> </w:t>
      </w:r>
      <w:r>
        <w:rPr>
          <w:rFonts w:ascii="Times New Roman" w:hAnsi="Times New Roman" w:cs="Times New Roman" w:eastAsia="Times New Roman" w:hint="default"/>
        </w:rPr>
        <w:t>31 </w:t>
      </w:r>
      <w:r>
        <w:rPr/>
        <w:t>日</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pStyle w:val="BodyText"/>
        <w:spacing w:line="240" w:lineRule="auto"/>
        <w:ind w:right="0"/>
        <w:jc w:val="left"/>
      </w:pPr>
      <w:r>
        <w:rPr/>
        <w:t>单位：元</w:t>
      </w:r>
    </w:p>
    <w:p>
      <w:pPr>
        <w:spacing w:after="0" w:line="240" w:lineRule="auto"/>
        <w:jc w:val="left"/>
        <w:sectPr>
          <w:type w:val="continuous"/>
          <w:pgSz w:w="11910" w:h="16840"/>
          <w:pgMar w:top="1100" w:bottom="1200" w:left="1020" w:right="0"/>
          <w:cols w:num="3" w:equalWidth="0">
            <w:col w:w="2454" w:space="1622"/>
            <w:col w:w="1599" w:space="3243"/>
            <w:col w:w="1972"/>
          </w:cols>
        </w:sectPr>
      </w:pP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967"/>
        <w:gridCol w:w="3300"/>
        <w:gridCol w:w="3301"/>
      </w:tblGrid>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30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9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c>
          <w:tcPr>
            <w:tcW w:w="330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9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300"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503,576,108.14</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62" w:right="0"/>
              <w:jc w:val="left"/>
              <w:rPr>
                <w:rFonts w:ascii="Times New Roman" w:hAnsi="Times New Roman" w:cs="Times New Roman" w:eastAsia="Times New Roman" w:hint="default"/>
                <w:sz w:val="18"/>
                <w:szCs w:val="18"/>
              </w:rPr>
            </w:pPr>
            <w:r>
              <w:rPr>
                <w:rFonts w:ascii="Times New Roman"/>
                <w:sz w:val="18"/>
              </w:rPr>
              <w:t>774,995,915.93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379,200,000.00</w:t>
            </w: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02" w:right="152"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 当期损益的金融资产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100" w:bottom="1200" w:left="1020" w:right="0"/>
        </w:sectPr>
      </w:pPr>
    </w:p>
    <w:p>
      <w:pPr>
        <w:spacing w:line="240" w:lineRule="auto" w:before="0"/>
        <w:rPr>
          <w:rFonts w:ascii="Times New Roman" w:hAnsi="Times New Roman" w:cs="Times New Roman" w:eastAsia="Times New Roman" w:hint="default"/>
          <w:sz w:val="29"/>
          <w:szCs w:val="29"/>
        </w:rPr>
      </w:pPr>
    </w:p>
    <w:tbl>
      <w:tblPr>
        <w:tblW w:w="0" w:type="auto"/>
        <w:jc w:val="left"/>
        <w:tblInd w:w="109" w:type="dxa"/>
        <w:tblLayout w:type="fixed"/>
        <w:tblCellMar>
          <w:top w:w="0" w:type="dxa"/>
          <w:left w:w="0" w:type="dxa"/>
          <w:bottom w:w="0" w:type="dxa"/>
          <w:right w:w="0" w:type="dxa"/>
        </w:tblCellMar>
        <w:tblLook w:val="01E0"/>
      </w:tblPr>
      <w:tblGrid>
        <w:gridCol w:w="2967"/>
        <w:gridCol w:w="3300"/>
        <w:gridCol w:w="3301"/>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229,523.40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51,820.94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121,175,949.73</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90,851,198.76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应收款项融资</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23,256.45</w:t>
            </w: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508,668,368.08</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308,783,403.76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应收分保合同准备金</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8,789,026.91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8,364,104.07</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642" w:right="0"/>
              <w:jc w:val="left"/>
              <w:rPr>
                <w:rFonts w:ascii="宋体" w:hAnsi="宋体" w:cs="宋体" w:eastAsia="宋体" w:hint="default"/>
                <w:sz w:val="18"/>
                <w:szCs w:val="18"/>
              </w:rPr>
            </w:pPr>
            <w:r>
              <w:rPr>
                <w:rFonts w:ascii="宋体" w:hAnsi="宋体" w:cs="宋体" w:eastAsia="宋体" w:hint="default"/>
                <w:sz w:val="18"/>
                <w:szCs w:val="18"/>
              </w:rPr>
              <w:t>其中：应收利息</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27" w:right="0"/>
              <w:jc w:val="center"/>
              <w:rPr>
                <w:rFonts w:ascii="宋体" w:hAnsi="宋体" w:cs="宋体" w:eastAsia="宋体" w:hint="default"/>
                <w:sz w:val="18"/>
                <w:szCs w:val="18"/>
              </w:rPr>
            </w:pPr>
            <w:r>
              <w:rPr>
                <w:rFonts w:ascii="宋体" w:hAnsi="宋体" w:cs="宋体" w:eastAsia="宋体" w:hint="default"/>
                <w:sz w:val="18"/>
                <w:szCs w:val="18"/>
              </w:rPr>
              <w:t>应收股利</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201,828,732.88</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196,152,735.29</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合同资产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持有待售资产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2,690,045.47</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238,961,910.72</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1,726,181,011.06</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1,618,161,089.47</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300"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发放贷款和垫款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债权投资</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21,030,000.00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其他债权投资</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210,630,598.55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209,435,048.81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其他权益工具投资</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21,030,000.00</w:t>
            </w: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其他非流动金融资产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177,832,871.02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194,067,865.01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23,124,534.68</w:t>
            </w: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使用权资产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6" w:footer="1018" w:top="1100" w:bottom="1200" w:left="1020" w:right="0"/>
        </w:sectPr>
      </w:pPr>
    </w:p>
    <w:p>
      <w:pPr>
        <w:spacing w:line="240" w:lineRule="auto" w:before="0"/>
        <w:rPr>
          <w:rFonts w:ascii="Times New Roman" w:hAnsi="Times New Roman" w:cs="Times New Roman" w:eastAsia="Times New Roman" w:hint="default"/>
          <w:sz w:val="29"/>
          <w:szCs w:val="29"/>
        </w:rPr>
      </w:pPr>
    </w:p>
    <w:tbl>
      <w:tblPr>
        <w:tblW w:w="0" w:type="auto"/>
        <w:jc w:val="left"/>
        <w:tblInd w:w="109" w:type="dxa"/>
        <w:tblLayout w:type="fixed"/>
        <w:tblCellMar>
          <w:top w:w="0" w:type="dxa"/>
          <w:left w:w="0" w:type="dxa"/>
          <w:bottom w:w="0" w:type="dxa"/>
          <w:right w:w="0" w:type="dxa"/>
        </w:tblCellMar>
        <w:tblLook w:val="01E0"/>
      </w:tblPr>
      <w:tblGrid>
        <w:gridCol w:w="2967"/>
        <w:gridCol w:w="3300"/>
        <w:gridCol w:w="3301"/>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123,553,374.44</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135,303,356.84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56,939,563.90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65,716,543.35</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5,234,172.30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2,701,349.54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5,189,123.46</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4,098,913.47</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623,534,238.35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632,353,077.02</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2,349,715,249.41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2,250,514,166.49</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300"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向中央银行借款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02" w:right="152"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 当期损益的金融负债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217,186,217.57</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179,104,736.62</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59,695,621.54</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43,438,836.07</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合同负债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卖出回购金融资产款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吸收存款及同业存放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代理买卖证券款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代理承销证券款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4,835,564.77</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4,275,089.12</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12,479,326.39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6,323,848.64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22,780,263.36</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16,939,453.26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642" w:right="0"/>
              <w:jc w:val="left"/>
              <w:rPr>
                <w:rFonts w:ascii="宋体" w:hAnsi="宋体" w:cs="宋体" w:eastAsia="宋体" w:hint="default"/>
                <w:sz w:val="18"/>
                <w:szCs w:val="18"/>
              </w:rPr>
            </w:pPr>
            <w:r>
              <w:rPr>
                <w:rFonts w:ascii="宋体" w:hAnsi="宋体" w:cs="宋体" w:eastAsia="宋体" w:hint="default"/>
                <w:sz w:val="18"/>
                <w:szCs w:val="18"/>
              </w:rPr>
              <w:t>其中：应付利息</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27" w:right="0"/>
              <w:jc w:val="center"/>
              <w:rPr>
                <w:rFonts w:ascii="宋体" w:hAnsi="宋体" w:cs="宋体" w:eastAsia="宋体" w:hint="default"/>
                <w:sz w:val="18"/>
                <w:szCs w:val="18"/>
              </w:rPr>
            </w:pPr>
            <w:r>
              <w:rPr>
                <w:rFonts w:ascii="宋体" w:hAnsi="宋体" w:cs="宋体" w:eastAsia="宋体" w:hint="default"/>
                <w:sz w:val="18"/>
                <w:szCs w:val="18"/>
              </w:rPr>
              <w:t>应付股利</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持有待售负债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6" w:footer="1018" w:top="1100" w:bottom="1200" w:left="1020" w:right="0"/>
        </w:sectPr>
      </w:pPr>
    </w:p>
    <w:p>
      <w:pPr>
        <w:spacing w:line="240" w:lineRule="auto" w:before="0"/>
        <w:rPr>
          <w:rFonts w:ascii="Times New Roman" w:hAnsi="Times New Roman" w:cs="Times New Roman" w:eastAsia="Times New Roman" w:hint="default"/>
          <w:sz w:val="29"/>
          <w:szCs w:val="29"/>
        </w:rPr>
      </w:pPr>
    </w:p>
    <w:tbl>
      <w:tblPr>
        <w:tblW w:w="0" w:type="auto"/>
        <w:jc w:val="left"/>
        <w:tblInd w:w="109" w:type="dxa"/>
        <w:tblLayout w:type="fixed"/>
        <w:tblCellMar>
          <w:top w:w="0" w:type="dxa"/>
          <w:left w:w="0" w:type="dxa"/>
          <w:bottom w:w="0" w:type="dxa"/>
          <w:right w:w="0" w:type="dxa"/>
        </w:tblCellMar>
        <w:tblLook w:val="01E0"/>
      </w:tblPr>
      <w:tblGrid>
        <w:gridCol w:w="2967"/>
        <w:gridCol w:w="3300"/>
        <w:gridCol w:w="3301"/>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316,976,993.63</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250,081,963.71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300"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保险合同准备金</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642"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50"/>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租赁负债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2,115,431.25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1,693,776.25</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13,353,340.81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16,015,975.30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15,468,772.06</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17,709,751.55</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332,445,765.69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267,791,715.26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3300"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696,921,354.00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712,028,800.00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642"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50"/>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833,192.07</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74,500,100.81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46,010,428.76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1,468,601.25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1,358,868.21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207,011,309.90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207,516,674.80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1,022,055,351.76</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944,612,685.27</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归属于母公司所有者权益合计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1,928,289,808.98</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1,894,006,700.33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88,979,674.74</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88,715,750.90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2,017,269,483.72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1,982,722,451.23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2,349,715,249.41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2,250,514,166.49</w:t>
            </w:r>
          </w:p>
        </w:tc>
      </w:tr>
    </w:tbl>
    <w:p>
      <w:pPr>
        <w:spacing w:line="240" w:lineRule="auto" w:before="1"/>
        <w:rPr>
          <w:rFonts w:ascii="Times New Roman" w:hAnsi="Times New Roman" w:cs="Times New Roman" w:eastAsia="Times New Roman" w:hint="default"/>
          <w:sz w:val="23"/>
          <w:szCs w:val="23"/>
        </w:rPr>
      </w:pPr>
    </w:p>
    <w:p>
      <w:pPr>
        <w:pStyle w:val="BodyText"/>
        <w:tabs>
          <w:tab w:pos="3443" w:val="left" w:leader="none"/>
          <w:tab w:pos="7673" w:val="left" w:leader="none"/>
        </w:tabs>
        <w:spacing w:line="240" w:lineRule="auto" w:before="44"/>
        <w:ind w:right="0"/>
        <w:jc w:val="left"/>
      </w:pPr>
      <w:r>
        <w:rPr>
          <w:spacing w:val="-1"/>
        </w:rPr>
        <w:t>法定代表人：钱京</w:t>
        <w:tab/>
        <w:t>主管会计工作负责人：徐霄凌</w:t>
        <w:tab/>
        <w:t>会计机构负责人：刘春莲</w:t>
      </w:r>
    </w:p>
    <w:p>
      <w:pPr>
        <w:spacing w:after="0" w:line="240" w:lineRule="auto"/>
        <w:jc w:val="left"/>
        <w:sectPr>
          <w:pgSz w:w="11910" w:h="16840"/>
          <w:pgMar w:header="906" w:footer="1018" w:top="1100" w:bottom="1200" w:left="1020" w:right="0"/>
        </w:sectPr>
      </w:pPr>
    </w:p>
    <w:p>
      <w:pPr>
        <w:spacing w:line="240" w:lineRule="auto" w:before="9"/>
        <w:rPr>
          <w:rFonts w:ascii="宋体" w:hAnsi="宋体" w:cs="宋体" w:eastAsia="宋体" w:hint="default"/>
          <w:sz w:val="21"/>
          <w:szCs w:val="21"/>
        </w:rPr>
      </w:pPr>
    </w:p>
    <w:p>
      <w:pPr>
        <w:pStyle w:val="Heading3"/>
        <w:spacing w:line="240" w:lineRule="auto" w:before="35"/>
        <w:ind w:right="0"/>
        <w:jc w:val="left"/>
        <w:rPr>
          <w:b w:val="0"/>
          <w:bCs w:val="0"/>
        </w:rPr>
      </w:pPr>
      <w:r>
        <w:rPr>
          <w:rFonts w:ascii="Times New Roman" w:hAnsi="Times New Roman" w:cs="Times New Roman" w:eastAsia="Times New Roman" w:hint="default"/>
        </w:rPr>
        <w:t>2</w:t>
      </w:r>
      <w:r>
        <w:rPr/>
        <w:t>、母公司资产负债表</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spacing w:val="-1"/>
        </w:rPr>
        <w:t>单位：元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967"/>
        <w:gridCol w:w="3300"/>
        <w:gridCol w:w="3301"/>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30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9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c>
          <w:tcPr>
            <w:tcW w:w="330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9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300"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412,178,039.79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574,801,241.35</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300,000,000.00</w:t>
            </w: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02" w:right="152"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 当期损益的金融资产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229,523.40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51,820.94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124,777,747.48</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87,815,430.22</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应收款项融资</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23,256.45</w:t>
            </w: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12,411,654.45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109,472,836.86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140,023,871.55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7,135,589.14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642" w:right="0"/>
              <w:jc w:val="left"/>
              <w:rPr>
                <w:rFonts w:ascii="宋体" w:hAnsi="宋体" w:cs="宋体" w:eastAsia="宋体" w:hint="default"/>
                <w:sz w:val="18"/>
                <w:szCs w:val="18"/>
              </w:rPr>
            </w:pPr>
            <w:r>
              <w:rPr>
                <w:rFonts w:ascii="宋体" w:hAnsi="宋体" w:cs="宋体" w:eastAsia="宋体" w:hint="default"/>
                <w:sz w:val="18"/>
                <w:szCs w:val="18"/>
              </w:rPr>
              <w:t>其中：应收利息</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27" w:right="0"/>
              <w:jc w:val="center"/>
              <w:rPr>
                <w:rFonts w:ascii="宋体" w:hAnsi="宋体" w:cs="宋体" w:eastAsia="宋体" w:hint="default"/>
                <w:sz w:val="18"/>
                <w:szCs w:val="18"/>
              </w:rPr>
            </w:pPr>
            <w:r>
              <w:rPr>
                <w:rFonts w:ascii="宋体" w:hAnsi="宋体" w:cs="宋体" w:eastAsia="宋体" w:hint="default"/>
                <w:sz w:val="18"/>
                <w:szCs w:val="18"/>
              </w:rPr>
              <w:t>应收股利</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194,898,822.09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194,776,965.12</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合同资产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持有待售资产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210,025,626.10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1,184,542,915.21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1,184,079,509.73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300"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债权投资</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21,000,000.00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其他债权投资</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798,496,769.28</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701,011,619.54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其他权益工具投资</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21,000,000.00</w:t>
            </w: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其他非流动金融资产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172,314,665.59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192,055,721.77</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6" w:footer="1018" w:top="1100" w:bottom="1200" w:left="1020" w:right="0"/>
        </w:sectPr>
      </w:pPr>
    </w:p>
    <w:p>
      <w:pPr>
        <w:spacing w:line="240" w:lineRule="auto" w:before="0"/>
        <w:rPr>
          <w:rFonts w:ascii="Times New Roman" w:hAnsi="Times New Roman" w:cs="Times New Roman" w:eastAsia="Times New Roman" w:hint="default"/>
          <w:sz w:val="29"/>
          <w:szCs w:val="29"/>
        </w:rPr>
      </w:pPr>
    </w:p>
    <w:tbl>
      <w:tblPr>
        <w:tblW w:w="0" w:type="auto"/>
        <w:jc w:val="left"/>
        <w:tblInd w:w="109" w:type="dxa"/>
        <w:tblLayout w:type="fixed"/>
        <w:tblCellMar>
          <w:top w:w="0" w:type="dxa"/>
          <w:left w:w="0" w:type="dxa"/>
          <w:bottom w:w="0" w:type="dxa"/>
          <w:right w:w="0" w:type="dxa"/>
        </w:tblCellMar>
        <w:tblLook w:val="01E0"/>
      </w:tblPr>
      <w:tblGrid>
        <w:gridCol w:w="2967"/>
        <w:gridCol w:w="3300"/>
        <w:gridCol w:w="3301"/>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使用权资产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47,853,374.44</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42,203,356.84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2,836,434.98</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1,685,897.33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4,486,875.60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3,414,604.82</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1,046,988,119.89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961,371,200.30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2,231,531,035.10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2,145,450,710.03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300"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0"/>
              <w:ind w:left="102" w:right="152"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 当期损益的金融负债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215,634,170.88</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177,878,965.16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3,361,804.24</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12,256,927.13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合同负债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45,716.10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44,197.74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10,577,748.62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3,148,096.08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21,021,856.71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16,061,408.36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642" w:right="0"/>
              <w:jc w:val="left"/>
              <w:rPr>
                <w:rFonts w:ascii="宋体" w:hAnsi="宋体" w:cs="宋体" w:eastAsia="宋体" w:hint="default"/>
                <w:sz w:val="18"/>
                <w:szCs w:val="18"/>
              </w:rPr>
            </w:pPr>
            <w:r>
              <w:rPr>
                <w:rFonts w:ascii="宋体" w:hAnsi="宋体" w:cs="宋体" w:eastAsia="宋体" w:hint="default"/>
                <w:sz w:val="18"/>
                <w:szCs w:val="18"/>
              </w:rPr>
              <w:t>其中：应付利息</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27" w:right="0"/>
              <w:jc w:val="center"/>
              <w:rPr>
                <w:rFonts w:ascii="宋体" w:hAnsi="宋体" w:cs="宋体" w:eastAsia="宋体" w:hint="default"/>
                <w:sz w:val="18"/>
                <w:szCs w:val="18"/>
              </w:rPr>
            </w:pPr>
            <w:r>
              <w:rPr>
                <w:rFonts w:ascii="宋体" w:hAnsi="宋体" w:cs="宋体" w:eastAsia="宋体" w:hint="default"/>
                <w:sz w:val="18"/>
                <w:szCs w:val="18"/>
              </w:rPr>
              <w:t>应付股利</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持有待售负债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250,641,296.55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209,389,594.47</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300"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642"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6" w:footer="1018" w:top="1100" w:bottom="1200" w:left="1020" w:right="0"/>
        </w:sectPr>
      </w:pPr>
    </w:p>
    <w:p>
      <w:pPr>
        <w:spacing w:line="240" w:lineRule="auto" w:before="0"/>
        <w:rPr>
          <w:rFonts w:ascii="Times New Roman" w:hAnsi="Times New Roman" w:cs="Times New Roman" w:eastAsia="Times New Roman" w:hint="default"/>
          <w:sz w:val="29"/>
          <w:szCs w:val="29"/>
        </w:rPr>
      </w:pPr>
    </w:p>
    <w:tbl>
      <w:tblPr>
        <w:tblW w:w="0" w:type="auto"/>
        <w:jc w:val="left"/>
        <w:tblInd w:w="109" w:type="dxa"/>
        <w:tblLayout w:type="fixed"/>
        <w:tblCellMar>
          <w:top w:w="0" w:type="dxa"/>
          <w:left w:w="0" w:type="dxa"/>
          <w:bottom w:w="0" w:type="dxa"/>
          <w:right w:w="0" w:type="dxa"/>
        </w:tblCellMar>
        <w:tblLook w:val="01E0"/>
      </w:tblPr>
      <w:tblGrid>
        <w:gridCol w:w="2967"/>
        <w:gridCol w:w="3300"/>
        <w:gridCol w:w="3301"/>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50"/>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租赁负债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2,092,500.00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1,600,000.00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1,998,340.81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2,050,975.30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4,090,840.81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3,650,975.30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254,732,137.36</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213,040,569.77</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3300"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696,921,354.00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712,028,800.00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642"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50"/>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15,636,112.82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89,303,021.56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46,010,428.76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207,011,309.90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207,516,674.80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1,057,230,121.02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969,572,072.66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1,976,798,897.74</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1,932,410,140.26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2,231,531,035.10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2,145,450,710.03</w:t>
            </w:r>
          </w:p>
        </w:tc>
      </w:tr>
    </w:tbl>
    <w:p>
      <w:pPr>
        <w:spacing w:line="240" w:lineRule="auto" w:before="10"/>
        <w:rPr>
          <w:rFonts w:ascii="Times New Roman" w:hAnsi="Times New Roman" w:cs="Times New Roman" w:eastAsia="Times New Roman" w:hint="default"/>
          <w:sz w:val="21"/>
          <w:szCs w:val="21"/>
        </w:rPr>
      </w:pPr>
    </w:p>
    <w:p>
      <w:pPr>
        <w:pStyle w:val="Heading3"/>
        <w:spacing w:line="240" w:lineRule="auto" w:before="35"/>
        <w:ind w:right="0"/>
        <w:jc w:val="left"/>
        <w:rPr>
          <w:b w:val="0"/>
          <w:bCs w:val="0"/>
        </w:rPr>
      </w:pPr>
      <w:r>
        <w:rPr>
          <w:rFonts w:ascii="Times New Roman" w:hAnsi="Times New Roman" w:cs="Times New Roman" w:eastAsia="Times New Roman" w:hint="default"/>
        </w:rPr>
        <w:t>3</w:t>
      </w:r>
      <w:r>
        <w:rPr/>
        <w:t>、合并利润表</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spacing w:val="-1"/>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080"/>
        <w:gridCol w:w="3210"/>
        <w:gridCol w:w="3277"/>
      </w:tblGrid>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1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年度</w:t>
            </w:r>
          </w:p>
        </w:tc>
        <w:tc>
          <w:tcPr>
            <w:tcW w:w="327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年度</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一、营业总收入</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1,535,467,255.35</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1,690,305,333.68</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其中：营业收入</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1,535,467,255.35</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1,690,305,333.68</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02"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02" w:right="0"/>
              <w:jc w:val="left"/>
              <w:rPr>
                <w:rFonts w:ascii="宋体" w:hAnsi="宋体" w:cs="宋体" w:eastAsia="宋体" w:hint="default"/>
                <w:sz w:val="18"/>
                <w:szCs w:val="18"/>
              </w:rPr>
            </w:pPr>
            <w:r>
              <w:rPr>
                <w:rFonts w:ascii="宋体" w:hAnsi="宋体" w:cs="宋体" w:eastAsia="宋体" w:hint="default"/>
                <w:sz w:val="18"/>
                <w:szCs w:val="18"/>
              </w:rPr>
              <w:t>已赚保费</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02" w:right="0"/>
              <w:jc w:val="left"/>
              <w:rPr>
                <w:rFonts w:ascii="宋体" w:hAnsi="宋体" w:cs="宋体" w:eastAsia="宋体" w:hint="default"/>
                <w:sz w:val="18"/>
                <w:szCs w:val="18"/>
              </w:rPr>
            </w:pPr>
            <w:r>
              <w:rPr>
                <w:rFonts w:ascii="宋体" w:hAnsi="宋体" w:cs="宋体" w:eastAsia="宋体" w:hint="default"/>
                <w:sz w:val="18"/>
                <w:szCs w:val="18"/>
              </w:rPr>
              <w:t>手续费及佣金收入</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二、营业总成本</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1,461,406,850.28</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1,614,143,318.80</w:t>
            </w:r>
          </w:p>
        </w:tc>
      </w:tr>
      <w:tr>
        <w:trPr>
          <w:trHeight w:val="401"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其中：营业成本</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1,169,409,407.81</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1,343,251,818.74</w:t>
            </w:r>
          </w:p>
        </w:tc>
      </w:tr>
    </w:tbl>
    <w:p>
      <w:pPr>
        <w:spacing w:after="0" w:line="240" w:lineRule="auto"/>
        <w:jc w:val="right"/>
        <w:rPr>
          <w:rFonts w:ascii="Times New Roman" w:hAnsi="Times New Roman" w:cs="Times New Roman" w:eastAsia="Times New Roman" w:hint="default"/>
          <w:sz w:val="18"/>
          <w:szCs w:val="18"/>
        </w:rPr>
        <w:sectPr>
          <w:pgSz w:w="11910" w:h="16840"/>
          <w:pgMar w:header="906" w:footer="1018" w:top="1100" w:bottom="1200" w:left="1020" w:right="0"/>
        </w:sectPr>
      </w:pPr>
    </w:p>
    <w:p>
      <w:pPr>
        <w:spacing w:line="240" w:lineRule="auto" w:before="0"/>
        <w:rPr>
          <w:rFonts w:ascii="Times New Roman" w:hAnsi="Times New Roman" w:cs="Times New Roman" w:eastAsia="Times New Roman" w:hint="default"/>
          <w:sz w:val="29"/>
          <w:szCs w:val="29"/>
        </w:rPr>
      </w:pPr>
    </w:p>
    <w:tbl>
      <w:tblPr>
        <w:tblW w:w="0" w:type="auto"/>
        <w:jc w:val="left"/>
        <w:tblInd w:w="109" w:type="dxa"/>
        <w:tblLayout w:type="fixed"/>
        <w:tblCellMar>
          <w:top w:w="0" w:type="dxa"/>
          <w:left w:w="0" w:type="dxa"/>
          <w:bottom w:w="0" w:type="dxa"/>
          <w:right w:w="0" w:type="dxa"/>
        </w:tblCellMar>
        <w:tblLook w:val="01E0"/>
      </w:tblPr>
      <w:tblGrid>
        <w:gridCol w:w="3080"/>
        <w:gridCol w:w="3210"/>
        <w:gridCol w:w="3277"/>
      </w:tblGrid>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02"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02" w:right="0"/>
              <w:jc w:val="left"/>
              <w:rPr>
                <w:rFonts w:ascii="宋体" w:hAnsi="宋体" w:cs="宋体" w:eastAsia="宋体" w:hint="default"/>
                <w:sz w:val="18"/>
                <w:szCs w:val="18"/>
              </w:rPr>
            </w:pPr>
            <w:r>
              <w:rPr>
                <w:rFonts w:ascii="宋体" w:hAnsi="宋体" w:cs="宋体" w:eastAsia="宋体" w:hint="default"/>
                <w:sz w:val="18"/>
                <w:szCs w:val="18"/>
              </w:rPr>
              <w:t>手续费及佣金支出</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02" w:right="0"/>
              <w:jc w:val="left"/>
              <w:rPr>
                <w:rFonts w:ascii="宋体" w:hAnsi="宋体" w:cs="宋体" w:eastAsia="宋体" w:hint="default"/>
                <w:sz w:val="18"/>
                <w:szCs w:val="18"/>
              </w:rPr>
            </w:pPr>
            <w:r>
              <w:rPr>
                <w:rFonts w:ascii="宋体" w:hAnsi="宋体" w:cs="宋体" w:eastAsia="宋体" w:hint="default"/>
                <w:sz w:val="18"/>
                <w:szCs w:val="18"/>
              </w:rPr>
              <w:t>退保金</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02" w:right="0"/>
              <w:jc w:val="left"/>
              <w:rPr>
                <w:rFonts w:ascii="宋体" w:hAnsi="宋体" w:cs="宋体" w:eastAsia="宋体" w:hint="default"/>
                <w:sz w:val="18"/>
                <w:szCs w:val="18"/>
              </w:rPr>
            </w:pPr>
            <w:r>
              <w:rPr>
                <w:rFonts w:ascii="宋体" w:hAnsi="宋体" w:cs="宋体" w:eastAsia="宋体" w:hint="default"/>
                <w:sz w:val="18"/>
                <w:szCs w:val="18"/>
              </w:rPr>
              <w:t>赔付支出净额</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02" w:right="0"/>
              <w:jc w:val="left"/>
              <w:rPr>
                <w:rFonts w:ascii="宋体" w:hAnsi="宋体" w:cs="宋体" w:eastAsia="宋体" w:hint="default"/>
                <w:sz w:val="18"/>
                <w:szCs w:val="18"/>
              </w:rPr>
            </w:pPr>
            <w:r>
              <w:rPr>
                <w:rFonts w:ascii="宋体" w:hAnsi="宋体" w:cs="宋体" w:eastAsia="宋体" w:hint="default"/>
                <w:sz w:val="18"/>
                <w:szCs w:val="18"/>
              </w:rPr>
              <w:t>提取保险责任合同准备</w:t>
            </w:r>
          </w:p>
          <w:p>
            <w:pPr>
              <w:pStyle w:val="TableParagraph"/>
              <w:spacing w:line="240" w:lineRule="auto" w:before="76"/>
              <w:ind w:left="102" w:right="0"/>
              <w:jc w:val="left"/>
              <w:rPr>
                <w:rFonts w:ascii="宋体" w:hAnsi="宋体" w:cs="宋体" w:eastAsia="宋体" w:hint="default"/>
                <w:sz w:val="18"/>
                <w:szCs w:val="18"/>
              </w:rPr>
            </w:pPr>
            <w:r>
              <w:rPr>
                <w:rFonts w:ascii="宋体" w:hAnsi="宋体" w:cs="宋体" w:eastAsia="宋体" w:hint="default"/>
                <w:sz w:val="18"/>
                <w:szCs w:val="18"/>
              </w:rPr>
              <w:t>金净额</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02" w:right="0"/>
              <w:jc w:val="left"/>
              <w:rPr>
                <w:rFonts w:ascii="宋体" w:hAnsi="宋体" w:cs="宋体" w:eastAsia="宋体" w:hint="default"/>
                <w:sz w:val="18"/>
                <w:szCs w:val="18"/>
              </w:rPr>
            </w:pPr>
            <w:r>
              <w:rPr>
                <w:rFonts w:ascii="宋体" w:hAnsi="宋体" w:cs="宋体" w:eastAsia="宋体" w:hint="default"/>
                <w:sz w:val="18"/>
                <w:szCs w:val="18"/>
              </w:rPr>
              <w:t>保单红利支出</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02" w:right="0"/>
              <w:jc w:val="left"/>
              <w:rPr>
                <w:rFonts w:ascii="宋体" w:hAnsi="宋体" w:cs="宋体" w:eastAsia="宋体" w:hint="default"/>
                <w:sz w:val="18"/>
                <w:szCs w:val="18"/>
              </w:rPr>
            </w:pPr>
            <w:r>
              <w:rPr>
                <w:rFonts w:ascii="宋体" w:hAnsi="宋体" w:cs="宋体" w:eastAsia="宋体" w:hint="default"/>
                <w:sz w:val="18"/>
                <w:szCs w:val="18"/>
              </w:rPr>
              <w:t>分保费用</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02" w:right="0"/>
              <w:jc w:val="left"/>
              <w:rPr>
                <w:rFonts w:ascii="宋体" w:hAnsi="宋体" w:cs="宋体" w:eastAsia="宋体" w:hint="default"/>
                <w:sz w:val="18"/>
                <w:szCs w:val="18"/>
              </w:rPr>
            </w:pPr>
            <w:r>
              <w:rPr>
                <w:rFonts w:ascii="宋体" w:hAnsi="宋体" w:cs="宋体" w:eastAsia="宋体" w:hint="default"/>
                <w:sz w:val="18"/>
                <w:szCs w:val="18"/>
              </w:rPr>
              <w:t>税金及附加</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8,624,553.62</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10,936,021.53</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02"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88,136,353.75</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65,644,995.31</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0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72,317,016.29</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72,170,605.53</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02"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127,039,035.87</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121,874,377.09</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02"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-4,119,517.06</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265,500.60</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182" w:right="0"/>
              <w:jc w:val="left"/>
              <w:rPr>
                <w:rFonts w:ascii="宋体" w:hAnsi="宋体" w:cs="宋体" w:eastAsia="宋体" w:hint="default"/>
                <w:sz w:val="18"/>
                <w:szCs w:val="18"/>
              </w:rPr>
            </w:pPr>
            <w:r>
              <w:rPr>
                <w:rFonts w:ascii="宋体" w:hAnsi="宋体" w:cs="宋体" w:eastAsia="宋体" w:hint="default"/>
                <w:sz w:val="18"/>
                <w:szCs w:val="18"/>
              </w:rPr>
              <w:t>其中：利息费用</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97,138.75</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3,990,684.06</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722"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5,456,589.18</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3,877,004.51</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加：其他收益</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19,888,949.79</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23,483,632.86</w:t>
            </w: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822" w:right="0"/>
              <w:jc w:val="left"/>
              <w:rPr>
                <w:rFonts w:ascii="宋体" w:hAnsi="宋体" w:cs="宋体" w:eastAsia="宋体" w:hint="default"/>
                <w:sz w:val="18"/>
                <w:szCs w:val="18"/>
              </w:rPr>
            </w:pPr>
            <w:r>
              <w:rPr>
                <w:rFonts w:ascii="宋体" w:hAnsi="宋体" w:cs="宋体" w:eastAsia="宋体" w:hint="default"/>
                <w:sz w:val="18"/>
                <w:szCs w:val="18"/>
              </w:rPr>
              <w:t>投资收益（损失以“－”号</w:t>
            </w:r>
          </w:p>
          <w:p>
            <w:pPr>
              <w:pStyle w:val="TableParagraph"/>
              <w:spacing w:line="240" w:lineRule="auto" w:before="76"/>
              <w:ind w:left="102" w:right="0"/>
              <w:jc w:val="left"/>
              <w:rPr>
                <w:rFonts w:ascii="宋体" w:hAnsi="宋体" w:cs="宋体" w:eastAsia="宋体" w:hint="default"/>
                <w:sz w:val="18"/>
                <w:szCs w:val="18"/>
              </w:rPr>
            </w:pPr>
            <w:r>
              <w:rPr>
                <w:rFonts w:ascii="宋体" w:hAnsi="宋体" w:cs="宋体" w:eastAsia="宋体" w:hint="default"/>
                <w:sz w:val="18"/>
                <w:szCs w:val="18"/>
              </w:rPr>
              <w:t>填列）</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16,273,521.96</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13,070,592.79</w:t>
            </w: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02" w:right="101" w:firstLine="720"/>
              <w:jc w:val="left"/>
              <w:rPr>
                <w:rFonts w:ascii="宋体" w:hAnsi="宋体" w:cs="宋体" w:eastAsia="宋体" w:hint="default"/>
                <w:sz w:val="18"/>
                <w:szCs w:val="18"/>
              </w:rPr>
            </w:pPr>
            <w:r>
              <w:rPr>
                <w:rFonts w:ascii="宋体" w:hAnsi="宋体" w:cs="宋体" w:eastAsia="宋体" w:hint="default"/>
                <w:spacing w:val="-2"/>
                <w:sz w:val="18"/>
                <w:szCs w:val="18"/>
              </w:rPr>
              <w:t>其中：对联营企业和合营企</w:t>
            </w:r>
            <w:r>
              <w:rPr>
                <w:rFonts w:ascii="宋体" w:hAnsi="宋体" w:cs="宋体" w:eastAsia="宋体" w:hint="default"/>
                <w:sz w:val="18"/>
                <w:szCs w:val="18"/>
              </w:rPr>
              <w:t> 业的投资收益</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1,195,549.74</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6,835,311.84</w:t>
            </w: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0"/>
              <w:ind w:left="102" w:right="265" w:firstLine="1080"/>
              <w:jc w:val="left"/>
              <w:rPr>
                <w:rFonts w:ascii="宋体" w:hAnsi="宋体" w:cs="宋体" w:eastAsia="宋体" w:hint="default"/>
                <w:sz w:val="18"/>
                <w:szCs w:val="18"/>
              </w:rPr>
            </w:pPr>
            <w:r>
              <w:rPr>
                <w:rFonts w:ascii="宋体" w:hAnsi="宋体" w:cs="宋体" w:eastAsia="宋体" w:hint="default"/>
                <w:sz w:val="18"/>
                <w:szCs w:val="18"/>
              </w:rPr>
              <w:t>以摊余成本计量的金 融资产终止确认收益</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822" w:right="0"/>
              <w:jc w:val="left"/>
              <w:rPr>
                <w:rFonts w:ascii="宋体" w:hAnsi="宋体" w:cs="宋体" w:eastAsia="宋体" w:hint="default"/>
                <w:sz w:val="18"/>
                <w:szCs w:val="18"/>
              </w:rPr>
            </w:pPr>
            <w:r>
              <w:rPr>
                <w:rFonts w:ascii="宋体" w:hAnsi="宋体" w:cs="宋体" w:eastAsia="宋体" w:hint="default"/>
                <w:spacing w:val="-6"/>
                <w:sz w:val="18"/>
                <w:szCs w:val="18"/>
              </w:rPr>
              <w:t>汇兑收益（损失以“</w:t>
            </w:r>
            <w:r>
              <w:rPr>
                <w:rFonts w:ascii="Times New Roman" w:hAnsi="Times New Roman" w:cs="Times New Roman" w:eastAsia="Times New Roman" w:hint="default"/>
                <w:spacing w:val="-6"/>
                <w:sz w:val="18"/>
                <w:szCs w:val="18"/>
              </w:rPr>
              <w:t>-</w:t>
            </w:r>
            <w:r>
              <w:rPr>
                <w:rFonts w:ascii="宋体" w:hAnsi="宋体" w:cs="宋体" w:eastAsia="宋体" w:hint="default"/>
                <w:spacing w:val="-6"/>
                <w:sz w:val="18"/>
                <w:szCs w:val="18"/>
              </w:rPr>
              <w:t>”号填</w:t>
            </w:r>
          </w:p>
          <w:p>
            <w:pPr>
              <w:pStyle w:val="TableParagraph"/>
              <w:spacing w:line="240" w:lineRule="auto" w:before="62"/>
              <w:ind w:left="102"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02" w:right="266" w:firstLine="720"/>
              <w:jc w:val="left"/>
              <w:rPr>
                <w:rFonts w:ascii="宋体" w:hAnsi="宋体" w:cs="宋体" w:eastAsia="宋体" w:hint="default"/>
                <w:sz w:val="18"/>
                <w:szCs w:val="18"/>
              </w:rPr>
            </w:pPr>
            <w:r>
              <w:rPr>
                <w:rFonts w:ascii="宋体" w:hAnsi="宋体" w:cs="宋体" w:eastAsia="宋体" w:hint="default"/>
                <w:sz w:val="18"/>
                <w:szCs w:val="18"/>
              </w:rPr>
              <w:t>净敞口套期收益（损失以 “－”号填列）</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0"/>
              <w:ind w:left="102" w:right="101" w:firstLine="720"/>
              <w:jc w:val="left"/>
              <w:rPr>
                <w:rFonts w:ascii="宋体" w:hAnsi="宋体" w:cs="宋体" w:eastAsia="宋体" w:hint="default"/>
                <w:sz w:val="18"/>
                <w:szCs w:val="18"/>
              </w:rPr>
            </w:pPr>
            <w:r>
              <w:rPr>
                <w:rFonts w:ascii="宋体" w:hAnsi="宋体" w:cs="宋体" w:eastAsia="宋体" w:hint="default"/>
                <w:spacing w:val="-2"/>
                <w:sz w:val="18"/>
                <w:szCs w:val="18"/>
              </w:rPr>
              <w:t>公允价值变动收益（损失以</w:t>
            </w:r>
            <w:r>
              <w:rPr>
                <w:rFonts w:ascii="宋体" w:hAnsi="宋体" w:cs="宋体" w:eastAsia="宋体" w:hint="default"/>
                <w:sz w:val="18"/>
                <w:szCs w:val="18"/>
              </w:rPr>
              <w:t> “－”号填列）</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822" w:right="0"/>
              <w:jc w:val="left"/>
              <w:rPr>
                <w:rFonts w:ascii="宋体" w:hAnsi="宋体" w:cs="宋体" w:eastAsia="宋体" w:hint="default"/>
                <w:sz w:val="18"/>
                <w:szCs w:val="18"/>
              </w:rPr>
            </w:pPr>
            <w:r>
              <w:rPr>
                <w:rFonts w:ascii="宋体" w:hAnsi="宋体" w:cs="宋体" w:eastAsia="宋体" w:hint="default"/>
                <w:sz w:val="18"/>
                <w:szCs w:val="18"/>
              </w:rPr>
              <w:t>信用减值损失（损失以“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pStyle w:val="TableParagraph"/>
              <w:spacing w:line="240" w:lineRule="auto" w:before="62"/>
              <w:ind w:left="102" w:right="0"/>
              <w:jc w:val="left"/>
              <w:rPr>
                <w:rFonts w:ascii="宋体" w:hAnsi="宋体" w:cs="宋体" w:eastAsia="宋体" w:hint="default"/>
                <w:sz w:val="18"/>
                <w:szCs w:val="18"/>
              </w:rPr>
            </w:pPr>
            <w:r>
              <w:rPr>
                <w:rFonts w:ascii="宋体" w:hAnsi="宋体" w:cs="宋体" w:eastAsia="宋体" w:hint="default"/>
                <w:sz w:val="18"/>
                <w:szCs w:val="18"/>
              </w:rPr>
              <w:t>号填列）</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-2,085,162.69</w:t>
            </w:r>
            <w:r>
              <w:rPr>
                <w:rFonts w:ascii="Times New Roman"/>
                <w:sz w:val="18"/>
              </w:rPr>
            </w: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822" w:right="0"/>
              <w:jc w:val="left"/>
              <w:rPr>
                <w:rFonts w:ascii="宋体" w:hAnsi="宋体" w:cs="宋体" w:eastAsia="宋体" w:hint="default"/>
                <w:sz w:val="18"/>
                <w:szCs w:val="18"/>
              </w:rPr>
            </w:pPr>
            <w:r>
              <w:rPr>
                <w:rFonts w:ascii="宋体" w:hAnsi="宋体" w:cs="宋体" w:eastAsia="宋体" w:hint="default"/>
                <w:sz w:val="18"/>
                <w:szCs w:val="18"/>
              </w:rPr>
              <w:t>资产减值损失（损失以“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pStyle w:val="TableParagraph"/>
              <w:spacing w:line="240" w:lineRule="auto" w:before="62"/>
              <w:ind w:left="102" w:right="0"/>
              <w:jc w:val="left"/>
              <w:rPr>
                <w:rFonts w:ascii="宋体" w:hAnsi="宋体" w:cs="宋体" w:eastAsia="宋体" w:hint="default"/>
                <w:sz w:val="18"/>
                <w:szCs w:val="18"/>
              </w:rPr>
            </w:pPr>
            <w:r>
              <w:rPr>
                <w:rFonts w:ascii="宋体" w:hAnsi="宋体" w:cs="宋体" w:eastAsia="宋体" w:hint="default"/>
                <w:sz w:val="18"/>
                <w:szCs w:val="18"/>
              </w:rPr>
              <w:t>号填列）</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-16,589,413.46</w:t>
            </w:r>
            <w:r>
              <w:rPr>
                <w:rFonts w:ascii="Times New Roman"/>
                <w:sz w:val="18"/>
              </w:rPr>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-6,425,026.28</w:t>
            </w:r>
            <w:r>
              <w:rPr>
                <w:rFonts w:ascii="Times New Roman"/>
                <w:sz w:val="18"/>
              </w:rPr>
            </w: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822" w:right="0"/>
              <w:jc w:val="left"/>
              <w:rPr>
                <w:rFonts w:ascii="宋体" w:hAnsi="宋体" w:cs="宋体" w:eastAsia="宋体" w:hint="default"/>
                <w:sz w:val="18"/>
                <w:szCs w:val="18"/>
              </w:rPr>
            </w:pPr>
            <w:r>
              <w:rPr>
                <w:rFonts w:ascii="宋体" w:hAnsi="宋体" w:cs="宋体" w:eastAsia="宋体" w:hint="default"/>
                <w:sz w:val="18"/>
                <w:szCs w:val="18"/>
              </w:rPr>
              <w:t>资产处置收益（损失以“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pStyle w:val="TableParagraph"/>
              <w:spacing w:line="240" w:lineRule="auto" w:before="63"/>
              <w:ind w:left="102" w:right="0"/>
              <w:jc w:val="left"/>
              <w:rPr>
                <w:rFonts w:ascii="宋体" w:hAnsi="宋体" w:cs="宋体" w:eastAsia="宋体" w:hint="default"/>
                <w:sz w:val="18"/>
                <w:szCs w:val="18"/>
              </w:rPr>
            </w:pPr>
            <w:r>
              <w:rPr>
                <w:rFonts w:ascii="宋体" w:hAnsi="宋体" w:cs="宋体" w:eastAsia="宋体" w:hint="default"/>
                <w:sz w:val="18"/>
                <w:szCs w:val="18"/>
              </w:rPr>
              <w:t>号填列）</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-577,486.26</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52,214,754.01</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pacing w:val="-7"/>
                <w:sz w:val="18"/>
                <w:szCs w:val="18"/>
              </w:rPr>
              <w:t>三、营业利润（亏损以“－”号填列）</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90,970,814.41</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158,505,968.26</w:t>
            </w:r>
          </w:p>
        </w:tc>
      </w:tr>
      <w:tr>
        <w:trPr>
          <w:trHeight w:val="401"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330,139.66</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333,326.74</w:t>
            </w:r>
          </w:p>
        </w:tc>
      </w:tr>
    </w:tbl>
    <w:p>
      <w:pPr>
        <w:spacing w:after="0" w:line="240" w:lineRule="auto"/>
        <w:jc w:val="right"/>
        <w:rPr>
          <w:rFonts w:ascii="Times New Roman" w:hAnsi="Times New Roman" w:cs="Times New Roman" w:eastAsia="Times New Roman" w:hint="default"/>
          <w:sz w:val="18"/>
          <w:szCs w:val="18"/>
        </w:rPr>
        <w:sectPr>
          <w:pgSz w:w="11910" w:h="16840"/>
          <w:pgMar w:header="906" w:footer="1018" w:top="1100" w:bottom="1200" w:left="1020" w:right="0"/>
        </w:sectPr>
      </w:pPr>
    </w:p>
    <w:p>
      <w:pPr>
        <w:spacing w:line="240" w:lineRule="auto" w:before="0"/>
        <w:rPr>
          <w:rFonts w:ascii="Times New Roman" w:hAnsi="Times New Roman" w:cs="Times New Roman" w:eastAsia="Times New Roman" w:hint="default"/>
          <w:sz w:val="29"/>
          <w:szCs w:val="29"/>
        </w:rPr>
      </w:pPr>
    </w:p>
    <w:tbl>
      <w:tblPr>
        <w:tblW w:w="0" w:type="auto"/>
        <w:jc w:val="left"/>
        <w:tblInd w:w="109" w:type="dxa"/>
        <w:tblLayout w:type="fixed"/>
        <w:tblCellMar>
          <w:top w:w="0" w:type="dxa"/>
          <w:left w:w="0" w:type="dxa"/>
          <w:bottom w:w="0" w:type="dxa"/>
          <w:right w:w="0" w:type="dxa"/>
        </w:tblCellMar>
        <w:tblLook w:val="01E0"/>
      </w:tblPr>
      <w:tblGrid>
        <w:gridCol w:w="3080"/>
        <w:gridCol w:w="3210"/>
        <w:gridCol w:w="3277"/>
      </w:tblGrid>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188,950.07</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856,973.94</w:t>
            </w: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02" w:right="101"/>
              <w:jc w:val="left"/>
              <w:rPr>
                <w:rFonts w:ascii="宋体" w:hAnsi="宋体" w:cs="宋体" w:eastAsia="宋体" w:hint="default"/>
                <w:sz w:val="18"/>
                <w:szCs w:val="18"/>
              </w:rPr>
            </w:pPr>
            <w:r>
              <w:rPr>
                <w:rFonts w:ascii="宋体" w:hAnsi="宋体" w:cs="宋体" w:eastAsia="宋体" w:hint="default"/>
                <w:spacing w:val="-2"/>
                <w:sz w:val="18"/>
                <w:szCs w:val="18"/>
              </w:rPr>
              <w:t>四、利润总额（亏损总额以“－”号</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填列）</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91,112,004.00</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157,982,321.06</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4,078,886.76</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10,350,052.95</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1"/>
              <w:jc w:val="right"/>
              <w:rPr>
                <w:rFonts w:ascii="宋体" w:hAnsi="宋体" w:cs="宋体" w:eastAsia="宋体" w:hint="default"/>
                <w:sz w:val="18"/>
                <w:szCs w:val="18"/>
              </w:rPr>
            </w:pPr>
            <w:r>
              <w:rPr>
                <w:rFonts w:ascii="宋体" w:hAnsi="宋体" w:cs="宋体" w:eastAsia="宋体" w:hint="default"/>
                <w:spacing w:val="-7"/>
                <w:sz w:val="18"/>
                <w:szCs w:val="18"/>
              </w:rPr>
              <w:t>五、净利润（净亏损以“－”号填列）</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87,033,117.24</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147,632,268.11</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282" w:right="0"/>
              <w:jc w:val="left"/>
              <w:rPr>
                <w:rFonts w:ascii="宋体" w:hAnsi="宋体" w:cs="宋体" w:eastAsia="宋体" w:hint="default"/>
                <w:sz w:val="18"/>
                <w:szCs w:val="18"/>
              </w:rPr>
            </w:pPr>
            <w:r>
              <w:rPr>
                <w:rFonts w:ascii="宋体" w:hAnsi="宋体" w:cs="宋体" w:eastAsia="宋体" w:hint="default"/>
                <w:sz w:val="18"/>
                <w:szCs w:val="18"/>
              </w:rPr>
              <w:t>（一）按经营持续性分类</w:t>
            </w:r>
          </w:p>
        </w:tc>
        <w:tc>
          <w:tcPr>
            <w:tcW w:w="3210"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277"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0"/>
              <w:ind w:left="102" w:right="311"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持续经营净利润（净亏损以 “－”号填列）</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87,033,117.24</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147,632,268.11</w:t>
            </w: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0"/>
              <w:ind w:left="102" w:right="311"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终止经营净利润（净亏损以 “－”号填列）</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282" w:right="0"/>
              <w:jc w:val="left"/>
              <w:rPr>
                <w:rFonts w:ascii="宋体" w:hAnsi="宋体" w:cs="宋体" w:eastAsia="宋体" w:hint="default"/>
                <w:sz w:val="18"/>
                <w:szCs w:val="18"/>
              </w:rPr>
            </w:pPr>
            <w:r>
              <w:rPr>
                <w:rFonts w:ascii="宋体" w:hAnsi="宋体" w:cs="宋体" w:eastAsia="宋体" w:hint="default"/>
                <w:sz w:val="18"/>
                <w:szCs w:val="18"/>
              </w:rPr>
              <w:t>（二）按所有权归属分类</w:t>
            </w:r>
          </w:p>
        </w:tc>
        <w:tc>
          <w:tcPr>
            <w:tcW w:w="3210"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277"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30"/>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归属于母公司所有者的净利润</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86,769,193.40</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145,493,021.11</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少数股东损益</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263,923.84</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2,139,247.00</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六、其他综合收益的税后净额</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109,733.04</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336,081.56</w:t>
            </w: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0"/>
              <w:ind w:left="102" w:right="265" w:firstLine="180"/>
              <w:jc w:val="left"/>
              <w:rPr>
                <w:rFonts w:ascii="宋体" w:hAnsi="宋体" w:cs="宋体" w:eastAsia="宋体" w:hint="default"/>
                <w:sz w:val="18"/>
                <w:szCs w:val="18"/>
              </w:rPr>
            </w:pPr>
            <w:r>
              <w:rPr>
                <w:rFonts w:ascii="宋体" w:hAnsi="宋体" w:cs="宋体" w:eastAsia="宋体" w:hint="default"/>
                <w:sz w:val="18"/>
                <w:szCs w:val="18"/>
              </w:rPr>
              <w:t>归属母公司所有者的其他综合收 益的税后净额</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109,733.04</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336,081.56</w:t>
            </w: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02" w:right="101" w:firstLine="352"/>
              <w:jc w:val="left"/>
              <w:rPr>
                <w:rFonts w:ascii="宋体" w:hAnsi="宋体" w:cs="宋体" w:eastAsia="宋体" w:hint="default"/>
                <w:sz w:val="18"/>
                <w:szCs w:val="18"/>
              </w:rPr>
            </w:pPr>
            <w:r>
              <w:rPr>
                <w:rFonts w:ascii="宋体" w:hAnsi="宋体" w:cs="宋体" w:eastAsia="宋体" w:hint="default"/>
                <w:sz w:val="18"/>
                <w:szCs w:val="18"/>
              </w:rPr>
              <w:t>（一）不能重分类进损益的其他 综合收益</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重新计量设定受益计划</w:t>
            </w:r>
          </w:p>
          <w:p>
            <w:pPr>
              <w:pStyle w:val="TableParagraph"/>
              <w:spacing w:line="240" w:lineRule="auto" w:before="62"/>
              <w:ind w:left="102" w:right="0"/>
              <w:jc w:val="left"/>
              <w:rPr>
                <w:rFonts w:ascii="宋体" w:hAnsi="宋体" w:cs="宋体" w:eastAsia="宋体" w:hint="default"/>
                <w:sz w:val="18"/>
                <w:szCs w:val="18"/>
              </w:rPr>
            </w:pPr>
            <w:r>
              <w:rPr>
                <w:rFonts w:ascii="宋体" w:hAnsi="宋体" w:cs="宋体" w:eastAsia="宋体" w:hint="default"/>
                <w:sz w:val="18"/>
                <w:szCs w:val="18"/>
              </w:rPr>
              <w:t>变动额</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0"/>
              <w:ind w:left="102" w:right="130"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权益法下不能转损益的 其他综合收益</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其他权益工具投资公允</w:t>
            </w:r>
          </w:p>
          <w:p>
            <w:pPr>
              <w:pStyle w:val="TableParagraph"/>
              <w:spacing w:line="240" w:lineRule="auto" w:before="62"/>
              <w:ind w:left="102" w:right="0"/>
              <w:jc w:val="left"/>
              <w:rPr>
                <w:rFonts w:ascii="宋体" w:hAnsi="宋体" w:cs="宋体" w:eastAsia="宋体" w:hint="default"/>
                <w:sz w:val="18"/>
                <w:szCs w:val="18"/>
              </w:rPr>
            </w:pPr>
            <w:r>
              <w:rPr>
                <w:rFonts w:ascii="宋体" w:hAnsi="宋体" w:cs="宋体" w:eastAsia="宋体" w:hint="default"/>
                <w:sz w:val="18"/>
                <w:szCs w:val="18"/>
              </w:rPr>
              <w:t>价值变动</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企业自身信用风险公允</w:t>
            </w:r>
          </w:p>
          <w:p>
            <w:pPr>
              <w:pStyle w:val="TableParagraph"/>
              <w:spacing w:line="240" w:lineRule="auto" w:before="62"/>
              <w:ind w:left="102" w:right="0"/>
              <w:jc w:val="left"/>
              <w:rPr>
                <w:rFonts w:ascii="宋体" w:hAnsi="宋体" w:cs="宋体" w:eastAsia="宋体" w:hint="default"/>
                <w:sz w:val="18"/>
                <w:szCs w:val="18"/>
              </w:rPr>
            </w:pPr>
            <w:r>
              <w:rPr>
                <w:rFonts w:ascii="宋体" w:hAnsi="宋体" w:cs="宋体" w:eastAsia="宋体" w:hint="default"/>
                <w:sz w:val="18"/>
                <w:szCs w:val="18"/>
              </w:rPr>
              <w:t>价值变动</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02" w:right="101" w:firstLine="352"/>
              <w:jc w:val="left"/>
              <w:rPr>
                <w:rFonts w:ascii="宋体" w:hAnsi="宋体" w:cs="宋体" w:eastAsia="宋体" w:hint="default"/>
                <w:sz w:val="18"/>
                <w:szCs w:val="18"/>
              </w:rPr>
            </w:pPr>
            <w:r>
              <w:rPr>
                <w:rFonts w:ascii="宋体" w:hAnsi="宋体" w:cs="宋体" w:eastAsia="宋体" w:hint="default"/>
                <w:sz w:val="18"/>
                <w:szCs w:val="18"/>
              </w:rPr>
              <w:t>（二）将重分类进损益的其他综 合收益</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109,733.04</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336,081.56</w:t>
            </w: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0"/>
              <w:ind w:left="102" w:right="130"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权益法下可转损益的其 他综合收益</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其他债权投资公允价值</w:t>
            </w:r>
          </w:p>
          <w:p>
            <w:pPr>
              <w:pStyle w:val="TableParagraph"/>
              <w:spacing w:line="240" w:lineRule="auto" w:before="62"/>
              <w:ind w:left="102" w:right="0"/>
              <w:jc w:val="left"/>
              <w:rPr>
                <w:rFonts w:ascii="宋体" w:hAnsi="宋体" w:cs="宋体" w:eastAsia="宋体" w:hint="default"/>
                <w:sz w:val="18"/>
                <w:szCs w:val="18"/>
              </w:rPr>
            </w:pPr>
            <w:r>
              <w:rPr>
                <w:rFonts w:ascii="宋体" w:hAnsi="宋体" w:cs="宋体" w:eastAsia="宋体" w:hint="default"/>
                <w:sz w:val="18"/>
                <w:szCs w:val="18"/>
              </w:rPr>
              <w:t>变动</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0"/>
              <w:ind w:left="102" w:right="130"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可供出售金融资产公允 价值变动损益</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0"/>
              <w:ind w:left="102" w:right="130"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金融资产重分类计入其 他综合收益的金额</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6" w:footer="1018" w:top="1100" w:bottom="1200" w:left="1020" w:right="0"/>
        </w:sectPr>
      </w:pPr>
    </w:p>
    <w:p>
      <w:pPr>
        <w:spacing w:line="240" w:lineRule="auto" w:before="0"/>
        <w:rPr>
          <w:rFonts w:ascii="Times New Roman" w:hAnsi="Times New Roman" w:cs="Times New Roman" w:eastAsia="Times New Roman" w:hint="default"/>
          <w:sz w:val="29"/>
          <w:szCs w:val="29"/>
        </w:rPr>
      </w:pPr>
    </w:p>
    <w:tbl>
      <w:tblPr>
        <w:tblW w:w="0" w:type="auto"/>
        <w:jc w:val="left"/>
        <w:tblInd w:w="109" w:type="dxa"/>
        <w:tblLayout w:type="fixed"/>
        <w:tblCellMar>
          <w:top w:w="0" w:type="dxa"/>
          <w:left w:w="0" w:type="dxa"/>
          <w:bottom w:w="0" w:type="dxa"/>
          <w:right w:w="0" w:type="dxa"/>
        </w:tblCellMar>
        <w:tblLook w:val="01E0"/>
      </w:tblPr>
      <w:tblGrid>
        <w:gridCol w:w="3080"/>
        <w:gridCol w:w="3210"/>
        <w:gridCol w:w="3277"/>
      </w:tblGrid>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0"/>
              <w:ind w:left="102" w:right="130"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持有至到期投资重分类 为可供出售金融资产损益</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其他债权投资信用减值</w:t>
            </w:r>
          </w:p>
          <w:p>
            <w:pPr>
              <w:pStyle w:val="TableParagraph"/>
              <w:spacing w:line="240" w:lineRule="auto" w:before="63"/>
              <w:ind w:left="102" w:right="0"/>
              <w:jc w:val="left"/>
              <w:rPr>
                <w:rFonts w:ascii="宋体" w:hAnsi="宋体" w:cs="宋体" w:eastAsia="宋体" w:hint="default"/>
                <w:sz w:val="18"/>
                <w:szCs w:val="18"/>
              </w:rPr>
            </w:pPr>
            <w:r>
              <w:rPr>
                <w:rFonts w:ascii="宋体" w:hAnsi="宋体" w:cs="宋体" w:eastAsia="宋体" w:hint="default"/>
                <w:sz w:val="18"/>
                <w:szCs w:val="18"/>
              </w:rPr>
              <w:t>准备</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现金流量套期储备</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8.</w:t>
            </w:r>
            <w:r>
              <w:rPr>
                <w:rFonts w:ascii="宋体" w:hAnsi="宋体" w:cs="宋体" w:eastAsia="宋体" w:hint="default"/>
                <w:sz w:val="18"/>
                <w:szCs w:val="18"/>
              </w:rPr>
              <w:t>外币财务报表折算差额</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109,733.04</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336,081.56</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宋体" w:hAnsi="宋体" w:cs="宋体" w:eastAsia="宋体" w:hint="default"/>
                <w:sz w:val="18"/>
                <w:szCs w:val="18"/>
              </w:rPr>
              <w:t>其他</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02" w:right="265" w:firstLine="180"/>
              <w:jc w:val="left"/>
              <w:rPr>
                <w:rFonts w:ascii="宋体" w:hAnsi="宋体" w:cs="宋体" w:eastAsia="宋体" w:hint="default"/>
                <w:sz w:val="18"/>
                <w:szCs w:val="18"/>
              </w:rPr>
            </w:pPr>
            <w:r>
              <w:rPr>
                <w:rFonts w:ascii="宋体" w:hAnsi="宋体" w:cs="宋体" w:eastAsia="宋体" w:hint="default"/>
                <w:sz w:val="18"/>
                <w:szCs w:val="18"/>
              </w:rPr>
              <w:t>归属于少数股东的其他综合收益 的税后净额</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七、综合收益总额</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87,142,850.28</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147,968,349.67</w:t>
            </w: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02" w:right="265" w:firstLine="360"/>
              <w:jc w:val="left"/>
              <w:rPr>
                <w:rFonts w:ascii="宋体" w:hAnsi="宋体" w:cs="宋体" w:eastAsia="宋体" w:hint="default"/>
                <w:sz w:val="18"/>
                <w:szCs w:val="18"/>
              </w:rPr>
            </w:pPr>
            <w:r>
              <w:rPr>
                <w:rFonts w:ascii="宋体" w:hAnsi="宋体" w:cs="宋体" w:eastAsia="宋体" w:hint="default"/>
                <w:sz w:val="18"/>
                <w:szCs w:val="18"/>
              </w:rPr>
              <w:t>归属于母公司所有者的综合收 益总额</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86,878,926.44</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145,829,102.67</w:t>
            </w: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归属于少数股东的综合收益总</w:t>
            </w:r>
          </w:p>
          <w:p>
            <w:pPr>
              <w:pStyle w:val="TableParagraph"/>
              <w:spacing w:line="240" w:lineRule="auto" w:before="76"/>
              <w:ind w:left="102"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263,923.84</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2,139,247.00</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八、每股收益：</w:t>
            </w:r>
          </w:p>
        </w:tc>
        <w:tc>
          <w:tcPr>
            <w:tcW w:w="3210"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277"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0.124</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0.205</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0.124</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0.205</w:t>
            </w:r>
          </w:p>
        </w:tc>
      </w:tr>
    </w:tbl>
    <w:p>
      <w:pPr>
        <w:pStyle w:val="BodyText"/>
        <w:tabs>
          <w:tab w:pos="3443" w:val="left" w:leader="none"/>
          <w:tab w:pos="7673" w:val="left" w:leader="none"/>
        </w:tabs>
        <w:spacing w:line="595" w:lineRule="auto" w:before="50"/>
        <w:ind w:right="1230"/>
        <w:jc w:val="both"/>
        <w:rPr>
          <w:rFonts w:ascii="宋体" w:hAnsi="宋体" w:cs="宋体" w:eastAsia="宋体" w:hint="default"/>
          <w:sz w:val="21"/>
          <w:szCs w:val="21"/>
        </w:rPr>
      </w:pPr>
      <w:r>
        <w:rPr/>
        <w:t>本期发生同一控制下企业合并的，被合并方在合并前实现的净利润为：</w:t>
      </w:r>
      <w:r>
        <w:rPr>
          <w:rFonts w:ascii="Times New Roman" w:hAnsi="Times New Roman" w:cs="Times New Roman" w:eastAsia="Times New Roman" w:hint="default"/>
        </w:rPr>
        <w:t>0.00 </w:t>
      </w:r>
      <w:r>
        <w:rPr/>
        <w:t>元，上期被合并方实现的净利润为：</w:t>
      </w:r>
      <w:r>
        <w:rPr>
          <w:rFonts w:ascii="Times New Roman" w:hAnsi="Times New Roman" w:cs="Times New Roman" w:eastAsia="Times New Roman" w:hint="default"/>
        </w:rPr>
        <w:t>0.00</w:t>
      </w:r>
      <w:r>
        <w:rPr>
          <w:rFonts w:ascii="Times New Roman" w:hAnsi="Times New Roman" w:cs="Times New Roman" w:eastAsia="Times New Roman" w:hint="default"/>
          <w:spacing w:val="-2"/>
        </w:rPr>
        <w:t> </w:t>
      </w:r>
      <w:r>
        <w:rPr/>
        <w:t>元。 </w:t>
      </w:r>
      <w:r>
        <w:rPr>
          <w:spacing w:val="-1"/>
        </w:rPr>
        <w:t>法定代表人：钱京</w:t>
        <w:tab/>
        <w:t>主管会计工作负责人：徐霄凌</w:t>
        <w:tab/>
        <w:t>会计机构负责人：刘春莲</w:t>
      </w:r>
      <w:r>
        <w:rPr>
          <w:spacing w:val="-80"/>
        </w:rPr>
        <w:t> </w:t>
      </w:r>
      <w:r>
        <w:rPr>
          <w:spacing w:val="-80"/>
        </w:rPr>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、母公司利润表</w:t>
      </w:r>
      <w:r>
        <w:rPr>
          <w:rFonts w:ascii="宋体" w:hAnsi="宋体" w:cs="宋体" w:eastAsia="宋体" w:hint="default"/>
          <w:sz w:val="21"/>
          <w:szCs w:val="21"/>
        </w:rPr>
      </w:r>
    </w:p>
    <w:p>
      <w:pPr>
        <w:pStyle w:val="BodyText"/>
        <w:spacing w:line="240" w:lineRule="auto" w:before="2"/>
        <w:ind w:left="0" w:right="1132"/>
        <w:jc w:val="right"/>
      </w:pPr>
      <w:r>
        <w:rPr>
          <w:spacing w:val="-1"/>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967"/>
        <w:gridCol w:w="3300"/>
        <w:gridCol w:w="3301"/>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30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年度</w:t>
            </w:r>
          </w:p>
        </w:tc>
        <w:tc>
          <w:tcPr>
            <w:tcW w:w="330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年度</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一、营业收入</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1,244,446,584.43</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1,564,668,188.03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减：营业成本</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957,257,616.66</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1,275,372,946.85</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822" w:right="0"/>
              <w:jc w:val="left"/>
              <w:rPr>
                <w:rFonts w:ascii="宋体" w:hAnsi="宋体" w:cs="宋体" w:eastAsia="宋体" w:hint="default"/>
                <w:sz w:val="18"/>
                <w:szCs w:val="18"/>
              </w:rPr>
            </w:pPr>
            <w:r>
              <w:rPr>
                <w:rFonts w:ascii="宋体" w:hAnsi="宋体" w:cs="宋体" w:eastAsia="宋体" w:hint="default"/>
                <w:sz w:val="18"/>
                <w:szCs w:val="18"/>
              </w:rPr>
              <w:t>税金及附加</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7,756,936.25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10,221,003.08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822"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61,917,543.72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44,710,210.84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82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39,788,027.25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45,971,287.68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822"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108,618,023.28</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108,912,757.65</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822"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-5,815,188.95</w:t>
            </w:r>
            <w:r>
              <w:rPr>
                <w:rFonts w:ascii="Times New Roman"/>
                <w:sz w:val="18"/>
              </w:rPr>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650,282.23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692"/>
              <w:jc w:val="right"/>
              <w:rPr>
                <w:rFonts w:ascii="宋体" w:hAnsi="宋体" w:cs="宋体" w:eastAsia="宋体" w:hint="default"/>
                <w:sz w:val="18"/>
                <w:szCs w:val="18"/>
              </w:rPr>
            </w:pPr>
            <w:r>
              <w:rPr>
                <w:rFonts w:ascii="宋体" w:hAnsi="宋体" w:cs="宋体" w:eastAsia="宋体" w:hint="default"/>
                <w:sz w:val="18"/>
                <w:szCs w:val="18"/>
              </w:rPr>
              <w:t>其中：利息费用</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3,990,684.06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692"/>
              <w:jc w:val="right"/>
              <w:rPr>
                <w:rFonts w:ascii="宋体" w:hAnsi="宋体" w:cs="宋体" w:eastAsia="宋体" w:hint="default"/>
                <w:sz w:val="18"/>
                <w:szCs w:val="18"/>
              </w:rPr>
            </w:pPr>
            <w:r>
              <w:rPr>
                <w:rFonts w:ascii="宋体" w:hAnsi="宋体" w:cs="宋体" w:eastAsia="宋体" w:hint="default"/>
                <w:sz w:val="18"/>
                <w:szCs w:val="18"/>
              </w:rPr>
              <w:t>利息收入</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6,745,378.52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3,664,304.99</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加：其他收益</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16,212,100.15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19,907,597.22</w:t>
            </w:r>
          </w:p>
        </w:tc>
      </w:tr>
      <w:tr>
        <w:trPr>
          <w:trHeight w:val="713"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822" w:right="0"/>
              <w:jc w:val="left"/>
              <w:rPr>
                <w:rFonts w:ascii="宋体" w:hAnsi="宋体" w:cs="宋体" w:eastAsia="宋体" w:hint="default"/>
                <w:sz w:val="18"/>
                <w:szCs w:val="18"/>
              </w:rPr>
            </w:pPr>
            <w:r>
              <w:rPr>
                <w:rFonts w:ascii="宋体" w:hAnsi="宋体" w:cs="宋体" w:eastAsia="宋体" w:hint="default"/>
                <w:sz w:val="18"/>
                <w:szCs w:val="18"/>
              </w:rPr>
              <w:t>投资收益（损失以“－”</w:t>
            </w:r>
          </w:p>
          <w:p>
            <w:pPr>
              <w:pStyle w:val="TableParagraph"/>
              <w:spacing w:line="240" w:lineRule="auto" w:before="76"/>
              <w:ind w:left="102" w:right="0"/>
              <w:jc w:val="left"/>
              <w:rPr>
                <w:rFonts w:ascii="宋体" w:hAnsi="宋体" w:cs="宋体" w:eastAsia="宋体" w:hint="default"/>
                <w:sz w:val="18"/>
                <w:szCs w:val="18"/>
              </w:rPr>
            </w:pPr>
            <w:r>
              <w:rPr>
                <w:rFonts w:ascii="宋体" w:hAnsi="宋体" w:cs="宋体" w:eastAsia="宋体" w:hint="default"/>
                <w:sz w:val="18"/>
                <w:szCs w:val="18"/>
              </w:rPr>
              <w:t>号填列）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11,236,691.52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8,676,949.75</w:t>
            </w:r>
          </w:p>
        </w:tc>
      </w:tr>
    </w:tbl>
    <w:p>
      <w:pPr>
        <w:spacing w:after="0" w:line="240" w:lineRule="auto"/>
        <w:jc w:val="right"/>
        <w:rPr>
          <w:rFonts w:ascii="Times New Roman" w:hAnsi="Times New Roman" w:cs="Times New Roman" w:eastAsia="Times New Roman" w:hint="default"/>
          <w:sz w:val="18"/>
          <w:szCs w:val="18"/>
        </w:rPr>
        <w:sectPr>
          <w:pgSz w:w="11910" w:h="16840"/>
          <w:pgMar w:header="906" w:footer="1018" w:top="1100" w:bottom="1200" w:left="1020" w:right="0"/>
        </w:sectPr>
      </w:pPr>
    </w:p>
    <w:p>
      <w:pPr>
        <w:spacing w:line="240" w:lineRule="auto" w:before="0"/>
        <w:rPr>
          <w:rFonts w:ascii="Times New Roman" w:hAnsi="Times New Roman" w:cs="Times New Roman" w:eastAsia="Times New Roman" w:hint="default"/>
          <w:sz w:val="29"/>
          <w:szCs w:val="29"/>
        </w:rPr>
      </w:pPr>
    </w:p>
    <w:tbl>
      <w:tblPr>
        <w:tblW w:w="0" w:type="auto"/>
        <w:jc w:val="left"/>
        <w:tblInd w:w="109" w:type="dxa"/>
        <w:tblLayout w:type="fixed"/>
        <w:tblCellMar>
          <w:top w:w="0" w:type="dxa"/>
          <w:left w:w="0" w:type="dxa"/>
          <w:bottom w:w="0" w:type="dxa"/>
          <w:right w:w="0" w:type="dxa"/>
        </w:tblCellMar>
        <w:tblLook w:val="01E0"/>
      </w:tblPr>
      <w:tblGrid>
        <w:gridCol w:w="2967"/>
        <w:gridCol w:w="3300"/>
        <w:gridCol w:w="3301"/>
      </w:tblGrid>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02" w:right="152" w:firstLine="720"/>
              <w:jc w:val="left"/>
              <w:rPr>
                <w:rFonts w:ascii="宋体" w:hAnsi="宋体" w:cs="宋体" w:eastAsia="宋体" w:hint="default"/>
                <w:sz w:val="18"/>
                <w:szCs w:val="18"/>
              </w:rPr>
            </w:pPr>
            <w:r>
              <w:rPr>
                <w:rFonts w:ascii="宋体" w:hAnsi="宋体" w:cs="宋体" w:eastAsia="宋体" w:hint="default"/>
                <w:sz w:val="18"/>
                <w:szCs w:val="18"/>
              </w:rPr>
              <w:t>其中：对联营企业和合营 企业的投资收益</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1,195,549.74</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6,835,311.84</w:t>
            </w:r>
          </w:p>
        </w:tc>
      </w:tr>
      <w:tr>
        <w:trPr>
          <w:trHeight w:val="1026"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9" w:lineRule="auto" w:before="50"/>
              <w:ind w:left="102" w:right="93" w:firstLine="1080"/>
              <w:jc w:val="both"/>
              <w:rPr>
                <w:rFonts w:ascii="宋体" w:hAnsi="宋体" w:cs="宋体" w:eastAsia="宋体" w:hint="default"/>
                <w:sz w:val="18"/>
                <w:szCs w:val="18"/>
              </w:rPr>
            </w:pPr>
            <w:r>
              <w:rPr>
                <w:rFonts w:ascii="宋体" w:hAnsi="宋体" w:cs="宋体" w:eastAsia="宋体" w:hint="default"/>
                <w:sz w:val="18"/>
                <w:szCs w:val="18"/>
              </w:rPr>
              <w:t>以摊余成本计量的金 融资产终止确认收益（损失以“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 号填列）</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0"/>
              <w:ind w:left="102" w:right="153" w:firstLine="720"/>
              <w:jc w:val="left"/>
              <w:rPr>
                <w:rFonts w:ascii="宋体" w:hAnsi="宋体" w:cs="宋体" w:eastAsia="宋体" w:hint="default"/>
                <w:sz w:val="18"/>
                <w:szCs w:val="18"/>
              </w:rPr>
            </w:pPr>
            <w:r>
              <w:rPr>
                <w:rFonts w:ascii="宋体" w:hAnsi="宋体" w:cs="宋体" w:eastAsia="宋体" w:hint="default"/>
                <w:sz w:val="18"/>
                <w:szCs w:val="18"/>
              </w:rPr>
              <w:t>净敞口套期收益（损失以 “－”号填列）</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02" w:right="153" w:firstLine="720"/>
              <w:jc w:val="left"/>
              <w:rPr>
                <w:rFonts w:ascii="宋体" w:hAnsi="宋体" w:cs="宋体" w:eastAsia="宋体" w:hint="default"/>
                <w:sz w:val="18"/>
                <w:szCs w:val="18"/>
              </w:rPr>
            </w:pPr>
            <w:r>
              <w:rPr>
                <w:rFonts w:ascii="宋体" w:hAnsi="宋体" w:cs="宋体" w:eastAsia="宋体" w:hint="default"/>
                <w:sz w:val="18"/>
                <w:szCs w:val="18"/>
              </w:rPr>
              <w:t>公允价值变动收益（损失 以“－”号填列）</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822" w:right="0"/>
              <w:jc w:val="left"/>
              <w:rPr>
                <w:rFonts w:ascii="宋体" w:hAnsi="宋体" w:cs="宋体" w:eastAsia="宋体" w:hint="default"/>
                <w:sz w:val="18"/>
                <w:szCs w:val="18"/>
              </w:rPr>
            </w:pPr>
            <w:r>
              <w:rPr>
                <w:rFonts w:ascii="宋体" w:hAnsi="宋体" w:cs="宋体" w:eastAsia="宋体" w:hint="default"/>
                <w:spacing w:val="-8"/>
                <w:sz w:val="18"/>
                <w:szCs w:val="18"/>
              </w:rPr>
              <w:t>信用减值损失（损失以“</w:t>
            </w:r>
            <w:r>
              <w:rPr>
                <w:rFonts w:ascii="Times New Roman" w:hAnsi="Times New Roman" w:cs="Times New Roman" w:eastAsia="Times New Roman" w:hint="default"/>
                <w:spacing w:val="-8"/>
                <w:sz w:val="18"/>
                <w:szCs w:val="18"/>
              </w:rPr>
              <w:t>-</w:t>
            </w:r>
            <w:r>
              <w:rPr>
                <w:rFonts w:ascii="宋体" w:hAnsi="宋体" w:cs="宋体" w:eastAsia="宋体" w:hint="default"/>
                <w:spacing w:val="-8"/>
                <w:sz w:val="18"/>
                <w:szCs w:val="18"/>
              </w:rPr>
              <w:t>”</w:t>
            </w:r>
          </w:p>
          <w:p>
            <w:pPr>
              <w:pStyle w:val="TableParagraph"/>
              <w:spacing w:line="240" w:lineRule="auto" w:before="62"/>
              <w:ind w:left="102" w:right="0"/>
              <w:jc w:val="left"/>
              <w:rPr>
                <w:rFonts w:ascii="宋体" w:hAnsi="宋体" w:cs="宋体" w:eastAsia="宋体" w:hint="default"/>
                <w:sz w:val="18"/>
                <w:szCs w:val="18"/>
              </w:rPr>
            </w:pPr>
            <w:r>
              <w:rPr>
                <w:rFonts w:ascii="宋体" w:hAnsi="宋体" w:cs="宋体" w:eastAsia="宋体" w:hint="default"/>
                <w:sz w:val="18"/>
                <w:szCs w:val="18"/>
              </w:rPr>
              <w:t>号填列）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1,235,217.74</w:t>
            </w: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822" w:right="0"/>
              <w:jc w:val="left"/>
              <w:rPr>
                <w:rFonts w:ascii="宋体" w:hAnsi="宋体" w:cs="宋体" w:eastAsia="宋体" w:hint="default"/>
                <w:sz w:val="18"/>
                <w:szCs w:val="18"/>
              </w:rPr>
            </w:pPr>
            <w:r>
              <w:rPr>
                <w:rFonts w:ascii="宋体" w:hAnsi="宋体" w:cs="宋体" w:eastAsia="宋体" w:hint="default"/>
                <w:spacing w:val="-8"/>
                <w:sz w:val="18"/>
                <w:szCs w:val="18"/>
              </w:rPr>
              <w:t>资产减值损失（损失以“</w:t>
            </w:r>
            <w:r>
              <w:rPr>
                <w:rFonts w:ascii="Times New Roman" w:hAnsi="Times New Roman" w:cs="Times New Roman" w:eastAsia="Times New Roman" w:hint="default"/>
                <w:spacing w:val="-8"/>
                <w:sz w:val="18"/>
                <w:szCs w:val="18"/>
              </w:rPr>
              <w:t>-</w:t>
            </w:r>
            <w:r>
              <w:rPr>
                <w:rFonts w:ascii="宋体" w:hAnsi="宋体" w:cs="宋体" w:eastAsia="宋体" w:hint="default"/>
                <w:spacing w:val="-8"/>
                <w:sz w:val="18"/>
                <w:szCs w:val="18"/>
              </w:rPr>
              <w:t>”</w:t>
            </w:r>
          </w:p>
          <w:p>
            <w:pPr>
              <w:pStyle w:val="TableParagraph"/>
              <w:spacing w:line="240" w:lineRule="auto" w:before="63"/>
              <w:ind w:left="102" w:right="0"/>
              <w:jc w:val="left"/>
              <w:rPr>
                <w:rFonts w:ascii="宋体" w:hAnsi="宋体" w:cs="宋体" w:eastAsia="宋体" w:hint="default"/>
                <w:sz w:val="18"/>
                <w:szCs w:val="18"/>
              </w:rPr>
            </w:pPr>
            <w:r>
              <w:rPr>
                <w:rFonts w:ascii="宋体" w:hAnsi="宋体" w:cs="宋体" w:eastAsia="宋体" w:hint="default"/>
                <w:sz w:val="18"/>
                <w:szCs w:val="18"/>
              </w:rPr>
              <w:t>号填列）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-3,387,416.54</w:t>
            </w:r>
            <w:r>
              <w:rPr>
                <w:rFonts w:ascii="Times New Roman"/>
                <w:sz w:val="18"/>
              </w:rPr>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-691,148.39</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822" w:right="0"/>
              <w:jc w:val="left"/>
              <w:rPr>
                <w:rFonts w:ascii="宋体" w:hAnsi="宋体" w:cs="宋体" w:eastAsia="宋体" w:hint="default"/>
                <w:sz w:val="18"/>
                <w:szCs w:val="18"/>
              </w:rPr>
            </w:pPr>
            <w:r>
              <w:rPr>
                <w:rFonts w:ascii="宋体" w:hAnsi="宋体" w:cs="宋体" w:eastAsia="宋体" w:hint="default"/>
                <w:spacing w:val="-8"/>
                <w:sz w:val="18"/>
                <w:szCs w:val="18"/>
              </w:rPr>
              <w:t>资产处置收益（损失以“</w:t>
            </w:r>
            <w:r>
              <w:rPr>
                <w:rFonts w:ascii="Times New Roman" w:hAnsi="Times New Roman" w:cs="Times New Roman" w:eastAsia="Times New Roman" w:hint="default"/>
                <w:spacing w:val="-8"/>
                <w:sz w:val="18"/>
                <w:szCs w:val="18"/>
              </w:rPr>
              <w:t>-</w:t>
            </w:r>
            <w:r>
              <w:rPr>
                <w:rFonts w:ascii="宋体" w:hAnsi="宋体" w:cs="宋体" w:eastAsia="宋体" w:hint="default"/>
                <w:spacing w:val="-8"/>
                <w:sz w:val="18"/>
                <w:szCs w:val="18"/>
              </w:rPr>
              <w:t>”</w:t>
            </w:r>
          </w:p>
          <w:p>
            <w:pPr>
              <w:pStyle w:val="TableParagraph"/>
              <w:spacing w:line="240" w:lineRule="auto" w:before="62"/>
              <w:ind w:left="102" w:right="0"/>
              <w:jc w:val="left"/>
              <w:rPr>
                <w:rFonts w:ascii="宋体" w:hAnsi="宋体" w:cs="宋体" w:eastAsia="宋体" w:hint="default"/>
                <w:sz w:val="18"/>
                <w:szCs w:val="18"/>
              </w:rPr>
            </w:pPr>
            <w:r>
              <w:rPr>
                <w:rFonts w:ascii="宋体" w:hAnsi="宋体" w:cs="宋体" w:eastAsia="宋体" w:hint="default"/>
                <w:sz w:val="18"/>
                <w:szCs w:val="18"/>
              </w:rPr>
              <w:t>号填列）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-569,729.29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52,175,125.20</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02" w:right="152"/>
              <w:jc w:val="left"/>
              <w:rPr>
                <w:rFonts w:ascii="宋体" w:hAnsi="宋体" w:cs="宋体" w:eastAsia="宋体" w:hint="default"/>
                <w:sz w:val="18"/>
                <w:szCs w:val="18"/>
              </w:rPr>
            </w:pPr>
            <w:r>
              <w:rPr>
                <w:rFonts w:ascii="宋体" w:hAnsi="宋体" w:cs="宋体" w:eastAsia="宋体" w:hint="default"/>
                <w:sz w:val="18"/>
                <w:szCs w:val="18"/>
              </w:rPr>
              <w:t>二、营业利润（亏损以“－”号填 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99,650,489.80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158,898,223.48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329,248.83</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300,682.68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161,103.22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850,358.27</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02" w:right="152"/>
              <w:jc w:val="left"/>
              <w:rPr>
                <w:rFonts w:ascii="宋体" w:hAnsi="宋体" w:cs="宋体" w:eastAsia="宋体" w:hint="default"/>
                <w:sz w:val="18"/>
                <w:szCs w:val="18"/>
              </w:rPr>
            </w:pPr>
            <w:r>
              <w:rPr>
                <w:rFonts w:ascii="宋体" w:hAnsi="宋体" w:cs="宋体" w:eastAsia="宋体" w:hint="default"/>
                <w:sz w:val="18"/>
                <w:szCs w:val="18"/>
              </w:rPr>
              <w:t>三、利润总额（亏损总额以“－” 号填列）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99,818,635.41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158,348,547.89</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2,467,577.12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11,027,657.06</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02" w:right="152"/>
              <w:jc w:val="left"/>
              <w:rPr>
                <w:rFonts w:ascii="宋体" w:hAnsi="宋体" w:cs="宋体" w:eastAsia="宋体" w:hint="default"/>
                <w:sz w:val="18"/>
                <w:szCs w:val="18"/>
              </w:rPr>
            </w:pPr>
            <w:r>
              <w:rPr>
                <w:rFonts w:ascii="宋体" w:hAnsi="宋体" w:cs="宋体" w:eastAsia="宋体" w:hint="default"/>
                <w:sz w:val="18"/>
                <w:szCs w:val="18"/>
              </w:rPr>
              <w:t>四、净利润（净亏损以“－”号填 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97,351,058.29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147,320,890.83</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02" w:right="153" w:firstLine="360"/>
              <w:jc w:val="left"/>
              <w:rPr>
                <w:rFonts w:ascii="宋体" w:hAnsi="宋体" w:cs="宋体" w:eastAsia="宋体" w:hint="default"/>
                <w:sz w:val="18"/>
                <w:szCs w:val="18"/>
              </w:rPr>
            </w:pPr>
            <w:r>
              <w:rPr>
                <w:rFonts w:ascii="宋体" w:hAnsi="宋体" w:cs="宋体" w:eastAsia="宋体" w:hint="default"/>
                <w:sz w:val="18"/>
                <w:szCs w:val="18"/>
              </w:rPr>
              <w:t>（一）持续经营净利润（净亏 损以“－”号填列）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97,351,058.29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147,320,890.83</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0"/>
              <w:ind w:left="102" w:right="153" w:firstLine="360"/>
              <w:jc w:val="left"/>
              <w:rPr>
                <w:rFonts w:ascii="宋体" w:hAnsi="宋体" w:cs="宋体" w:eastAsia="宋体" w:hint="default"/>
                <w:sz w:val="18"/>
                <w:szCs w:val="18"/>
              </w:rPr>
            </w:pPr>
            <w:r>
              <w:rPr>
                <w:rFonts w:ascii="宋体" w:hAnsi="宋体" w:cs="宋体" w:eastAsia="宋体" w:hint="default"/>
                <w:sz w:val="18"/>
                <w:szCs w:val="18"/>
              </w:rPr>
              <w:t>（二）终止经营净利润（净亏 损以“－”号填列）</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五、其他综合收益的税后净额</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0"/>
              <w:ind w:left="102" w:right="152" w:firstLine="360"/>
              <w:jc w:val="left"/>
              <w:rPr>
                <w:rFonts w:ascii="宋体" w:hAnsi="宋体" w:cs="宋体" w:eastAsia="宋体" w:hint="default"/>
                <w:sz w:val="18"/>
                <w:szCs w:val="18"/>
              </w:rPr>
            </w:pPr>
            <w:r>
              <w:rPr>
                <w:rFonts w:ascii="宋体" w:hAnsi="宋体" w:cs="宋体" w:eastAsia="宋体" w:hint="default"/>
                <w:sz w:val="18"/>
                <w:szCs w:val="18"/>
              </w:rPr>
              <w:t>（一）不能重分类进损益的其 他综合收益</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w:t>
            </w:r>
          </w:p>
          <w:p>
            <w:pPr>
              <w:pStyle w:val="TableParagraph"/>
              <w:spacing w:line="240" w:lineRule="auto" w:before="62"/>
              <w:ind w:left="102" w:right="0"/>
              <w:jc w:val="left"/>
              <w:rPr>
                <w:rFonts w:ascii="宋体" w:hAnsi="宋体" w:cs="宋体" w:eastAsia="宋体" w:hint="default"/>
                <w:sz w:val="18"/>
                <w:szCs w:val="18"/>
              </w:rPr>
            </w:pPr>
            <w:r>
              <w:rPr>
                <w:rFonts w:ascii="宋体" w:hAnsi="宋体" w:cs="宋体" w:eastAsia="宋体" w:hint="default"/>
                <w:sz w:val="18"/>
                <w:szCs w:val="18"/>
              </w:rPr>
              <w:t>划变动额</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0"/>
              <w:ind w:left="102" w:right="197"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权益法下不能转损益 的其他综合收益</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0"/>
              <w:ind w:left="102" w:right="197"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其他权益工具投资公 允价值变动</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0"/>
              <w:ind w:left="10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企业自身信用风险公</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6" w:footer="1018" w:top="1100" w:bottom="1200" w:left="1020" w:right="0"/>
        </w:sectPr>
      </w:pPr>
    </w:p>
    <w:p>
      <w:pPr>
        <w:spacing w:line="240" w:lineRule="auto" w:before="0"/>
        <w:rPr>
          <w:rFonts w:ascii="Times New Roman" w:hAnsi="Times New Roman" w:cs="Times New Roman" w:eastAsia="Times New Roman" w:hint="default"/>
          <w:sz w:val="29"/>
          <w:szCs w:val="29"/>
        </w:rPr>
      </w:pPr>
    </w:p>
    <w:tbl>
      <w:tblPr>
        <w:tblW w:w="0" w:type="auto"/>
        <w:jc w:val="left"/>
        <w:tblInd w:w="109" w:type="dxa"/>
        <w:tblLayout w:type="fixed"/>
        <w:tblCellMar>
          <w:top w:w="0" w:type="dxa"/>
          <w:left w:w="0" w:type="dxa"/>
          <w:bottom w:w="0" w:type="dxa"/>
          <w:right w:w="0" w:type="dxa"/>
        </w:tblCellMar>
        <w:tblLook w:val="01E0"/>
      </w:tblPr>
      <w:tblGrid>
        <w:gridCol w:w="2967"/>
        <w:gridCol w:w="3300"/>
        <w:gridCol w:w="3301"/>
      </w:tblGrid>
      <w:tr>
        <w:trPr>
          <w:trHeight w:val="36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允价值变动</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455"/>
              <w:jc w:val="center"/>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02" w:right="152" w:firstLine="360"/>
              <w:jc w:val="left"/>
              <w:rPr>
                <w:rFonts w:ascii="宋体" w:hAnsi="宋体" w:cs="宋体" w:eastAsia="宋体" w:hint="default"/>
                <w:sz w:val="18"/>
                <w:szCs w:val="18"/>
              </w:rPr>
            </w:pPr>
            <w:r>
              <w:rPr>
                <w:rFonts w:ascii="宋体" w:hAnsi="宋体" w:cs="宋体" w:eastAsia="宋体" w:hint="default"/>
                <w:sz w:val="18"/>
                <w:szCs w:val="18"/>
              </w:rPr>
              <w:t>（二）将重分类进损益的其他 综合收益</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49"/>
              <w:ind w:left="102" w:right="197"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权益法下可转损益的 其他综合收益</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其他债权投资公允价</w:t>
            </w:r>
          </w:p>
          <w:p>
            <w:pPr>
              <w:pStyle w:val="TableParagraph"/>
              <w:spacing w:line="240" w:lineRule="auto" w:before="63"/>
              <w:ind w:left="102" w:right="0"/>
              <w:jc w:val="left"/>
              <w:rPr>
                <w:rFonts w:ascii="宋体" w:hAnsi="宋体" w:cs="宋体" w:eastAsia="宋体" w:hint="default"/>
                <w:sz w:val="18"/>
                <w:szCs w:val="18"/>
              </w:rPr>
            </w:pPr>
            <w:r>
              <w:rPr>
                <w:rFonts w:ascii="宋体" w:hAnsi="宋体" w:cs="宋体" w:eastAsia="宋体" w:hint="default"/>
                <w:sz w:val="18"/>
                <w:szCs w:val="18"/>
              </w:rPr>
              <w:t>值变动</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49"/>
              <w:ind w:left="102" w:right="197"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可供出售金融资产公 允价值变动损益</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49"/>
              <w:ind w:left="102" w:right="197"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金融资产重分类计入 其他综合收益的金额</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49"/>
              <w:ind w:left="102" w:right="197"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持有至到期投资重分 类为可供出售金融资产损益</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其他债权投资信用减</w:t>
            </w:r>
          </w:p>
          <w:p>
            <w:pPr>
              <w:pStyle w:val="TableParagraph"/>
              <w:spacing w:line="240" w:lineRule="auto" w:before="62"/>
              <w:ind w:left="102" w:right="0"/>
              <w:jc w:val="left"/>
              <w:rPr>
                <w:rFonts w:ascii="宋体" w:hAnsi="宋体" w:cs="宋体" w:eastAsia="宋体" w:hint="default"/>
                <w:sz w:val="18"/>
                <w:szCs w:val="18"/>
              </w:rPr>
            </w:pPr>
            <w:r>
              <w:rPr>
                <w:rFonts w:ascii="宋体" w:hAnsi="宋体" w:cs="宋体" w:eastAsia="宋体" w:hint="default"/>
                <w:sz w:val="18"/>
                <w:szCs w:val="18"/>
              </w:rPr>
              <w:t>值准备</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现金流量套期储备</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8.</w:t>
            </w:r>
            <w:r>
              <w:rPr>
                <w:rFonts w:ascii="宋体" w:hAnsi="宋体" w:cs="宋体" w:eastAsia="宋体" w:hint="default"/>
                <w:sz w:val="18"/>
                <w:szCs w:val="18"/>
              </w:rPr>
              <w:t>外币财务报表折算差</w:t>
            </w:r>
          </w:p>
          <w:p>
            <w:pPr>
              <w:pStyle w:val="TableParagraph"/>
              <w:spacing w:line="240" w:lineRule="auto" w:before="62"/>
              <w:ind w:left="102"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455"/>
              <w:jc w:val="center"/>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宋体" w:hAnsi="宋体" w:cs="宋体" w:eastAsia="宋体" w:hint="default"/>
                <w:sz w:val="18"/>
                <w:szCs w:val="18"/>
              </w:rPr>
              <w:t>其他</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六、综合收益总额</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51" w:right="0"/>
              <w:jc w:val="left"/>
              <w:rPr>
                <w:rFonts w:ascii="Times New Roman" w:hAnsi="Times New Roman" w:cs="Times New Roman" w:eastAsia="Times New Roman" w:hint="default"/>
                <w:sz w:val="18"/>
                <w:szCs w:val="18"/>
              </w:rPr>
            </w:pPr>
            <w:r>
              <w:rPr>
                <w:rFonts w:ascii="Times New Roman"/>
                <w:sz w:val="18"/>
              </w:rPr>
              <w:t>97,351,058.29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62" w:right="0"/>
              <w:jc w:val="left"/>
              <w:rPr>
                <w:rFonts w:ascii="Times New Roman" w:hAnsi="Times New Roman" w:cs="Times New Roman" w:eastAsia="Times New Roman" w:hint="default"/>
                <w:sz w:val="18"/>
                <w:szCs w:val="18"/>
              </w:rPr>
            </w:pPr>
            <w:r>
              <w:rPr>
                <w:rFonts w:ascii="Times New Roman"/>
                <w:sz w:val="18"/>
              </w:rPr>
              <w:t>147,320,890.83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七、每股收益：</w:t>
            </w:r>
          </w:p>
        </w:tc>
        <w:tc>
          <w:tcPr>
            <w:tcW w:w="3300"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9"/>
        <w:rPr>
          <w:rFonts w:ascii="Times New Roman" w:hAnsi="Times New Roman" w:cs="Times New Roman" w:eastAsia="Times New Roman" w:hint="default"/>
          <w:sz w:val="21"/>
          <w:szCs w:val="21"/>
        </w:rPr>
      </w:pPr>
    </w:p>
    <w:p>
      <w:pPr>
        <w:pStyle w:val="Heading3"/>
        <w:spacing w:line="240" w:lineRule="auto" w:before="35"/>
        <w:ind w:right="0"/>
        <w:jc w:val="left"/>
        <w:rPr>
          <w:b w:val="0"/>
          <w:bCs w:val="0"/>
        </w:rPr>
      </w:pPr>
      <w:r>
        <w:rPr>
          <w:rFonts w:ascii="Times New Roman" w:hAnsi="Times New Roman" w:cs="Times New Roman" w:eastAsia="Times New Roman" w:hint="default"/>
        </w:rPr>
        <w:t>5</w:t>
      </w:r>
      <w:r>
        <w:rPr/>
        <w:t>、合并现金流量表</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spacing w:val="-1"/>
        </w:rPr>
        <w:t>单位：元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966"/>
        <w:gridCol w:w="3301"/>
        <w:gridCol w:w="3301"/>
      </w:tblGrid>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0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年度</w:t>
            </w:r>
          </w:p>
        </w:tc>
        <w:tc>
          <w:tcPr>
            <w:tcW w:w="330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年度</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3301"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w:t>
            </w:r>
          </w:p>
          <w:p>
            <w:pPr>
              <w:pStyle w:val="TableParagraph"/>
              <w:spacing w:line="240" w:lineRule="auto" w:before="76"/>
              <w:ind w:left="102"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927" w:right="0"/>
              <w:jc w:val="left"/>
              <w:rPr>
                <w:rFonts w:ascii="Times New Roman" w:hAnsi="Times New Roman" w:cs="Times New Roman" w:eastAsia="Times New Roman" w:hint="default"/>
                <w:sz w:val="18"/>
                <w:szCs w:val="18"/>
              </w:rPr>
            </w:pPr>
            <w:r>
              <w:rPr>
                <w:rFonts w:ascii="Times New Roman"/>
                <w:sz w:val="18"/>
              </w:rPr>
              <w:t>1,702,222,258.77</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927" w:right="0"/>
              <w:jc w:val="left"/>
              <w:rPr>
                <w:rFonts w:ascii="Times New Roman" w:hAnsi="Times New Roman" w:cs="Times New Roman" w:eastAsia="Times New Roman" w:hint="default"/>
                <w:sz w:val="18"/>
                <w:szCs w:val="18"/>
              </w:rPr>
            </w:pPr>
            <w:r>
              <w:rPr>
                <w:rFonts w:ascii="Times New Roman"/>
                <w:sz w:val="18"/>
              </w:rPr>
              <w:t>2,013,251,453.66</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02" w:right="151" w:firstLine="360"/>
              <w:jc w:val="left"/>
              <w:rPr>
                <w:rFonts w:ascii="宋体" w:hAnsi="宋体" w:cs="宋体" w:eastAsia="宋体" w:hint="default"/>
                <w:sz w:val="18"/>
                <w:szCs w:val="18"/>
              </w:rPr>
            </w:pPr>
            <w:r>
              <w:rPr>
                <w:rFonts w:ascii="宋体" w:hAnsi="宋体" w:cs="宋体" w:eastAsia="宋体" w:hint="default"/>
                <w:sz w:val="18"/>
                <w:szCs w:val="18"/>
              </w:rPr>
              <w:t>客户存款和同业存放款项净增 加额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向中央银行借款净增加额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02" w:right="151" w:firstLine="360"/>
              <w:jc w:val="left"/>
              <w:rPr>
                <w:rFonts w:ascii="宋体" w:hAnsi="宋体" w:cs="宋体" w:eastAsia="宋体" w:hint="default"/>
                <w:sz w:val="18"/>
                <w:szCs w:val="18"/>
              </w:rPr>
            </w:pPr>
            <w:r>
              <w:rPr>
                <w:rFonts w:ascii="宋体" w:hAnsi="宋体" w:cs="宋体" w:eastAsia="宋体" w:hint="default"/>
                <w:sz w:val="18"/>
                <w:szCs w:val="18"/>
              </w:rPr>
              <w:t>向其他金融机构拆入资金净增 加额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0"/>
              <w:ind w:left="462" w:right="0"/>
              <w:jc w:val="left"/>
              <w:rPr>
                <w:rFonts w:ascii="宋体" w:hAnsi="宋体" w:cs="宋体" w:eastAsia="宋体" w:hint="default"/>
                <w:sz w:val="18"/>
                <w:szCs w:val="18"/>
              </w:rPr>
            </w:pPr>
            <w:r>
              <w:rPr>
                <w:rFonts w:ascii="宋体" w:hAnsi="宋体" w:cs="宋体" w:eastAsia="宋体" w:hint="default"/>
                <w:sz w:val="18"/>
                <w:szCs w:val="18"/>
              </w:rPr>
              <w:t>收到原保险合同保费取得的现</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6" w:footer="1018" w:top="1100" w:bottom="1200" w:left="1020" w:right="0"/>
        </w:sectPr>
      </w:pPr>
    </w:p>
    <w:p>
      <w:pPr>
        <w:spacing w:line="240" w:lineRule="auto" w:before="0"/>
        <w:rPr>
          <w:rFonts w:ascii="Times New Roman" w:hAnsi="Times New Roman" w:cs="Times New Roman" w:eastAsia="Times New Roman" w:hint="default"/>
          <w:sz w:val="29"/>
          <w:szCs w:val="29"/>
        </w:rPr>
      </w:pPr>
    </w:p>
    <w:tbl>
      <w:tblPr>
        <w:tblW w:w="0" w:type="auto"/>
        <w:jc w:val="left"/>
        <w:tblInd w:w="109" w:type="dxa"/>
        <w:tblLayout w:type="fixed"/>
        <w:tblCellMar>
          <w:top w:w="0" w:type="dxa"/>
          <w:left w:w="0" w:type="dxa"/>
          <w:bottom w:w="0" w:type="dxa"/>
          <w:right w:w="0" w:type="dxa"/>
        </w:tblCellMar>
        <w:tblLook w:val="01E0"/>
      </w:tblPr>
      <w:tblGrid>
        <w:gridCol w:w="2966"/>
        <w:gridCol w:w="3301"/>
        <w:gridCol w:w="3301"/>
      </w:tblGrid>
      <w:tr>
        <w:trPr>
          <w:trHeight w:val="36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收到再保业务现金净额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保户储金及投资款净增加额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收取利息、手续费及佣金的现</w:t>
            </w:r>
          </w:p>
          <w:p>
            <w:pPr>
              <w:pStyle w:val="TableParagraph"/>
              <w:spacing w:line="240" w:lineRule="auto" w:before="76"/>
              <w:ind w:left="102"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拆入资金净增加额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回购业务资金净增加额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代理买卖证券收到的现金净额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14,448,595.38</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18,995,517.01</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w:t>
            </w:r>
          </w:p>
          <w:p>
            <w:pPr>
              <w:pStyle w:val="TableParagraph"/>
              <w:spacing w:line="240" w:lineRule="auto" w:before="76"/>
              <w:ind w:left="102"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30,751,878.83</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19,057,303.53</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1,747,422,732.98</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2,051,304,274.20</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w:t>
            </w:r>
          </w:p>
          <w:p>
            <w:pPr>
              <w:pStyle w:val="TableParagraph"/>
              <w:spacing w:line="240" w:lineRule="auto" w:before="76"/>
              <w:ind w:left="102"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1,391,266,558.85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1,083,720,119.62</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客户贷款及垫款净增加额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49"/>
              <w:ind w:left="102" w:right="151" w:firstLine="360"/>
              <w:jc w:val="left"/>
              <w:rPr>
                <w:rFonts w:ascii="宋体" w:hAnsi="宋体" w:cs="宋体" w:eastAsia="宋体" w:hint="default"/>
                <w:sz w:val="18"/>
                <w:szCs w:val="18"/>
              </w:rPr>
            </w:pPr>
            <w:r>
              <w:rPr>
                <w:rFonts w:ascii="宋体" w:hAnsi="宋体" w:cs="宋体" w:eastAsia="宋体" w:hint="default"/>
                <w:sz w:val="18"/>
                <w:szCs w:val="18"/>
              </w:rPr>
              <w:t>存放中央银行和同业款项净增 加额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支付原保险合同赔付款项的现</w:t>
            </w:r>
          </w:p>
          <w:p>
            <w:pPr>
              <w:pStyle w:val="TableParagraph"/>
              <w:spacing w:line="240" w:lineRule="auto" w:before="76"/>
              <w:ind w:left="102"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拆出资金净增加额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支付利息、手续费及佣金的现</w:t>
            </w:r>
          </w:p>
          <w:p>
            <w:pPr>
              <w:pStyle w:val="TableParagraph"/>
              <w:spacing w:line="240" w:lineRule="auto" w:before="76"/>
              <w:ind w:left="102"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支付保单红利的现金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02" w:right="151" w:firstLine="360"/>
              <w:jc w:val="left"/>
              <w:rPr>
                <w:rFonts w:ascii="宋体" w:hAnsi="宋体" w:cs="宋体" w:eastAsia="宋体" w:hint="default"/>
                <w:sz w:val="18"/>
                <w:szCs w:val="18"/>
              </w:rPr>
            </w:pPr>
            <w:r>
              <w:rPr>
                <w:rFonts w:ascii="宋体" w:hAnsi="宋体" w:cs="宋体" w:eastAsia="宋体" w:hint="default"/>
                <w:sz w:val="18"/>
                <w:szCs w:val="18"/>
              </w:rPr>
              <w:t>支付给职工以及为职工支付的 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213,442,216.46</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185,435,976.86</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65,877,572.24</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87,131,646.61</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w:t>
            </w:r>
          </w:p>
          <w:p>
            <w:pPr>
              <w:pStyle w:val="TableParagraph"/>
              <w:spacing w:line="240" w:lineRule="auto" w:before="76"/>
              <w:ind w:left="102"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121,288,208.69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106,773,422.26</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1,791,874,556.24</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1,463,061,165.35</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-44,451,823.26</w:t>
            </w:r>
            <w:r>
              <w:rPr>
                <w:rFonts w:ascii="Times New Roman"/>
                <w:sz w:val="18"/>
              </w:rPr>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588,243,108.85</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3301"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668,760,000.00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881,980,000.00</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15,420,185.20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6,235,280.95</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49"/>
              <w:ind w:left="102" w:right="152" w:firstLine="360"/>
              <w:jc w:val="left"/>
              <w:rPr>
                <w:rFonts w:ascii="宋体" w:hAnsi="宋体" w:cs="宋体" w:eastAsia="宋体" w:hint="default"/>
                <w:sz w:val="18"/>
                <w:szCs w:val="18"/>
              </w:rPr>
            </w:pPr>
            <w:r>
              <w:rPr>
                <w:rFonts w:ascii="宋体" w:hAnsi="宋体" w:cs="宋体" w:eastAsia="宋体" w:hint="default"/>
                <w:sz w:val="18"/>
                <w:szCs w:val="18"/>
              </w:rPr>
              <w:t>处置固定资产、无形资产和其 他长期资产收回的现金净额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-1,185,291.36</w:t>
            </w:r>
            <w:r>
              <w:rPr>
                <w:rFonts w:ascii="Times New Roman"/>
                <w:sz w:val="18"/>
              </w:rPr>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140,401,531.95</w:t>
            </w:r>
          </w:p>
        </w:tc>
      </w:tr>
      <w:tr>
        <w:trPr>
          <w:trHeight w:val="713"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02" w:right="151" w:firstLine="360"/>
              <w:jc w:val="left"/>
              <w:rPr>
                <w:rFonts w:ascii="宋体" w:hAnsi="宋体" w:cs="宋体" w:eastAsia="宋体" w:hint="default"/>
                <w:sz w:val="18"/>
                <w:szCs w:val="18"/>
              </w:rPr>
            </w:pPr>
            <w:r>
              <w:rPr>
                <w:rFonts w:ascii="宋体" w:hAnsi="宋体" w:cs="宋体" w:eastAsia="宋体" w:hint="default"/>
                <w:sz w:val="18"/>
                <w:szCs w:val="18"/>
              </w:rPr>
              <w:t>处置子公司及其他营业单位收 到的现金净额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6" w:footer="1018" w:top="1100" w:bottom="1200" w:left="1020" w:right="0"/>
        </w:sectPr>
      </w:pPr>
    </w:p>
    <w:p>
      <w:pPr>
        <w:spacing w:line="240" w:lineRule="auto" w:before="0"/>
        <w:rPr>
          <w:rFonts w:ascii="Times New Roman" w:hAnsi="Times New Roman" w:cs="Times New Roman" w:eastAsia="Times New Roman" w:hint="default"/>
          <w:sz w:val="29"/>
          <w:szCs w:val="29"/>
        </w:rPr>
      </w:pPr>
    </w:p>
    <w:tbl>
      <w:tblPr>
        <w:tblW w:w="0" w:type="auto"/>
        <w:jc w:val="left"/>
        <w:tblInd w:w="109" w:type="dxa"/>
        <w:tblLayout w:type="fixed"/>
        <w:tblCellMar>
          <w:top w:w="0" w:type="dxa"/>
          <w:left w:w="0" w:type="dxa"/>
          <w:bottom w:w="0" w:type="dxa"/>
          <w:right w:w="0" w:type="dxa"/>
        </w:tblCellMar>
        <w:tblLook w:val="01E0"/>
      </w:tblPr>
      <w:tblGrid>
        <w:gridCol w:w="2966"/>
        <w:gridCol w:w="3301"/>
        <w:gridCol w:w="3301"/>
      </w:tblGrid>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w:t>
            </w:r>
          </w:p>
          <w:p>
            <w:pPr>
              <w:pStyle w:val="TableParagraph"/>
              <w:spacing w:line="240" w:lineRule="auto" w:before="76"/>
              <w:ind w:left="102"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682,994,893.84</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1,028,616,812.90</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02" w:right="152" w:firstLine="360"/>
              <w:jc w:val="left"/>
              <w:rPr>
                <w:rFonts w:ascii="宋体" w:hAnsi="宋体" w:cs="宋体" w:eastAsia="宋体" w:hint="default"/>
                <w:sz w:val="18"/>
                <w:szCs w:val="18"/>
              </w:rPr>
            </w:pPr>
            <w:r>
              <w:rPr>
                <w:rFonts w:ascii="宋体" w:hAnsi="宋体" w:cs="宋体" w:eastAsia="宋体" w:hint="default"/>
                <w:sz w:val="18"/>
                <w:szCs w:val="18"/>
              </w:rPr>
              <w:t>购建固定资产、无形资产和其 他长期资产支付的现金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45,352,431.89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10,548,231.22</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809,610,000.00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1,054,360,000.00</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质押贷款净增加额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02" w:right="151" w:firstLine="360"/>
              <w:jc w:val="left"/>
              <w:rPr>
                <w:rFonts w:ascii="宋体" w:hAnsi="宋体" w:cs="宋体" w:eastAsia="宋体" w:hint="default"/>
                <w:sz w:val="18"/>
                <w:szCs w:val="18"/>
              </w:rPr>
            </w:pPr>
            <w:r>
              <w:rPr>
                <w:rFonts w:ascii="宋体" w:hAnsi="宋体" w:cs="宋体" w:eastAsia="宋体" w:hint="default"/>
                <w:sz w:val="18"/>
                <w:szCs w:val="18"/>
              </w:rPr>
              <w:t>取得子公司及其他营业单位支 付的现金净额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2,897,729.45</w:t>
            </w: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w:t>
            </w:r>
          </w:p>
          <w:p>
            <w:pPr>
              <w:pStyle w:val="TableParagraph"/>
              <w:spacing w:line="240" w:lineRule="auto" w:before="76"/>
              <w:ind w:left="102"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857,860,161.34</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1,064,908,231.22</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-174,865,267.50</w:t>
            </w:r>
            <w:r>
              <w:rPr>
                <w:rFonts w:ascii="Times New Roman"/>
                <w:sz w:val="18"/>
              </w:rPr>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5"/>
                <w:sz w:val="18"/>
              </w:rPr>
              <w:t>-36,291,418.32</w:t>
            </w:r>
            <w:r>
              <w:rPr>
                <w:rFonts w:ascii="Times New Roman"/>
                <w:sz w:val="18"/>
              </w:rPr>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3301"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02" w:right="151" w:firstLine="360"/>
              <w:jc w:val="left"/>
              <w:rPr>
                <w:rFonts w:ascii="宋体" w:hAnsi="宋体" w:cs="宋体" w:eastAsia="宋体" w:hint="default"/>
                <w:sz w:val="18"/>
                <w:szCs w:val="18"/>
              </w:rPr>
            </w:pPr>
            <w:r>
              <w:rPr>
                <w:rFonts w:ascii="宋体" w:hAnsi="宋体" w:cs="宋体" w:eastAsia="宋体" w:hint="default"/>
                <w:sz w:val="18"/>
                <w:szCs w:val="18"/>
              </w:rPr>
              <w:t>其中：子公司吸收少数股东投 资收到的现金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70,000,000.00</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w:t>
            </w:r>
          </w:p>
          <w:p>
            <w:pPr>
              <w:pStyle w:val="TableParagraph"/>
              <w:spacing w:line="240" w:lineRule="auto" w:before="76"/>
              <w:ind w:left="102"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70,000,000.00</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153,194,444.66</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02" w:right="151" w:firstLine="360"/>
              <w:jc w:val="left"/>
              <w:rPr>
                <w:rFonts w:ascii="宋体" w:hAnsi="宋体" w:cs="宋体" w:eastAsia="宋体" w:hint="default"/>
                <w:sz w:val="18"/>
                <w:szCs w:val="18"/>
              </w:rPr>
            </w:pPr>
            <w:r>
              <w:rPr>
                <w:rFonts w:ascii="宋体" w:hAnsi="宋体" w:cs="宋体" w:eastAsia="宋体" w:hint="default"/>
                <w:sz w:val="18"/>
                <w:szCs w:val="18"/>
              </w:rPr>
              <w:t>分配股利、利润或偿付利息支 付的现金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3,990,684.06</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02" w:right="151" w:firstLine="360"/>
              <w:jc w:val="left"/>
              <w:rPr>
                <w:rFonts w:ascii="宋体" w:hAnsi="宋体" w:cs="宋体" w:eastAsia="宋体" w:hint="default"/>
                <w:sz w:val="18"/>
                <w:szCs w:val="18"/>
              </w:rPr>
            </w:pPr>
            <w:r>
              <w:rPr>
                <w:rFonts w:ascii="宋体" w:hAnsi="宋体" w:cs="宋体" w:eastAsia="宋体" w:hint="default"/>
                <w:sz w:val="18"/>
                <w:szCs w:val="18"/>
              </w:rPr>
              <w:t>其中：子公司支付给少数股东 的股利、利润</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w:t>
            </w:r>
          </w:p>
          <w:p>
            <w:pPr>
              <w:pStyle w:val="TableParagraph"/>
              <w:spacing w:line="240" w:lineRule="auto" w:before="76"/>
              <w:ind w:left="102"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53,009,074.03</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46,010,428.76</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53,009,074.03</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203,195,557.48</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-53,009,074.03</w:t>
            </w:r>
            <w:r>
              <w:rPr>
                <w:rFonts w:ascii="Times New Roman"/>
                <w:sz w:val="18"/>
              </w:rPr>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5"/>
                <w:sz w:val="18"/>
              </w:rPr>
              <w:t>-133,195,557.48</w:t>
            </w:r>
            <w:r>
              <w:rPr>
                <w:rFonts w:ascii="Times New Roman"/>
                <w:sz w:val="18"/>
              </w:rPr>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02" w:right="151"/>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 的影响</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134,678.03</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140,116.98</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-272,191,486.76</w:t>
            </w:r>
            <w:r>
              <w:rPr>
                <w:rFonts w:ascii="Times New Roman"/>
                <w:sz w:val="18"/>
              </w:rPr>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418,896,250.03</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w:t>
            </w:r>
          </w:p>
          <w:p>
            <w:pPr>
              <w:pStyle w:val="TableParagraph"/>
              <w:spacing w:line="240" w:lineRule="auto" w:before="76"/>
              <w:ind w:left="102"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771,050,604.51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352,154,354.48</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498,859,117.75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771,050,604.51</w:t>
            </w:r>
          </w:p>
        </w:tc>
      </w:tr>
    </w:tbl>
    <w:p>
      <w:pPr>
        <w:spacing w:after="0" w:line="240" w:lineRule="auto"/>
        <w:jc w:val="right"/>
        <w:rPr>
          <w:rFonts w:ascii="Times New Roman" w:hAnsi="Times New Roman" w:cs="Times New Roman" w:eastAsia="Times New Roman" w:hint="default"/>
          <w:sz w:val="18"/>
          <w:szCs w:val="18"/>
        </w:rPr>
        <w:sectPr>
          <w:pgSz w:w="11910" w:h="16840"/>
          <w:pgMar w:header="906" w:footer="1018" w:top="1100" w:bottom="1200" w:left="1020" w:right="0"/>
        </w:sectPr>
      </w:pPr>
    </w:p>
    <w:p>
      <w:pPr>
        <w:spacing w:line="240" w:lineRule="auto" w:before="8"/>
        <w:rPr>
          <w:rFonts w:ascii="Times New Roman" w:hAnsi="Times New Roman" w:cs="Times New Roman" w:eastAsia="Times New Roman" w:hint="default"/>
          <w:sz w:val="24"/>
          <w:szCs w:val="24"/>
        </w:rPr>
      </w:pPr>
    </w:p>
    <w:p>
      <w:pPr>
        <w:pStyle w:val="Heading3"/>
        <w:spacing w:line="240" w:lineRule="auto" w:before="35"/>
        <w:ind w:right="0"/>
        <w:jc w:val="left"/>
        <w:rPr>
          <w:b w:val="0"/>
          <w:bCs w:val="0"/>
        </w:rPr>
      </w:pPr>
      <w:r>
        <w:rPr>
          <w:rFonts w:ascii="Times New Roman" w:hAnsi="Times New Roman" w:cs="Times New Roman" w:eastAsia="Times New Roman" w:hint="default"/>
        </w:rPr>
        <w:t>6</w:t>
      </w:r>
      <w:r>
        <w:rPr/>
        <w:t>、母公司现金流量表</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spacing w:val="-1"/>
        </w:rPr>
        <w:t>单位：元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966"/>
        <w:gridCol w:w="3301"/>
        <w:gridCol w:w="3301"/>
      </w:tblGrid>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0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年度</w:t>
            </w:r>
          </w:p>
        </w:tc>
        <w:tc>
          <w:tcPr>
            <w:tcW w:w="330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年度</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3301"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w:t>
            </w:r>
          </w:p>
          <w:p>
            <w:pPr>
              <w:pStyle w:val="TableParagraph"/>
              <w:spacing w:line="240" w:lineRule="auto" w:before="76"/>
              <w:ind w:left="102"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1,350,681,864.17</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1,870,789,909.82</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11,986,005.54</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16,729,026.00</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w:t>
            </w:r>
          </w:p>
          <w:p>
            <w:pPr>
              <w:pStyle w:val="TableParagraph"/>
              <w:spacing w:line="240" w:lineRule="auto" w:before="76"/>
              <w:ind w:left="102"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144,859,302.27</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66,149,647.65</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1,507,527,171.98</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1,953,668,583.47</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w:t>
            </w:r>
          </w:p>
          <w:p>
            <w:pPr>
              <w:pStyle w:val="TableParagraph"/>
              <w:spacing w:line="240" w:lineRule="auto" w:before="76"/>
              <w:ind w:left="102"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850,811,255.81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811,565,909.53</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02" w:right="151" w:firstLine="360"/>
              <w:jc w:val="left"/>
              <w:rPr>
                <w:rFonts w:ascii="宋体" w:hAnsi="宋体" w:cs="宋体" w:eastAsia="宋体" w:hint="default"/>
                <w:sz w:val="18"/>
                <w:szCs w:val="18"/>
              </w:rPr>
            </w:pPr>
            <w:r>
              <w:rPr>
                <w:rFonts w:ascii="宋体" w:hAnsi="宋体" w:cs="宋体" w:eastAsia="宋体" w:hint="default"/>
                <w:sz w:val="18"/>
                <w:szCs w:val="18"/>
              </w:rPr>
              <w:t>支付给职工以及为职工支付的 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175,563,576.81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157,000,879.28</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51,605,768.26</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80,602,061.63</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w:t>
            </w:r>
          </w:p>
          <w:p>
            <w:pPr>
              <w:pStyle w:val="TableParagraph"/>
              <w:spacing w:line="240" w:lineRule="auto" w:before="76"/>
              <w:ind w:left="102"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342,628,656.00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137,116,783.33</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1,420,609,256.88</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1,186,285,633.77</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86,917,915.10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767,382,949.70</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3301"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300,000,000.00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511,000,000.00</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10,383,354.76</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1,841,637.91</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49"/>
              <w:ind w:left="102" w:right="152" w:firstLine="360"/>
              <w:jc w:val="left"/>
              <w:rPr>
                <w:rFonts w:ascii="宋体" w:hAnsi="宋体" w:cs="宋体" w:eastAsia="宋体" w:hint="default"/>
                <w:sz w:val="18"/>
                <w:szCs w:val="18"/>
              </w:rPr>
            </w:pPr>
            <w:r>
              <w:rPr>
                <w:rFonts w:ascii="宋体" w:hAnsi="宋体" w:cs="宋体" w:eastAsia="宋体" w:hint="default"/>
                <w:sz w:val="18"/>
                <w:szCs w:val="18"/>
              </w:rPr>
              <w:t>处置固定资产、无形资产和其 他长期资产收回的现金净额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-1,188,491.36</w:t>
            </w:r>
            <w:r>
              <w:rPr>
                <w:rFonts w:ascii="Times New Roman"/>
                <w:sz w:val="18"/>
              </w:rPr>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140,351,000.55</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02" w:right="151" w:firstLine="360"/>
              <w:jc w:val="left"/>
              <w:rPr>
                <w:rFonts w:ascii="宋体" w:hAnsi="宋体" w:cs="宋体" w:eastAsia="宋体" w:hint="default"/>
                <w:sz w:val="18"/>
                <w:szCs w:val="18"/>
              </w:rPr>
            </w:pPr>
            <w:r>
              <w:rPr>
                <w:rFonts w:ascii="宋体" w:hAnsi="宋体" w:cs="宋体" w:eastAsia="宋体" w:hint="default"/>
                <w:sz w:val="18"/>
                <w:szCs w:val="18"/>
              </w:rPr>
              <w:t>处置子公司及其他营业单位收 到的现金净额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w:t>
            </w:r>
          </w:p>
          <w:p>
            <w:pPr>
              <w:pStyle w:val="TableParagraph"/>
              <w:spacing w:line="240" w:lineRule="auto" w:before="76"/>
              <w:ind w:left="102"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309,194,863.40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653,192,638.46</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02" w:right="152" w:firstLine="360"/>
              <w:jc w:val="left"/>
              <w:rPr>
                <w:rFonts w:ascii="宋体" w:hAnsi="宋体" w:cs="宋体" w:eastAsia="宋体" w:hint="default"/>
                <w:sz w:val="18"/>
                <w:szCs w:val="18"/>
              </w:rPr>
            </w:pPr>
            <w:r>
              <w:rPr>
                <w:rFonts w:ascii="宋体" w:hAnsi="宋体" w:cs="宋体" w:eastAsia="宋体" w:hint="default"/>
                <w:sz w:val="18"/>
                <w:szCs w:val="18"/>
              </w:rPr>
              <w:t>购建固定资产、无形资产和其 他长期资产支付的现金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19,723,632.79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10,362,370.27</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486,289,600.00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979,205,580.00</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02" w:right="151" w:firstLine="360"/>
              <w:jc w:val="left"/>
              <w:rPr>
                <w:rFonts w:ascii="宋体" w:hAnsi="宋体" w:cs="宋体" w:eastAsia="宋体" w:hint="default"/>
                <w:sz w:val="18"/>
                <w:szCs w:val="18"/>
              </w:rPr>
            </w:pPr>
            <w:r>
              <w:rPr>
                <w:rFonts w:ascii="宋体" w:hAnsi="宋体" w:cs="宋体" w:eastAsia="宋体" w:hint="default"/>
                <w:sz w:val="18"/>
                <w:szCs w:val="18"/>
              </w:rPr>
              <w:t>取得子公司及其他营业单位支 付的现金净额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w:t>
            </w:r>
          </w:p>
          <w:p>
            <w:pPr>
              <w:pStyle w:val="TableParagraph"/>
              <w:spacing w:line="240" w:lineRule="auto" w:before="76"/>
              <w:ind w:left="102"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6" w:footer="1018" w:top="1100" w:bottom="1200" w:left="1020" w:right="0"/>
        </w:sectPr>
      </w:pPr>
    </w:p>
    <w:p>
      <w:pPr>
        <w:spacing w:line="240" w:lineRule="auto" w:before="7"/>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966"/>
        <w:gridCol w:w="3301"/>
        <w:gridCol w:w="3301"/>
      </w:tblGrid>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506,013,232.79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989,567,950.27</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-196,818,369.39</w:t>
            </w:r>
            <w:r>
              <w:rPr>
                <w:rFonts w:ascii="Times New Roman"/>
                <w:sz w:val="18"/>
              </w:rPr>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-336,375,311.81</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3301"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70,000,000.00</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w:t>
            </w:r>
          </w:p>
          <w:p>
            <w:pPr>
              <w:pStyle w:val="TableParagraph"/>
              <w:spacing w:line="240" w:lineRule="auto" w:before="76"/>
              <w:ind w:left="102"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70,000,000.00</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153,194,444.66</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02" w:right="151" w:firstLine="360"/>
              <w:jc w:val="left"/>
              <w:rPr>
                <w:rFonts w:ascii="宋体" w:hAnsi="宋体" w:cs="宋体" w:eastAsia="宋体" w:hint="default"/>
                <w:sz w:val="18"/>
                <w:szCs w:val="18"/>
              </w:rPr>
            </w:pPr>
            <w:r>
              <w:rPr>
                <w:rFonts w:ascii="宋体" w:hAnsi="宋体" w:cs="宋体" w:eastAsia="宋体" w:hint="default"/>
                <w:sz w:val="18"/>
                <w:szCs w:val="18"/>
              </w:rPr>
              <w:t>分配股利、利润或偿付利息支 付的现金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3,990,684.06</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w:t>
            </w:r>
          </w:p>
          <w:p>
            <w:pPr>
              <w:pStyle w:val="TableParagraph"/>
              <w:spacing w:line="240" w:lineRule="auto" w:before="76"/>
              <w:ind w:left="102"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53,009,074.03</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46,010,428.76</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53,009,074.03</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203,195,557.48</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-53,009,074.03</w:t>
            </w:r>
            <w:r>
              <w:rPr>
                <w:rFonts w:ascii="Times New Roman"/>
                <w:sz w:val="18"/>
              </w:rPr>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5"/>
                <w:sz w:val="18"/>
              </w:rPr>
              <w:t>-133,195,557.48</w:t>
            </w:r>
            <w:r>
              <w:rPr>
                <w:rFonts w:ascii="Times New Roman"/>
                <w:sz w:val="18"/>
              </w:rPr>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02" w:right="151"/>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 的影响</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6,595.94</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-113,598.52</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-162,902,932.38</w:t>
            </w:r>
            <w:r>
              <w:rPr>
                <w:rFonts w:ascii="Times New Roman"/>
                <w:sz w:val="18"/>
              </w:rPr>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297,698,481.89</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w:t>
            </w:r>
          </w:p>
          <w:p>
            <w:pPr>
              <w:pStyle w:val="TableParagraph"/>
              <w:spacing w:line="240" w:lineRule="auto" w:before="76"/>
              <w:ind w:left="102"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572,352,416.85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274,653,934.96</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409,449,484.47</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572,352,416.85</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r>
        <w:rPr>
          <w:rFonts w:ascii="Times New Roman" w:hAnsi="Times New Roman" w:cs="Times New Roman" w:eastAsia="Times New Roman" w:hint="default"/>
        </w:rPr>
        <w:t>7</w:t>
      </w:r>
      <w:r>
        <w:rPr/>
        <w:t>、合并所有者权益变动表</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0"/>
        <w:jc w:val="left"/>
      </w:pPr>
      <w:r>
        <w:rPr/>
        <w:t>本期金额</w:t>
      </w:r>
    </w:p>
    <w:p>
      <w:pPr>
        <w:pStyle w:val="BodyText"/>
        <w:spacing w:line="240" w:lineRule="auto" w:before="116"/>
        <w:ind w:left="0" w:right="1132"/>
        <w:jc w:val="right"/>
      </w:pPr>
      <w:r>
        <w:rPr>
          <w:spacing w:val="-1"/>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253"/>
        <w:gridCol w:w="493"/>
        <w:gridCol w:w="466"/>
        <w:gridCol w:w="467"/>
        <w:gridCol w:w="468"/>
        <w:gridCol w:w="583"/>
        <w:gridCol w:w="584"/>
        <w:gridCol w:w="584"/>
        <w:gridCol w:w="584"/>
        <w:gridCol w:w="583"/>
        <w:gridCol w:w="584"/>
        <w:gridCol w:w="584"/>
        <w:gridCol w:w="584"/>
        <w:gridCol w:w="584"/>
        <w:gridCol w:w="584"/>
        <w:gridCol w:w="578"/>
      </w:tblGrid>
      <w:tr>
        <w:trPr>
          <w:trHeight w:val="402" w:hRule="exact"/>
        </w:trPr>
        <w:tc>
          <w:tcPr>
            <w:tcW w:w="1253"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8310" w:type="dxa"/>
            <w:gridSpan w:val="15"/>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年度</w:t>
            </w:r>
          </w:p>
        </w:tc>
      </w:tr>
      <w:tr>
        <w:trPr>
          <w:trHeight w:val="402" w:hRule="exact"/>
        </w:trPr>
        <w:tc>
          <w:tcPr>
            <w:tcW w:w="1253" w:type="dxa"/>
            <w:vMerge/>
            <w:tcBorders>
              <w:left w:val="single" w:sz="4" w:space="0" w:color="000000"/>
              <w:right w:val="single" w:sz="4" w:space="0" w:color="000000"/>
            </w:tcBorders>
            <w:shd w:val="clear" w:color="auto" w:fill="D3D3D3"/>
          </w:tcPr>
          <w:p>
            <w:pPr/>
          </w:p>
        </w:tc>
        <w:tc>
          <w:tcPr>
            <w:tcW w:w="7148" w:type="dxa"/>
            <w:gridSpan w:val="13"/>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584"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6"/>
                <w:szCs w:val="16"/>
              </w:rPr>
            </w:pPr>
          </w:p>
          <w:p>
            <w:pPr>
              <w:pStyle w:val="TableParagraph"/>
              <w:spacing w:line="316" w:lineRule="auto"/>
              <w:ind w:left="107" w:right="105"/>
              <w:jc w:val="both"/>
              <w:rPr>
                <w:rFonts w:ascii="宋体" w:hAnsi="宋体" w:cs="宋体" w:eastAsia="宋体" w:hint="default"/>
                <w:sz w:val="18"/>
                <w:szCs w:val="18"/>
              </w:rPr>
            </w:pPr>
            <w:r>
              <w:rPr>
                <w:rFonts w:ascii="宋体" w:hAnsi="宋体" w:cs="宋体" w:eastAsia="宋体" w:hint="default"/>
                <w:sz w:val="18"/>
                <w:szCs w:val="18"/>
              </w:rPr>
              <w:t>少数 股东 权益</w:t>
            </w:r>
          </w:p>
        </w:tc>
        <w:tc>
          <w:tcPr>
            <w:tcW w:w="578"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8"/>
              <w:ind w:right="0"/>
              <w:jc w:val="left"/>
              <w:rPr>
                <w:rFonts w:ascii="宋体" w:hAnsi="宋体" w:cs="宋体" w:eastAsia="宋体" w:hint="default"/>
                <w:sz w:val="22"/>
                <w:szCs w:val="22"/>
              </w:rPr>
            </w:pPr>
          </w:p>
          <w:p>
            <w:pPr>
              <w:pStyle w:val="TableParagraph"/>
              <w:spacing w:line="316" w:lineRule="auto"/>
              <w:ind w:left="103" w:right="102"/>
              <w:jc w:val="both"/>
              <w:rPr>
                <w:rFonts w:ascii="宋体" w:hAnsi="宋体" w:cs="宋体" w:eastAsia="宋体" w:hint="default"/>
                <w:sz w:val="18"/>
                <w:szCs w:val="18"/>
              </w:rPr>
            </w:pPr>
            <w:r>
              <w:rPr>
                <w:rFonts w:ascii="宋体" w:hAnsi="宋体" w:cs="宋体" w:eastAsia="宋体" w:hint="default"/>
                <w:sz w:val="18"/>
                <w:szCs w:val="18"/>
              </w:rPr>
              <w:t>所有 者权 益合 计</w:t>
            </w:r>
          </w:p>
        </w:tc>
      </w:tr>
      <w:tr>
        <w:trPr>
          <w:trHeight w:val="402" w:hRule="exact"/>
        </w:trPr>
        <w:tc>
          <w:tcPr>
            <w:tcW w:w="1253" w:type="dxa"/>
            <w:vMerge/>
            <w:tcBorders>
              <w:left w:val="single" w:sz="4" w:space="0" w:color="000000"/>
              <w:right w:val="single" w:sz="4" w:space="0" w:color="000000"/>
            </w:tcBorders>
            <w:shd w:val="clear" w:color="auto" w:fill="D3D3D3"/>
          </w:tcPr>
          <w:p>
            <w:pPr/>
          </w:p>
        </w:tc>
        <w:tc>
          <w:tcPr>
            <w:tcW w:w="493"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316" w:lineRule="auto"/>
              <w:ind w:left="151" w:right="150"/>
              <w:jc w:val="left"/>
              <w:rPr>
                <w:rFonts w:ascii="宋体" w:hAnsi="宋体" w:cs="宋体" w:eastAsia="宋体" w:hint="default"/>
                <w:sz w:val="18"/>
                <w:szCs w:val="18"/>
              </w:rPr>
            </w:pPr>
            <w:r>
              <w:rPr>
                <w:rFonts w:ascii="宋体" w:hAnsi="宋体" w:cs="宋体" w:eastAsia="宋体" w:hint="default"/>
                <w:sz w:val="18"/>
                <w:szCs w:val="18"/>
              </w:rPr>
              <w:t>股 本</w:t>
            </w:r>
          </w:p>
        </w:tc>
        <w:tc>
          <w:tcPr>
            <w:tcW w:w="1401" w:type="dxa"/>
            <w:gridSpan w:val="3"/>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54"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583"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316" w:lineRule="auto"/>
              <w:ind w:left="105" w:right="105"/>
              <w:jc w:val="left"/>
              <w:rPr>
                <w:rFonts w:ascii="宋体" w:hAnsi="宋体" w:cs="宋体" w:eastAsia="宋体" w:hint="default"/>
                <w:sz w:val="18"/>
                <w:szCs w:val="18"/>
              </w:rPr>
            </w:pPr>
            <w:r>
              <w:rPr>
                <w:rFonts w:ascii="宋体" w:hAnsi="宋体" w:cs="宋体" w:eastAsia="宋体" w:hint="default"/>
                <w:sz w:val="18"/>
                <w:szCs w:val="18"/>
              </w:rPr>
              <w:t>资本 公积</w:t>
            </w:r>
          </w:p>
        </w:tc>
        <w:tc>
          <w:tcPr>
            <w:tcW w:w="584"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19"/>
                <w:szCs w:val="19"/>
              </w:rPr>
            </w:pPr>
          </w:p>
          <w:p>
            <w:pPr>
              <w:pStyle w:val="TableParagraph"/>
              <w:spacing w:line="316" w:lineRule="auto"/>
              <w:ind w:left="107" w:right="105"/>
              <w:jc w:val="both"/>
              <w:rPr>
                <w:rFonts w:ascii="宋体" w:hAnsi="宋体" w:cs="宋体" w:eastAsia="宋体" w:hint="default"/>
                <w:sz w:val="18"/>
                <w:szCs w:val="18"/>
              </w:rPr>
            </w:pPr>
            <w:r>
              <w:rPr>
                <w:rFonts w:ascii="宋体" w:hAnsi="宋体" w:cs="宋体" w:eastAsia="宋体" w:hint="default"/>
                <w:sz w:val="18"/>
                <w:szCs w:val="18"/>
              </w:rPr>
              <w:t>减： 库存 股</w:t>
            </w:r>
          </w:p>
        </w:tc>
        <w:tc>
          <w:tcPr>
            <w:tcW w:w="584"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19"/>
                <w:szCs w:val="19"/>
              </w:rPr>
            </w:pPr>
          </w:p>
          <w:p>
            <w:pPr>
              <w:pStyle w:val="TableParagraph"/>
              <w:spacing w:line="316" w:lineRule="auto"/>
              <w:ind w:left="106" w:right="105"/>
              <w:jc w:val="both"/>
              <w:rPr>
                <w:rFonts w:ascii="宋体" w:hAnsi="宋体" w:cs="宋体" w:eastAsia="宋体" w:hint="default"/>
                <w:sz w:val="18"/>
                <w:szCs w:val="18"/>
              </w:rPr>
            </w:pPr>
            <w:r>
              <w:rPr>
                <w:rFonts w:ascii="宋体" w:hAnsi="宋体" w:cs="宋体" w:eastAsia="宋体" w:hint="default"/>
                <w:sz w:val="18"/>
                <w:szCs w:val="18"/>
              </w:rPr>
              <w:t>其他 综合 收益</w:t>
            </w:r>
          </w:p>
        </w:tc>
        <w:tc>
          <w:tcPr>
            <w:tcW w:w="584"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316" w:lineRule="auto"/>
              <w:ind w:left="106" w:right="105"/>
              <w:jc w:val="left"/>
              <w:rPr>
                <w:rFonts w:ascii="宋体" w:hAnsi="宋体" w:cs="宋体" w:eastAsia="宋体" w:hint="default"/>
                <w:sz w:val="18"/>
                <w:szCs w:val="18"/>
              </w:rPr>
            </w:pPr>
            <w:r>
              <w:rPr>
                <w:rFonts w:ascii="宋体" w:hAnsi="宋体" w:cs="宋体" w:eastAsia="宋体" w:hint="default"/>
                <w:sz w:val="18"/>
                <w:szCs w:val="18"/>
              </w:rPr>
              <w:t>专项 储备</w:t>
            </w:r>
          </w:p>
        </w:tc>
        <w:tc>
          <w:tcPr>
            <w:tcW w:w="583"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316" w:lineRule="auto"/>
              <w:ind w:left="106" w:right="105"/>
              <w:jc w:val="left"/>
              <w:rPr>
                <w:rFonts w:ascii="宋体" w:hAnsi="宋体" w:cs="宋体" w:eastAsia="宋体" w:hint="default"/>
                <w:sz w:val="18"/>
                <w:szCs w:val="18"/>
              </w:rPr>
            </w:pPr>
            <w:r>
              <w:rPr>
                <w:rFonts w:ascii="宋体" w:hAnsi="宋体" w:cs="宋体" w:eastAsia="宋体" w:hint="default"/>
                <w:sz w:val="18"/>
                <w:szCs w:val="18"/>
              </w:rPr>
              <w:t>盈余 公积</w:t>
            </w:r>
          </w:p>
        </w:tc>
        <w:tc>
          <w:tcPr>
            <w:tcW w:w="584"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19"/>
                <w:szCs w:val="19"/>
              </w:rPr>
            </w:pPr>
          </w:p>
          <w:p>
            <w:pPr>
              <w:pStyle w:val="TableParagraph"/>
              <w:spacing w:line="316" w:lineRule="auto"/>
              <w:ind w:left="106" w:right="105"/>
              <w:jc w:val="both"/>
              <w:rPr>
                <w:rFonts w:ascii="宋体" w:hAnsi="宋体" w:cs="宋体" w:eastAsia="宋体" w:hint="default"/>
                <w:sz w:val="18"/>
                <w:szCs w:val="18"/>
              </w:rPr>
            </w:pPr>
            <w:r>
              <w:rPr>
                <w:rFonts w:ascii="宋体" w:hAnsi="宋体" w:cs="宋体" w:eastAsia="宋体" w:hint="default"/>
                <w:sz w:val="18"/>
                <w:szCs w:val="18"/>
              </w:rPr>
              <w:t>一般 风险 准备</w:t>
            </w:r>
          </w:p>
        </w:tc>
        <w:tc>
          <w:tcPr>
            <w:tcW w:w="584"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19"/>
                <w:szCs w:val="19"/>
              </w:rPr>
            </w:pPr>
          </w:p>
          <w:p>
            <w:pPr>
              <w:pStyle w:val="TableParagraph"/>
              <w:spacing w:line="316" w:lineRule="auto"/>
              <w:ind w:left="107" w:right="105"/>
              <w:jc w:val="both"/>
              <w:rPr>
                <w:rFonts w:ascii="宋体" w:hAnsi="宋体" w:cs="宋体" w:eastAsia="宋体" w:hint="default"/>
                <w:sz w:val="18"/>
                <w:szCs w:val="18"/>
              </w:rPr>
            </w:pPr>
            <w:r>
              <w:rPr>
                <w:rFonts w:ascii="宋体" w:hAnsi="宋体" w:cs="宋体" w:eastAsia="宋体" w:hint="default"/>
                <w:sz w:val="18"/>
                <w:szCs w:val="18"/>
              </w:rPr>
              <w:t>未分 配利 润</w:t>
            </w:r>
          </w:p>
        </w:tc>
        <w:tc>
          <w:tcPr>
            <w:tcW w:w="584"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5"/>
                <w:szCs w:val="25"/>
              </w:rPr>
            </w:pPr>
          </w:p>
          <w:p>
            <w:pPr>
              <w:pStyle w:val="TableParagraph"/>
              <w:spacing w:line="240" w:lineRule="auto"/>
              <w:ind w:left="106"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84"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5"/>
                <w:szCs w:val="25"/>
              </w:rPr>
            </w:pPr>
          </w:p>
          <w:p>
            <w:pPr>
              <w:pStyle w:val="TableParagraph"/>
              <w:spacing w:line="240" w:lineRule="auto"/>
              <w:ind w:left="106"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584" w:type="dxa"/>
            <w:vMerge/>
            <w:tcBorders>
              <w:left w:val="single" w:sz="4" w:space="0" w:color="000000"/>
              <w:right w:val="single" w:sz="4" w:space="0" w:color="000000"/>
            </w:tcBorders>
            <w:shd w:val="clear" w:color="auto" w:fill="D3D3D3"/>
          </w:tcPr>
          <w:p>
            <w:pPr/>
          </w:p>
        </w:tc>
        <w:tc>
          <w:tcPr>
            <w:tcW w:w="578" w:type="dxa"/>
            <w:vMerge/>
            <w:tcBorders>
              <w:left w:val="single" w:sz="4" w:space="0" w:color="000000"/>
              <w:right w:val="single" w:sz="4" w:space="0" w:color="000000"/>
            </w:tcBorders>
            <w:shd w:val="clear" w:color="auto" w:fill="D3D3D3"/>
          </w:tcPr>
          <w:p>
            <w:pPr/>
          </w:p>
        </w:tc>
      </w:tr>
      <w:tr>
        <w:trPr>
          <w:trHeight w:val="1026" w:hRule="exact"/>
        </w:trPr>
        <w:tc>
          <w:tcPr>
            <w:tcW w:w="1253" w:type="dxa"/>
            <w:vMerge/>
            <w:tcBorders>
              <w:left w:val="single" w:sz="4" w:space="0" w:color="000000"/>
              <w:bottom w:val="single" w:sz="4" w:space="0" w:color="000000"/>
              <w:right w:val="single" w:sz="4" w:space="0" w:color="000000"/>
            </w:tcBorders>
            <w:shd w:val="clear" w:color="auto" w:fill="D3D3D3"/>
          </w:tcPr>
          <w:p>
            <w:pPr/>
          </w:p>
        </w:tc>
        <w:tc>
          <w:tcPr>
            <w:tcW w:w="493" w:type="dxa"/>
            <w:vMerge/>
            <w:tcBorders>
              <w:left w:val="single" w:sz="4" w:space="0" w:color="000000"/>
              <w:bottom w:val="single" w:sz="4" w:space="0" w:color="000000"/>
              <w:right w:val="single" w:sz="4" w:space="0" w:color="000000"/>
            </w:tcBorders>
            <w:shd w:val="clear" w:color="auto" w:fill="D3D3D3"/>
          </w:tcPr>
          <w:p>
            <w:pPr/>
          </w:p>
        </w:tc>
        <w:tc>
          <w:tcPr>
            <w:tcW w:w="4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37" w:right="136"/>
              <w:jc w:val="both"/>
              <w:rPr>
                <w:rFonts w:ascii="宋体" w:hAnsi="宋体" w:cs="宋体" w:eastAsia="宋体" w:hint="default"/>
                <w:sz w:val="18"/>
                <w:szCs w:val="18"/>
              </w:rPr>
            </w:pPr>
            <w:r>
              <w:rPr>
                <w:rFonts w:ascii="宋体" w:hAnsi="宋体" w:cs="宋体" w:eastAsia="宋体" w:hint="default"/>
                <w:sz w:val="18"/>
                <w:szCs w:val="18"/>
              </w:rPr>
              <w:t>优 先 股</w:t>
            </w:r>
          </w:p>
        </w:tc>
        <w:tc>
          <w:tcPr>
            <w:tcW w:w="4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38" w:right="137"/>
              <w:jc w:val="both"/>
              <w:rPr>
                <w:rFonts w:ascii="宋体" w:hAnsi="宋体" w:cs="宋体" w:eastAsia="宋体" w:hint="default"/>
                <w:sz w:val="18"/>
                <w:szCs w:val="18"/>
              </w:rPr>
            </w:pPr>
            <w:r>
              <w:rPr>
                <w:rFonts w:ascii="宋体" w:hAnsi="宋体" w:cs="宋体" w:eastAsia="宋体" w:hint="default"/>
                <w:sz w:val="18"/>
                <w:szCs w:val="18"/>
              </w:rPr>
              <w:t>永 续 债</w:t>
            </w:r>
          </w:p>
        </w:tc>
        <w:tc>
          <w:tcPr>
            <w:tcW w:w="4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319" w:lineRule="auto"/>
              <w:ind w:left="138" w:right="137"/>
              <w:jc w:val="left"/>
              <w:rPr>
                <w:rFonts w:ascii="宋体" w:hAnsi="宋体" w:cs="宋体" w:eastAsia="宋体" w:hint="default"/>
                <w:sz w:val="18"/>
                <w:szCs w:val="18"/>
              </w:rPr>
            </w:pPr>
            <w:r>
              <w:rPr>
                <w:rFonts w:ascii="宋体" w:hAnsi="宋体" w:cs="宋体" w:eastAsia="宋体" w:hint="default"/>
                <w:sz w:val="18"/>
                <w:szCs w:val="18"/>
              </w:rPr>
              <w:t>其 他</w:t>
            </w:r>
          </w:p>
        </w:tc>
        <w:tc>
          <w:tcPr>
            <w:tcW w:w="583" w:type="dxa"/>
            <w:vMerge/>
            <w:tcBorders>
              <w:left w:val="single" w:sz="4" w:space="0" w:color="000000"/>
              <w:bottom w:val="single" w:sz="4" w:space="0" w:color="000000"/>
              <w:right w:val="single" w:sz="4" w:space="0" w:color="000000"/>
            </w:tcBorders>
            <w:shd w:val="clear" w:color="auto" w:fill="D3D3D3"/>
          </w:tcPr>
          <w:p>
            <w:pPr/>
          </w:p>
        </w:tc>
        <w:tc>
          <w:tcPr>
            <w:tcW w:w="584" w:type="dxa"/>
            <w:vMerge/>
            <w:tcBorders>
              <w:left w:val="single" w:sz="4" w:space="0" w:color="000000"/>
              <w:bottom w:val="single" w:sz="4" w:space="0" w:color="000000"/>
              <w:right w:val="single" w:sz="4" w:space="0" w:color="000000"/>
            </w:tcBorders>
            <w:shd w:val="clear" w:color="auto" w:fill="D3D3D3"/>
          </w:tcPr>
          <w:p>
            <w:pPr/>
          </w:p>
        </w:tc>
        <w:tc>
          <w:tcPr>
            <w:tcW w:w="584" w:type="dxa"/>
            <w:vMerge/>
            <w:tcBorders>
              <w:left w:val="single" w:sz="4" w:space="0" w:color="000000"/>
              <w:bottom w:val="single" w:sz="4" w:space="0" w:color="000000"/>
              <w:right w:val="single" w:sz="4" w:space="0" w:color="000000"/>
            </w:tcBorders>
            <w:shd w:val="clear" w:color="auto" w:fill="D3D3D3"/>
          </w:tcPr>
          <w:p>
            <w:pPr/>
          </w:p>
        </w:tc>
        <w:tc>
          <w:tcPr>
            <w:tcW w:w="584" w:type="dxa"/>
            <w:vMerge/>
            <w:tcBorders>
              <w:left w:val="single" w:sz="4" w:space="0" w:color="000000"/>
              <w:bottom w:val="single" w:sz="4" w:space="0" w:color="000000"/>
              <w:right w:val="single" w:sz="4" w:space="0" w:color="000000"/>
            </w:tcBorders>
            <w:shd w:val="clear" w:color="auto" w:fill="D3D3D3"/>
          </w:tcPr>
          <w:p>
            <w:pPr/>
          </w:p>
        </w:tc>
        <w:tc>
          <w:tcPr>
            <w:tcW w:w="583" w:type="dxa"/>
            <w:vMerge/>
            <w:tcBorders>
              <w:left w:val="single" w:sz="4" w:space="0" w:color="000000"/>
              <w:bottom w:val="single" w:sz="4" w:space="0" w:color="000000"/>
              <w:right w:val="single" w:sz="4" w:space="0" w:color="000000"/>
            </w:tcBorders>
            <w:shd w:val="clear" w:color="auto" w:fill="D3D3D3"/>
          </w:tcPr>
          <w:p>
            <w:pPr/>
          </w:p>
        </w:tc>
        <w:tc>
          <w:tcPr>
            <w:tcW w:w="584" w:type="dxa"/>
            <w:vMerge/>
            <w:tcBorders>
              <w:left w:val="single" w:sz="4" w:space="0" w:color="000000"/>
              <w:bottom w:val="single" w:sz="4" w:space="0" w:color="000000"/>
              <w:right w:val="single" w:sz="4" w:space="0" w:color="000000"/>
            </w:tcBorders>
            <w:shd w:val="clear" w:color="auto" w:fill="D3D3D3"/>
          </w:tcPr>
          <w:p>
            <w:pPr/>
          </w:p>
        </w:tc>
        <w:tc>
          <w:tcPr>
            <w:tcW w:w="584" w:type="dxa"/>
            <w:vMerge/>
            <w:tcBorders>
              <w:left w:val="single" w:sz="4" w:space="0" w:color="000000"/>
              <w:bottom w:val="single" w:sz="4" w:space="0" w:color="000000"/>
              <w:right w:val="single" w:sz="4" w:space="0" w:color="000000"/>
            </w:tcBorders>
            <w:shd w:val="clear" w:color="auto" w:fill="D3D3D3"/>
          </w:tcPr>
          <w:p>
            <w:pPr/>
          </w:p>
        </w:tc>
        <w:tc>
          <w:tcPr>
            <w:tcW w:w="584" w:type="dxa"/>
            <w:vMerge/>
            <w:tcBorders>
              <w:left w:val="single" w:sz="4" w:space="0" w:color="000000"/>
              <w:bottom w:val="single" w:sz="4" w:space="0" w:color="000000"/>
              <w:right w:val="single" w:sz="4" w:space="0" w:color="000000"/>
            </w:tcBorders>
            <w:shd w:val="clear" w:color="auto" w:fill="D3D3D3"/>
          </w:tcPr>
          <w:p>
            <w:pPr/>
          </w:p>
        </w:tc>
        <w:tc>
          <w:tcPr>
            <w:tcW w:w="584" w:type="dxa"/>
            <w:vMerge/>
            <w:tcBorders>
              <w:left w:val="single" w:sz="4" w:space="0" w:color="000000"/>
              <w:bottom w:val="single" w:sz="4" w:space="0" w:color="000000"/>
              <w:right w:val="single" w:sz="4" w:space="0" w:color="000000"/>
            </w:tcBorders>
            <w:shd w:val="clear" w:color="auto" w:fill="D3D3D3"/>
          </w:tcPr>
          <w:p>
            <w:pPr/>
          </w:p>
        </w:tc>
        <w:tc>
          <w:tcPr>
            <w:tcW w:w="584" w:type="dxa"/>
            <w:vMerge/>
            <w:tcBorders>
              <w:left w:val="single" w:sz="4" w:space="0" w:color="000000"/>
              <w:bottom w:val="single" w:sz="4" w:space="0" w:color="000000"/>
              <w:right w:val="single" w:sz="4" w:space="0" w:color="000000"/>
            </w:tcBorders>
            <w:shd w:val="clear" w:color="auto" w:fill="D3D3D3"/>
          </w:tcPr>
          <w:p>
            <w:pPr/>
          </w:p>
        </w:tc>
        <w:tc>
          <w:tcPr>
            <w:tcW w:w="578" w:type="dxa"/>
            <w:vMerge/>
            <w:tcBorders>
              <w:left w:val="single" w:sz="4" w:space="0" w:color="000000"/>
              <w:bottom w:val="single" w:sz="4" w:space="0" w:color="000000"/>
              <w:right w:val="single" w:sz="4" w:space="0" w:color="000000"/>
            </w:tcBorders>
            <w:shd w:val="clear" w:color="auto" w:fill="D3D3D3"/>
          </w:tcPr>
          <w:p>
            <w:pPr/>
          </w:p>
        </w:tc>
      </w:tr>
      <w:tr>
        <w:trPr>
          <w:trHeight w:val="1650"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316" w:lineRule="auto"/>
              <w:ind w:left="102" w:right="101"/>
              <w:jc w:val="left"/>
              <w:rPr>
                <w:rFonts w:ascii="宋体" w:hAnsi="宋体" w:cs="宋体" w:eastAsia="宋体" w:hint="default"/>
                <w:sz w:val="18"/>
                <w:szCs w:val="18"/>
              </w:rPr>
            </w:pPr>
            <w:r>
              <w:rPr>
                <w:rFonts w:ascii="宋体" w:hAnsi="宋体" w:cs="宋体" w:eastAsia="宋体" w:hint="default"/>
                <w:spacing w:val="-8"/>
                <w:sz w:val="18"/>
                <w:szCs w:val="18"/>
              </w:rPr>
              <w:t>一、上年期末</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余额</w:t>
            </w:r>
          </w:p>
        </w:tc>
        <w:tc>
          <w:tcPr>
            <w:tcW w:w="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9" w:right="0"/>
              <w:jc w:val="left"/>
              <w:rPr>
                <w:rFonts w:ascii="Times New Roman" w:hAnsi="Times New Roman" w:cs="Times New Roman" w:eastAsia="Times New Roman" w:hint="default"/>
                <w:sz w:val="18"/>
                <w:szCs w:val="18"/>
              </w:rPr>
            </w:pPr>
            <w:r>
              <w:rPr>
                <w:rFonts w:ascii="Times New Roman"/>
                <w:sz w:val="18"/>
              </w:rPr>
              <w:t>712</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,02</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8,8</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00.</w:t>
            </w:r>
          </w:p>
          <w:p>
            <w:pPr>
              <w:pStyle w:val="TableParagraph"/>
              <w:spacing w:line="240" w:lineRule="auto" w:before="105"/>
              <w:ind w:left="199" w:right="0"/>
              <w:jc w:val="left"/>
              <w:rPr>
                <w:rFonts w:ascii="Times New Roman" w:hAnsi="Times New Roman" w:cs="Times New Roman" w:eastAsia="Times New Roman" w:hint="default"/>
                <w:sz w:val="18"/>
                <w:szCs w:val="18"/>
              </w:rPr>
            </w:pPr>
            <w:r>
              <w:rPr>
                <w:rFonts w:ascii="Times New Roman"/>
                <w:sz w:val="18"/>
              </w:rPr>
              <w:t>00</w:t>
            </w: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4" w:right="0"/>
              <w:jc w:val="left"/>
              <w:rPr>
                <w:rFonts w:ascii="Times New Roman" w:hAnsi="Times New Roman" w:cs="Times New Roman" w:eastAsia="Times New Roman" w:hint="default"/>
                <w:sz w:val="18"/>
                <w:szCs w:val="18"/>
              </w:rPr>
            </w:pPr>
            <w:r>
              <w:rPr>
                <w:rFonts w:ascii="Times New Roman"/>
                <w:sz w:val="18"/>
              </w:rPr>
              <w:t>74,5</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00,1</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00.8</w:t>
            </w:r>
          </w:p>
          <w:p>
            <w:pPr>
              <w:pStyle w:val="TableParagraph"/>
              <w:spacing w:line="240" w:lineRule="auto" w:before="105"/>
              <w:ind w:left="379" w:right="0"/>
              <w:jc w:val="left"/>
              <w:rPr>
                <w:rFonts w:ascii="Times New Roman" w:hAnsi="Times New Roman" w:cs="Times New Roman" w:eastAsia="Times New Roman" w:hint="default"/>
                <w:sz w:val="18"/>
                <w:szCs w:val="18"/>
              </w:rPr>
            </w:pPr>
            <w:r>
              <w:rPr>
                <w:rFonts w:ascii="Times New Roman"/>
                <w:sz w:val="18"/>
              </w:rPr>
              <w:t>1</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5" w:right="0"/>
              <w:jc w:val="left"/>
              <w:rPr>
                <w:rFonts w:ascii="Times New Roman" w:hAnsi="Times New Roman" w:cs="Times New Roman" w:eastAsia="Times New Roman" w:hint="default"/>
                <w:sz w:val="18"/>
                <w:szCs w:val="18"/>
              </w:rPr>
            </w:pPr>
            <w:r>
              <w:rPr>
                <w:rFonts w:ascii="Times New Roman"/>
                <w:sz w:val="18"/>
              </w:rPr>
              <w:t>46,0</w:t>
            </w:r>
          </w:p>
          <w:p>
            <w:pPr>
              <w:pStyle w:val="TableParagraph"/>
              <w:spacing w:line="240" w:lineRule="auto" w:before="105"/>
              <w:ind w:left="155" w:right="0"/>
              <w:jc w:val="left"/>
              <w:rPr>
                <w:rFonts w:ascii="Times New Roman" w:hAnsi="Times New Roman" w:cs="Times New Roman" w:eastAsia="Times New Roman" w:hint="default"/>
                <w:sz w:val="18"/>
                <w:szCs w:val="18"/>
              </w:rPr>
            </w:pPr>
            <w:r>
              <w:rPr>
                <w:rFonts w:ascii="Times New Roman"/>
                <w:sz w:val="18"/>
              </w:rPr>
              <w:t>10,4</w:t>
            </w:r>
          </w:p>
          <w:p>
            <w:pPr>
              <w:pStyle w:val="TableParagraph"/>
              <w:spacing w:line="240" w:lineRule="auto" w:before="105"/>
              <w:ind w:left="155" w:right="0"/>
              <w:jc w:val="left"/>
              <w:rPr>
                <w:rFonts w:ascii="Times New Roman" w:hAnsi="Times New Roman" w:cs="Times New Roman" w:eastAsia="Times New Roman" w:hint="default"/>
                <w:sz w:val="18"/>
                <w:szCs w:val="18"/>
              </w:rPr>
            </w:pPr>
            <w:r>
              <w:rPr>
                <w:rFonts w:ascii="Times New Roman"/>
                <w:sz w:val="18"/>
              </w:rPr>
              <w:t>28.7</w:t>
            </w:r>
          </w:p>
          <w:p>
            <w:pPr>
              <w:pStyle w:val="TableParagraph"/>
              <w:spacing w:line="240" w:lineRule="auto" w:before="105"/>
              <w:ind w:left="380" w:right="0"/>
              <w:jc w:val="left"/>
              <w:rPr>
                <w:rFonts w:ascii="Times New Roman" w:hAnsi="Times New Roman" w:cs="Times New Roman" w:eastAsia="Times New Roman" w:hint="default"/>
                <w:sz w:val="18"/>
                <w:szCs w:val="18"/>
              </w:rPr>
            </w:pPr>
            <w:r>
              <w:rPr>
                <w:rFonts w:ascii="Times New Roman"/>
                <w:sz w:val="18"/>
              </w:rPr>
              <w:t>6</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56" w:right="0"/>
              <w:jc w:val="left"/>
              <w:rPr>
                <w:rFonts w:ascii="Times New Roman" w:hAnsi="Times New Roman" w:cs="Times New Roman" w:eastAsia="Times New Roman" w:hint="default"/>
                <w:sz w:val="18"/>
                <w:szCs w:val="18"/>
              </w:rPr>
            </w:pPr>
            <w:r>
              <w:rPr>
                <w:rFonts w:ascii="Times New Roman"/>
                <w:sz w:val="18"/>
              </w:rPr>
              <w:t>1,35</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8,86</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8.21</w:t>
            </w: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2" w:right="0"/>
              <w:jc w:val="center"/>
              <w:rPr>
                <w:rFonts w:ascii="Times New Roman" w:hAnsi="Times New Roman" w:cs="Times New Roman" w:eastAsia="Times New Roman" w:hint="default"/>
                <w:sz w:val="18"/>
                <w:szCs w:val="18"/>
              </w:rPr>
            </w:pPr>
            <w:r>
              <w:rPr>
                <w:rFonts w:ascii="Times New Roman"/>
                <w:sz w:val="18"/>
              </w:rPr>
              <w:t>207,</w:t>
            </w:r>
          </w:p>
          <w:p>
            <w:pPr>
              <w:pStyle w:val="TableParagraph"/>
              <w:spacing w:line="240" w:lineRule="auto" w:before="105"/>
              <w:ind w:left="52" w:right="0"/>
              <w:jc w:val="center"/>
              <w:rPr>
                <w:rFonts w:ascii="Times New Roman" w:hAnsi="Times New Roman" w:cs="Times New Roman" w:eastAsia="Times New Roman" w:hint="default"/>
                <w:sz w:val="18"/>
                <w:szCs w:val="18"/>
              </w:rPr>
            </w:pPr>
            <w:r>
              <w:rPr>
                <w:rFonts w:ascii="Times New Roman"/>
                <w:sz w:val="18"/>
              </w:rPr>
              <w:t>516,</w:t>
            </w:r>
          </w:p>
          <w:p>
            <w:pPr>
              <w:pStyle w:val="TableParagraph"/>
              <w:spacing w:line="240" w:lineRule="auto" w:before="105"/>
              <w:ind w:left="52" w:right="0"/>
              <w:jc w:val="center"/>
              <w:rPr>
                <w:rFonts w:ascii="Times New Roman" w:hAnsi="Times New Roman" w:cs="Times New Roman" w:eastAsia="Times New Roman" w:hint="default"/>
                <w:sz w:val="18"/>
                <w:szCs w:val="18"/>
              </w:rPr>
            </w:pPr>
            <w:r>
              <w:rPr>
                <w:rFonts w:ascii="Times New Roman"/>
                <w:sz w:val="18"/>
              </w:rPr>
              <w:t>674.</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80</w:t>
            </w: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2" w:right="0"/>
              <w:jc w:val="center"/>
              <w:rPr>
                <w:rFonts w:ascii="Times New Roman" w:hAnsi="Times New Roman" w:cs="Times New Roman" w:eastAsia="Times New Roman" w:hint="default"/>
                <w:sz w:val="18"/>
                <w:szCs w:val="18"/>
              </w:rPr>
            </w:pPr>
            <w:r>
              <w:rPr>
                <w:rFonts w:ascii="Times New Roman"/>
                <w:sz w:val="18"/>
              </w:rPr>
              <w:t>944,</w:t>
            </w:r>
          </w:p>
          <w:p>
            <w:pPr>
              <w:pStyle w:val="TableParagraph"/>
              <w:spacing w:line="240" w:lineRule="auto" w:before="105"/>
              <w:ind w:left="52" w:right="0"/>
              <w:jc w:val="center"/>
              <w:rPr>
                <w:rFonts w:ascii="Times New Roman" w:hAnsi="Times New Roman" w:cs="Times New Roman" w:eastAsia="Times New Roman" w:hint="default"/>
                <w:sz w:val="18"/>
                <w:szCs w:val="18"/>
              </w:rPr>
            </w:pPr>
            <w:r>
              <w:rPr>
                <w:rFonts w:ascii="Times New Roman"/>
                <w:sz w:val="18"/>
              </w:rPr>
              <w:t>612,</w:t>
            </w:r>
          </w:p>
          <w:p>
            <w:pPr>
              <w:pStyle w:val="TableParagraph"/>
              <w:spacing w:line="240" w:lineRule="auto" w:before="105"/>
              <w:ind w:left="52" w:right="0"/>
              <w:jc w:val="center"/>
              <w:rPr>
                <w:rFonts w:ascii="Times New Roman" w:hAnsi="Times New Roman" w:cs="Times New Roman" w:eastAsia="Times New Roman" w:hint="default"/>
                <w:sz w:val="18"/>
                <w:szCs w:val="18"/>
              </w:rPr>
            </w:pPr>
            <w:r>
              <w:rPr>
                <w:rFonts w:ascii="Times New Roman"/>
                <w:sz w:val="18"/>
              </w:rPr>
              <w:t>685.</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27</w:t>
            </w: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6" w:right="0"/>
              <w:jc w:val="left"/>
              <w:rPr>
                <w:rFonts w:ascii="Times New Roman" w:hAnsi="Times New Roman" w:cs="Times New Roman" w:eastAsia="Times New Roman" w:hint="default"/>
                <w:sz w:val="18"/>
                <w:szCs w:val="18"/>
              </w:rPr>
            </w:pPr>
            <w:r>
              <w:rPr>
                <w:rFonts w:ascii="Times New Roman"/>
                <w:sz w:val="18"/>
              </w:rPr>
              <w:t>1,89</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4,00</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6,70</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0.33</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5" w:right="0"/>
              <w:jc w:val="left"/>
              <w:rPr>
                <w:rFonts w:ascii="Times New Roman" w:hAnsi="Times New Roman" w:cs="Times New Roman" w:eastAsia="Times New Roman" w:hint="default"/>
                <w:sz w:val="18"/>
                <w:szCs w:val="18"/>
              </w:rPr>
            </w:pPr>
            <w:r>
              <w:rPr>
                <w:rFonts w:ascii="Times New Roman"/>
                <w:sz w:val="18"/>
              </w:rPr>
              <w:t>88,7</w:t>
            </w:r>
          </w:p>
          <w:p>
            <w:pPr>
              <w:pStyle w:val="TableParagraph"/>
              <w:spacing w:line="240" w:lineRule="auto" w:before="105"/>
              <w:ind w:left="155" w:right="0"/>
              <w:jc w:val="left"/>
              <w:rPr>
                <w:rFonts w:ascii="Times New Roman" w:hAnsi="Times New Roman" w:cs="Times New Roman" w:eastAsia="Times New Roman" w:hint="default"/>
                <w:sz w:val="18"/>
                <w:szCs w:val="18"/>
              </w:rPr>
            </w:pPr>
            <w:r>
              <w:rPr>
                <w:rFonts w:ascii="Times New Roman"/>
                <w:sz w:val="18"/>
              </w:rPr>
              <w:t>15,7</w:t>
            </w:r>
          </w:p>
          <w:p>
            <w:pPr>
              <w:pStyle w:val="TableParagraph"/>
              <w:spacing w:line="240" w:lineRule="auto" w:before="105"/>
              <w:ind w:left="155" w:right="0"/>
              <w:jc w:val="left"/>
              <w:rPr>
                <w:rFonts w:ascii="Times New Roman" w:hAnsi="Times New Roman" w:cs="Times New Roman" w:eastAsia="Times New Roman" w:hint="default"/>
                <w:sz w:val="18"/>
                <w:szCs w:val="18"/>
              </w:rPr>
            </w:pPr>
            <w:r>
              <w:rPr>
                <w:rFonts w:ascii="Times New Roman"/>
                <w:sz w:val="18"/>
              </w:rPr>
              <w:t>50.9</w:t>
            </w:r>
          </w:p>
          <w:p>
            <w:pPr>
              <w:pStyle w:val="TableParagraph"/>
              <w:spacing w:line="240" w:lineRule="auto" w:before="105"/>
              <w:ind w:left="380" w:right="0"/>
              <w:jc w:val="left"/>
              <w:rPr>
                <w:rFonts w:ascii="Times New Roman" w:hAnsi="Times New Roman" w:cs="Times New Roman" w:eastAsia="Times New Roman" w:hint="default"/>
                <w:sz w:val="18"/>
                <w:szCs w:val="18"/>
              </w:rPr>
            </w:pPr>
            <w:r>
              <w:rPr>
                <w:rFonts w:ascii="Times New Roman"/>
                <w:sz w:val="18"/>
              </w:rPr>
              <w:t>0</w:t>
            </w: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0" w:right="0"/>
              <w:jc w:val="left"/>
              <w:rPr>
                <w:rFonts w:ascii="Times New Roman" w:hAnsi="Times New Roman" w:cs="Times New Roman" w:eastAsia="Times New Roman" w:hint="default"/>
                <w:sz w:val="18"/>
                <w:szCs w:val="18"/>
              </w:rPr>
            </w:pPr>
            <w:r>
              <w:rPr>
                <w:rFonts w:ascii="Times New Roman"/>
                <w:sz w:val="18"/>
              </w:rPr>
              <w:t>1,98</w:t>
            </w:r>
          </w:p>
          <w:p>
            <w:pPr>
              <w:pStyle w:val="TableParagraph"/>
              <w:spacing w:line="240" w:lineRule="auto" w:before="105"/>
              <w:ind w:left="150" w:right="0"/>
              <w:jc w:val="left"/>
              <w:rPr>
                <w:rFonts w:ascii="Times New Roman" w:hAnsi="Times New Roman" w:cs="Times New Roman" w:eastAsia="Times New Roman" w:hint="default"/>
                <w:sz w:val="18"/>
                <w:szCs w:val="18"/>
              </w:rPr>
            </w:pPr>
            <w:r>
              <w:rPr>
                <w:rFonts w:ascii="Times New Roman"/>
                <w:sz w:val="18"/>
              </w:rPr>
              <w:t>2,72</w:t>
            </w:r>
          </w:p>
          <w:p>
            <w:pPr>
              <w:pStyle w:val="TableParagraph"/>
              <w:spacing w:line="240" w:lineRule="auto" w:before="105"/>
              <w:ind w:left="150" w:right="0"/>
              <w:jc w:val="left"/>
              <w:rPr>
                <w:rFonts w:ascii="Times New Roman" w:hAnsi="Times New Roman" w:cs="Times New Roman" w:eastAsia="Times New Roman" w:hint="default"/>
                <w:sz w:val="18"/>
                <w:szCs w:val="18"/>
              </w:rPr>
            </w:pPr>
            <w:r>
              <w:rPr>
                <w:rFonts w:ascii="Times New Roman"/>
                <w:sz w:val="18"/>
              </w:rPr>
              <w:t>2,45</w:t>
            </w:r>
          </w:p>
          <w:p>
            <w:pPr>
              <w:pStyle w:val="TableParagraph"/>
              <w:spacing w:line="240" w:lineRule="auto" w:before="105"/>
              <w:ind w:left="150" w:right="0"/>
              <w:jc w:val="left"/>
              <w:rPr>
                <w:rFonts w:ascii="Times New Roman" w:hAnsi="Times New Roman" w:cs="Times New Roman" w:eastAsia="Times New Roman" w:hint="default"/>
                <w:sz w:val="18"/>
                <w:szCs w:val="18"/>
              </w:rPr>
            </w:pPr>
            <w:r>
              <w:rPr>
                <w:rFonts w:ascii="Times New Roman"/>
                <w:sz w:val="18"/>
              </w:rPr>
              <w:t>1.23</w:t>
            </w:r>
          </w:p>
        </w:tc>
      </w:tr>
      <w:tr>
        <w:trPr>
          <w:trHeight w:val="401"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0"/>
              <w:ind w:left="462" w:right="0"/>
              <w:jc w:val="left"/>
              <w:rPr>
                <w:rFonts w:ascii="宋体" w:hAnsi="宋体" w:cs="宋体" w:eastAsia="宋体" w:hint="default"/>
                <w:sz w:val="18"/>
                <w:szCs w:val="18"/>
              </w:rPr>
            </w:pPr>
            <w:r>
              <w:rPr>
                <w:rFonts w:ascii="宋体" w:hAnsi="宋体" w:cs="宋体" w:eastAsia="宋体" w:hint="default"/>
                <w:spacing w:val="-11"/>
                <w:sz w:val="18"/>
                <w:szCs w:val="18"/>
              </w:rPr>
              <w:t>加：会计</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55" w:right="0"/>
              <w:jc w:val="left"/>
              <w:rPr>
                <w:rFonts w:ascii="Times New Roman" w:hAnsi="Times New Roman" w:cs="Times New Roman" w:eastAsia="Times New Roman" w:hint="default"/>
                <w:sz w:val="18"/>
                <w:szCs w:val="18"/>
              </w:rPr>
            </w:pPr>
            <w:r>
              <w:rPr>
                <w:rFonts w:ascii="Times New Roman"/>
                <w:sz w:val="18"/>
              </w:rPr>
              <w:t>4,67</w:t>
            </w: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56" w:right="0"/>
              <w:jc w:val="left"/>
              <w:rPr>
                <w:rFonts w:ascii="Times New Roman" w:hAnsi="Times New Roman" w:cs="Times New Roman" w:eastAsia="Times New Roman" w:hint="default"/>
                <w:sz w:val="18"/>
                <w:szCs w:val="18"/>
              </w:rPr>
            </w:pPr>
            <w:r>
              <w:rPr>
                <w:rFonts w:ascii="Times New Roman"/>
                <w:sz w:val="18"/>
              </w:rPr>
              <w:t>408,</w:t>
            </w: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56" w:right="0"/>
              <w:jc w:val="left"/>
              <w:rPr>
                <w:rFonts w:ascii="Times New Roman" w:hAnsi="Times New Roman" w:cs="Times New Roman" w:eastAsia="Times New Roman" w:hint="default"/>
                <w:sz w:val="18"/>
                <w:szCs w:val="18"/>
              </w:rPr>
            </w:pPr>
            <w:r>
              <w:rPr>
                <w:rFonts w:ascii="Times New Roman"/>
                <w:sz w:val="18"/>
              </w:rPr>
              <w:t>413,</w:t>
            </w: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50" w:right="0"/>
              <w:jc w:val="left"/>
              <w:rPr>
                <w:rFonts w:ascii="Times New Roman" w:hAnsi="Times New Roman" w:cs="Times New Roman" w:eastAsia="Times New Roman" w:hint="default"/>
                <w:sz w:val="18"/>
                <w:szCs w:val="18"/>
              </w:rPr>
            </w:pPr>
            <w:r>
              <w:rPr>
                <w:rFonts w:ascii="Times New Roman"/>
                <w:sz w:val="18"/>
              </w:rPr>
              <w:t>413,</w:t>
            </w:r>
          </w:p>
        </w:tc>
      </w:tr>
    </w:tbl>
    <w:p>
      <w:pPr>
        <w:spacing w:after="0" w:line="240" w:lineRule="auto"/>
        <w:jc w:val="left"/>
        <w:rPr>
          <w:rFonts w:ascii="Times New Roman" w:hAnsi="Times New Roman" w:cs="Times New Roman" w:eastAsia="Times New Roman" w:hint="default"/>
          <w:sz w:val="18"/>
          <w:szCs w:val="18"/>
        </w:rPr>
        <w:sectPr>
          <w:pgSz w:w="11910" w:h="16840"/>
          <w:pgMar w:header="906" w:footer="1018" w:top="1100" w:bottom="1200" w:left="1020" w:right="0"/>
        </w:sectPr>
      </w:pPr>
    </w:p>
    <w:p>
      <w:pPr>
        <w:spacing w:line="240" w:lineRule="auto" w:before="0"/>
        <w:rPr>
          <w:rFonts w:ascii="Times New Roman" w:hAnsi="Times New Roman" w:cs="Times New Roman" w:eastAsia="Times New Roman" w:hint="default"/>
          <w:sz w:val="29"/>
          <w:szCs w:val="29"/>
        </w:rPr>
      </w:pPr>
    </w:p>
    <w:tbl>
      <w:tblPr>
        <w:tblW w:w="0" w:type="auto"/>
        <w:jc w:val="left"/>
        <w:tblInd w:w="109" w:type="dxa"/>
        <w:tblLayout w:type="fixed"/>
        <w:tblCellMar>
          <w:top w:w="0" w:type="dxa"/>
          <w:left w:w="0" w:type="dxa"/>
          <w:bottom w:w="0" w:type="dxa"/>
          <w:right w:w="0" w:type="dxa"/>
        </w:tblCellMar>
        <w:tblLook w:val="01E0"/>
      </w:tblPr>
      <w:tblGrid>
        <w:gridCol w:w="1253"/>
        <w:gridCol w:w="493"/>
        <w:gridCol w:w="466"/>
        <w:gridCol w:w="467"/>
        <w:gridCol w:w="468"/>
        <w:gridCol w:w="583"/>
        <w:gridCol w:w="584"/>
        <w:gridCol w:w="584"/>
        <w:gridCol w:w="584"/>
        <w:gridCol w:w="583"/>
        <w:gridCol w:w="584"/>
        <w:gridCol w:w="584"/>
        <w:gridCol w:w="584"/>
        <w:gridCol w:w="584"/>
        <w:gridCol w:w="584"/>
        <w:gridCol w:w="578"/>
      </w:tblGrid>
      <w:tr>
        <w:trPr>
          <w:trHeight w:val="674"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政策变更</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55" w:right="0"/>
              <w:jc w:val="left"/>
              <w:rPr>
                <w:rFonts w:ascii="Times New Roman" w:hAnsi="Times New Roman" w:cs="Times New Roman" w:eastAsia="Times New Roman" w:hint="default"/>
                <w:sz w:val="18"/>
                <w:szCs w:val="18"/>
              </w:rPr>
            </w:pPr>
            <w:r>
              <w:rPr>
                <w:rFonts w:ascii="Times New Roman"/>
                <w:sz w:val="18"/>
              </w:rPr>
              <w:t>7.32</w:t>
            </w: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2" w:right="0"/>
              <w:jc w:val="center"/>
              <w:rPr>
                <w:rFonts w:ascii="Times New Roman" w:hAnsi="Times New Roman" w:cs="Times New Roman" w:eastAsia="Times New Roman" w:hint="default"/>
                <w:sz w:val="18"/>
                <w:szCs w:val="18"/>
              </w:rPr>
            </w:pPr>
            <w:r>
              <w:rPr>
                <w:rFonts w:ascii="Times New Roman"/>
                <w:sz w:val="18"/>
              </w:rPr>
              <w:t>578.</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92</w:t>
            </w: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2" w:right="0"/>
              <w:jc w:val="center"/>
              <w:rPr>
                <w:rFonts w:ascii="Times New Roman" w:hAnsi="Times New Roman" w:cs="Times New Roman" w:eastAsia="Times New Roman" w:hint="default"/>
                <w:sz w:val="18"/>
                <w:szCs w:val="18"/>
              </w:rPr>
            </w:pPr>
            <w:r>
              <w:rPr>
                <w:rFonts w:ascii="Times New Roman"/>
                <w:sz w:val="18"/>
              </w:rPr>
              <w:t>256.</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24</w:t>
            </w: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6" w:right="0"/>
              <w:jc w:val="center"/>
              <w:rPr>
                <w:rFonts w:ascii="Times New Roman" w:hAnsi="Times New Roman" w:cs="Times New Roman" w:eastAsia="Times New Roman" w:hint="default"/>
                <w:sz w:val="18"/>
                <w:szCs w:val="18"/>
              </w:rPr>
            </w:pPr>
            <w:r>
              <w:rPr>
                <w:rFonts w:ascii="Times New Roman"/>
                <w:sz w:val="18"/>
              </w:rPr>
              <w:t>256.</w:t>
            </w:r>
          </w:p>
          <w:p>
            <w:pPr>
              <w:pStyle w:val="TableParagraph"/>
              <w:spacing w:line="240" w:lineRule="auto" w:before="105"/>
              <w:ind w:left="181" w:right="0"/>
              <w:jc w:val="center"/>
              <w:rPr>
                <w:rFonts w:ascii="Times New Roman" w:hAnsi="Times New Roman" w:cs="Times New Roman" w:eastAsia="Times New Roman" w:hint="default"/>
                <w:sz w:val="18"/>
                <w:szCs w:val="18"/>
              </w:rPr>
            </w:pPr>
            <w:r>
              <w:rPr>
                <w:rFonts w:ascii="Times New Roman"/>
                <w:sz w:val="18"/>
              </w:rPr>
              <w:t>24</w:t>
            </w:r>
          </w:p>
        </w:tc>
      </w:tr>
      <w:tr>
        <w:trPr>
          <w:trHeight w:val="714"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02" w:right="238" w:firstLine="720"/>
              <w:jc w:val="left"/>
              <w:rPr>
                <w:rFonts w:ascii="宋体" w:hAnsi="宋体" w:cs="宋体" w:eastAsia="宋体" w:hint="default"/>
                <w:sz w:val="18"/>
                <w:szCs w:val="18"/>
              </w:rPr>
            </w:pPr>
            <w:r>
              <w:rPr>
                <w:rFonts w:ascii="宋体" w:hAnsi="宋体" w:cs="宋体" w:eastAsia="宋体" w:hint="default"/>
                <w:sz w:val="18"/>
                <w:szCs w:val="18"/>
              </w:rPr>
              <w:t>前 期差错更正</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02" w:right="238" w:firstLine="720"/>
              <w:jc w:val="both"/>
              <w:rPr>
                <w:rFonts w:ascii="宋体" w:hAnsi="宋体" w:cs="宋体" w:eastAsia="宋体" w:hint="default"/>
                <w:sz w:val="18"/>
                <w:szCs w:val="18"/>
              </w:rPr>
            </w:pPr>
            <w:r>
              <w:rPr>
                <w:rFonts w:ascii="宋体" w:hAnsi="宋体" w:cs="宋体" w:eastAsia="宋体" w:hint="default"/>
                <w:sz w:val="18"/>
                <w:szCs w:val="18"/>
              </w:rPr>
              <w:t>同 一控制下企 业合并</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822" w:right="0"/>
              <w:jc w:val="left"/>
              <w:rPr>
                <w:rFonts w:ascii="宋体" w:hAnsi="宋体" w:cs="宋体" w:eastAsia="宋体" w:hint="default"/>
                <w:sz w:val="18"/>
                <w:szCs w:val="18"/>
              </w:rPr>
            </w:pPr>
            <w:r>
              <w:rPr>
                <w:rFonts w:ascii="宋体" w:hAnsi="宋体" w:cs="宋体" w:eastAsia="宋体" w:hint="default"/>
                <w:sz w:val="18"/>
                <w:szCs w:val="18"/>
              </w:rPr>
              <w:t>其</w:t>
            </w:r>
          </w:p>
          <w:p>
            <w:pPr>
              <w:pStyle w:val="TableParagraph"/>
              <w:spacing w:line="240" w:lineRule="auto" w:before="76"/>
              <w:ind w:left="102" w:right="0"/>
              <w:jc w:val="left"/>
              <w:rPr>
                <w:rFonts w:ascii="宋体" w:hAnsi="宋体" w:cs="宋体" w:eastAsia="宋体" w:hint="default"/>
                <w:sz w:val="18"/>
                <w:szCs w:val="18"/>
              </w:rPr>
            </w:pPr>
            <w:r>
              <w:rPr>
                <w:rFonts w:ascii="宋体" w:hAnsi="宋体" w:cs="宋体" w:eastAsia="宋体" w:hint="default"/>
                <w:sz w:val="18"/>
                <w:szCs w:val="18"/>
              </w:rPr>
              <w:t>他</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1650"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03"/>
              <w:ind w:left="102" w:right="101"/>
              <w:jc w:val="left"/>
              <w:rPr>
                <w:rFonts w:ascii="宋体" w:hAnsi="宋体" w:cs="宋体" w:eastAsia="宋体" w:hint="default"/>
                <w:sz w:val="18"/>
                <w:szCs w:val="18"/>
              </w:rPr>
            </w:pPr>
            <w:r>
              <w:rPr>
                <w:rFonts w:ascii="宋体" w:hAnsi="宋体" w:cs="宋体" w:eastAsia="宋体" w:hint="default"/>
                <w:spacing w:val="-8"/>
                <w:sz w:val="18"/>
                <w:szCs w:val="18"/>
              </w:rPr>
              <w:t>二、本年期初</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余额</w:t>
            </w:r>
          </w:p>
        </w:tc>
        <w:tc>
          <w:tcPr>
            <w:tcW w:w="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9" w:right="0"/>
              <w:jc w:val="left"/>
              <w:rPr>
                <w:rFonts w:ascii="Times New Roman" w:hAnsi="Times New Roman" w:cs="Times New Roman" w:eastAsia="Times New Roman" w:hint="default"/>
                <w:sz w:val="18"/>
                <w:szCs w:val="18"/>
              </w:rPr>
            </w:pPr>
            <w:r>
              <w:rPr>
                <w:rFonts w:ascii="Times New Roman"/>
                <w:sz w:val="18"/>
              </w:rPr>
              <w:t>712</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,02</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8,8</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00.</w:t>
            </w:r>
          </w:p>
          <w:p>
            <w:pPr>
              <w:pStyle w:val="TableParagraph"/>
              <w:spacing w:line="240" w:lineRule="auto" w:before="105"/>
              <w:ind w:left="199" w:right="0"/>
              <w:jc w:val="left"/>
              <w:rPr>
                <w:rFonts w:ascii="Times New Roman" w:hAnsi="Times New Roman" w:cs="Times New Roman" w:eastAsia="Times New Roman" w:hint="default"/>
                <w:sz w:val="18"/>
                <w:szCs w:val="18"/>
              </w:rPr>
            </w:pPr>
            <w:r>
              <w:rPr>
                <w:rFonts w:ascii="Times New Roman"/>
                <w:sz w:val="18"/>
              </w:rPr>
              <w:t>00</w:t>
            </w: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54" w:right="0"/>
              <w:jc w:val="left"/>
              <w:rPr>
                <w:rFonts w:ascii="Times New Roman" w:hAnsi="Times New Roman" w:cs="Times New Roman" w:eastAsia="Times New Roman" w:hint="default"/>
                <w:sz w:val="18"/>
                <w:szCs w:val="18"/>
              </w:rPr>
            </w:pPr>
            <w:r>
              <w:rPr>
                <w:rFonts w:ascii="Times New Roman"/>
                <w:sz w:val="18"/>
              </w:rPr>
              <w:t>74,5</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00,1</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00.8</w:t>
            </w:r>
          </w:p>
          <w:p>
            <w:pPr>
              <w:pStyle w:val="TableParagraph"/>
              <w:spacing w:line="240" w:lineRule="auto" w:before="105"/>
              <w:ind w:left="379" w:right="0"/>
              <w:jc w:val="left"/>
              <w:rPr>
                <w:rFonts w:ascii="Times New Roman" w:hAnsi="Times New Roman" w:cs="Times New Roman" w:eastAsia="Times New Roman" w:hint="default"/>
                <w:sz w:val="18"/>
                <w:szCs w:val="18"/>
              </w:rPr>
            </w:pPr>
            <w:r>
              <w:rPr>
                <w:rFonts w:ascii="Times New Roman"/>
                <w:sz w:val="18"/>
              </w:rPr>
              <w:t>1</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55" w:right="0"/>
              <w:jc w:val="left"/>
              <w:rPr>
                <w:rFonts w:ascii="Times New Roman" w:hAnsi="Times New Roman" w:cs="Times New Roman" w:eastAsia="Times New Roman" w:hint="default"/>
                <w:sz w:val="18"/>
                <w:szCs w:val="18"/>
              </w:rPr>
            </w:pPr>
            <w:r>
              <w:rPr>
                <w:rFonts w:ascii="Times New Roman"/>
                <w:sz w:val="18"/>
              </w:rPr>
              <w:t>46,0</w:t>
            </w:r>
          </w:p>
          <w:p>
            <w:pPr>
              <w:pStyle w:val="TableParagraph"/>
              <w:spacing w:line="240" w:lineRule="auto" w:before="105"/>
              <w:ind w:left="155" w:right="0"/>
              <w:jc w:val="left"/>
              <w:rPr>
                <w:rFonts w:ascii="Times New Roman" w:hAnsi="Times New Roman" w:cs="Times New Roman" w:eastAsia="Times New Roman" w:hint="default"/>
                <w:sz w:val="18"/>
                <w:szCs w:val="18"/>
              </w:rPr>
            </w:pPr>
            <w:r>
              <w:rPr>
                <w:rFonts w:ascii="Times New Roman"/>
                <w:sz w:val="18"/>
              </w:rPr>
              <w:t>10,4</w:t>
            </w:r>
          </w:p>
          <w:p>
            <w:pPr>
              <w:pStyle w:val="TableParagraph"/>
              <w:spacing w:line="240" w:lineRule="auto" w:before="105"/>
              <w:ind w:left="155" w:right="0"/>
              <w:jc w:val="left"/>
              <w:rPr>
                <w:rFonts w:ascii="Times New Roman" w:hAnsi="Times New Roman" w:cs="Times New Roman" w:eastAsia="Times New Roman" w:hint="default"/>
                <w:sz w:val="18"/>
                <w:szCs w:val="18"/>
              </w:rPr>
            </w:pPr>
            <w:r>
              <w:rPr>
                <w:rFonts w:ascii="Times New Roman"/>
                <w:sz w:val="18"/>
              </w:rPr>
              <w:t>28.7</w:t>
            </w:r>
          </w:p>
          <w:p>
            <w:pPr>
              <w:pStyle w:val="TableParagraph"/>
              <w:spacing w:line="240" w:lineRule="auto" w:before="105"/>
              <w:ind w:left="380" w:right="0"/>
              <w:jc w:val="left"/>
              <w:rPr>
                <w:rFonts w:ascii="Times New Roman" w:hAnsi="Times New Roman" w:cs="Times New Roman" w:eastAsia="Times New Roman" w:hint="default"/>
                <w:sz w:val="18"/>
                <w:szCs w:val="18"/>
              </w:rPr>
            </w:pPr>
            <w:r>
              <w:rPr>
                <w:rFonts w:ascii="Times New Roman"/>
                <w:sz w:val="18"/>
              </w:rPr>
              <w:t>6</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56" w:right="0"/>
              <w:jc w:val="left"/>
              <w:rPr>
                <w:rFonts w:ascii="Times New Roman" w:hAnsi="Times New Roman" w:cs="Times New Roman" w:eastAsia="Times New Roman" w:hint="default"/>
                <w:sz w:val="18"/>
                <w:szCs w:val="18"/>
              </w:rPr>
            </w:pPr>
            <w:r>
              <w:rPr>
                <w:rFonts w:ascii="Times New Roman"/>
                <w:sz w:val="18"/>
              </w:rPr>
              <w:t>1,35</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8,86</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8.21</w:t>
            </w: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2" w:right="0"/>
              <w:jc w:val="center"/>
              <w:rPr>
                <w:rFonts w:ascii="Times New Roman" w:hAnsi="Times New Roman" w:cs="Times New Roman" w:eastAsia="Times New Roman" w:hint="default"/>
                <w:sz w:val="18"/>
                <w:szCs w:val="18"/>
              </w:rPr>
            </w:pPr>
            <w:r>
              <w:rPr>
                <w:rFonts w:ascii="Times New Roman"/>
                <w:sz w:val="18"/>
              </w:rPr>
              <w:t>207,</w:t>
            </w:r>
          </w:p>
          <w:p>
            <w:pPr>
              <w:pStyle w:val="TableParagraph"/>
              <w:spacing w:line="240" w:lineRule="auto" w:before="105"/>
              <w:ind w:left="52" w:right="0"/>
              <w:jc w:val="center"/>
              <w:rPr>
                <w:rFonts w:ascii="Times New Roman" w:hAnsi="Times New Roman" w:cs="Times New Roman" w:eastAsia="Times New Roman" w:hint="default"/>
                <w:sz w:val="18"/>
                <w:szCs w:val="18"/>
              </w:rPr>
            </w:pPr>
            <w:r>
              <w:rPr>
                <w:rFonts w:ascii="Times New Roman"/>
                <w:sz w:val="18"/>
              </w:rPr>
              <w:t>521,</w:t>
            </w:r>
          </w:p>
          <w:p>
            <w:pPr>
              <w:pStyle w:val="TableParagraph"/>
              <w:spacing w:line="240" w:lineRule="auto" w:before="105"/>
              <w:ind w:left="52" w:right="0"/>
              <w:jc w:val="center"/>
              <w:rPr>
                <w:rFonts w:ascii="Times New Roman" w:hAnsi="Times New Roman" w:cs="Times New Roman" w:eastAsia="Times New Roman" w:hint="default"/>
                <w:sz w:val="18"/>
                <w:szCs w:val="18"/>
              </w:rPr>
            </w:pPr>
            <w:r>
              <w:rPr>
                <w:rFonts w:ascii="Times New Roman"/>
                <w:sz w:val="18"/>
              </w:rPr>
              <w:t>352.</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12</w:t>
            </w: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2" w:right="0"/>
              <w:jc w:val="center"/>
              <w:rPr>
                <w:rFonts w:ascii="Times New Roman" w:hAnsi="Times New Roman" w:cs="Times New Roman" w:eastAsia="Times New Roman" w:hint="default"/>
                <w:sz w:val="18"/>
                <w:szCs w:val="18"/>
              </w:rPr>
            </w:pPr>
            <w:r>
              <w:rPr>
                <w:rFonts w:ascii="Times New Roman"/>
                <w:sz w:val="18"/>
              </w:rPr>
              <w:t>945,</w:t>
            </w:r>
          </w:p>
          <w:p>
            <w:pPr>
              <w:pStyle w:val="TableParagraph"/>
              <w:spacing w:line="240" w:lineRule="auto" w:before="105"/>
              <w:ind w:left="52" w:right="0"/>
              <w:jc w:val="center"/>
              <w:rPr>
                <w:rFonts w:ascii="Times New Roman" w:hAnsi="Times New Roman" w:cs="Times New Roman" w:eastAsia="Times New Roman" w:hint="default"/>
                <w:sz w:val="18"/>
                <w:szCs w:val="18"/>
              </w:rPr>
            </w:pPr>
            <w:r>
              <w:rPr>
                <w:rFonts w:ascii="Times New Roman"/>
                <w:sz w:val="18"/>
              </w:rPr>
              <w:t>021,</w:t>
            </w:r>
          </w:p>
          <w:p>
            <w:pPr>
              <w:pStyle w:val="TableParagraph"/>
              <w:spacing w:line="240" w:lineRule="auto" w:before="105"/>
              <w:ind w:left="52" w:right="0"/>
              <w:jc w:val="center"/>
              <w:rPr>
                <w:rFonts w:ascii="Times New Roman" w:hAnsi="Times New Roman" w:cs="Times New Roman" w:eastAsia="Times New Roman" w:hint="default"/>
                <w:sz w:val="18"/>
                <w:szCs w:val="18"/>
              </w:rPr>
            </w:pPr>
            <w:r>
              <w:rPr>
                <w:rFonts w:ascii="Times New Roman"/>
                <w:sz w:val="18"/>
              </w:rPr>
              <w:t>264.</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19</w:t>
            </w: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56" w:right="0"/>
              <w:jc w:val="left"/>
              <w:rPr>
                <w:rFonts w:ascii="Times New Roman" w:hAnsi="Times New Roman" w:cs="Times New Roman" w:eastAsia="Times New Roman" w:hint="default"/>
                <w:sz w:val="18"/>
                <w:szCs w:val="18"/>
              </w:rPr>
            </w:pPr>
            <w:r>
              <w:rPr>
                <w:rFonts w:ascii="Times New Roman"/>
                <w:sz w:val="18"/>
              </w:rPr>
              <w:t>1,89</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4,41</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9,95</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6.57</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55" w:right="0"/>
              <w:jc w:val="left"/>
              <w:rPr>
                <w:rFonts w:ascii="Times New Roman" w:hAnsi="Times New Roman" w:cs="Times New Roman" w:eastAsia="Times New Roman" w:hint="default"/>
                <w:sz w:val="18"/>
                <w:szCs w:val="18"/>
              </w:rPr>
            </w:pPr>
            <w:r>
              <w:rPr>
                <w:rFonts w:ascii="Times New Roman"/>
                <w:sz w:val="18"/>
              </w:rPr>
              <w:t>88,7</w:t>
            </w:r>
          </w:p>
          <w:p>
            <w:pPr>
              <w:pStyle w:val="TableParagraph"/>
              <w:spacing w:line="240" w:lineRule="auto" w:before="105"/>
              <w:ind w:left="155" w:right="0"/>
              <w:jc w:val="left"/>
              <w:rPr>
                <w:rFonts w:ascii="Times New Roman" w:hAnsi="Times New Roman" w:cs="Times New Roman" w:eastAsia="Times New Roman" w:hint="default"/>
                <w:sz w:val="18"/>
                <w:szCs w:val="18"/>
              </w:rPr>
            </w:pPr>
            <w:r>
              <w:rPr>
                <w:rFonts w:ascii="Times New Roman"/>
                <w:sz w:val="18"/>
              </w:rPr>
              <w:t>15,7</w:t>
            </w:r>
          </w:p>
          <w:p>
            <w:pPr>
              <w:pStyle w:val="TableParagraph"/>
              <w:spacing w:line="240" w:lineRule="auto" w:before="105"/>
              <w:ind w:left="155" w:right="0"/>
              <w:jc w:val="left"/>
              <w:rPr>
                <w:rFonts w:ascii="Times New Roman" w:hAnsi="Times New Roman" w:cs="Times New Roman" w:eastAsia="Times New Roman" w:hint="default"/>
                <w:sz w:val="18"/>
                <w:szCs w:val="18"/>
              </w:rPr>
            </w:pPr>
            <w:r>
              <w:rPr>
                <w:rFonts w:ascii="Times New Roman"/>
                <w:sz w:val="18"/>
              </w:rPr>
              <w:t>50.9</w:t>
            </w:r>
          </w:p>
          <w:p>
            <w:pPr>
              <w:pStyle w:val="TableParagraph"/>
              <w:spacing w:line="240" w:lineRule="auto" w:before="105"/>
              <w:ind w:left="380" w:right="0"/>
              <w:jc w:val="left"/>
              <w:rPr>
                <w:rFonts w:ascii="Times New Roman" w:hAnsi="Times New Roman" w:cs="Times New Roman" w:eastAsia="Times New Roman" w:hint="default"/>
                <w:sz w:val="18"/>
                <w:szCs w:val="18"/>
              </w:rPr>
            </w:pPr>
            <w:r>
              <w:rPr>
                <w:rFonts w:ascii="Times New Roman"/>
                <w:sz w:val="18"/>
              </w:rPr>
              <w:t>0</w:t>
            </w: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50" w:right="0"/>
              <w:jc w:val="left"/>
              <w:rPr>
                <w:rFonts w:ascii="Times New Roman" w:hAnsi="Times New Roman" w:cs="Times New Roman" w:eastAsia="Times New Roman" w:hint="default"/>
                <w:sz w:val="18"/>
                <w:szCs w:val="18"/>
              </w:rPr>
            </w:pPr>
            <w:r>
              <w:rPr>
                <w:rFonts w:ascii="Times New Roman"/>
                <w:sz w:val="18"/>
              </w:rPr>
              <w:t>1,98</w:t>
            </w:r>
          </w:p>
          <w:p>
            <w:pPr>
              <w:pStyle w:val="TableParagraph"/>
              <w:spacing w:line="240" w:lineRule="auto" w:before="105"/>
              <w:ind w:left="150" w:right="0"/>
              <w:jc w:val="left"/>
              <w:rPr>
                <w:rFonts w:ascii="Times New Roman" w:hAnsi="Times New Roman" w:cs="Times New Roman" w:eastAsia="Times New Roman" w:hint="default"/>
                <w:sz w:val="18"/>
                <w:szCs w:val="18"/>
              </w:rPr>
            </w:pPr>
            <w:r>
              <w:rPr>
                <w:rFonts w:ascii="Times New Roman"/>
                <w:sz w:val="18"/>
              </w:rPr>
              <w:t>3,13</w:t>
            </w:r>
          </w:p>
          <w:p>
            <w:pPr>
              <w:pStyle w:val="TableParagraph"/>
              <w:spacing w:line="240" w:lineRule="auto" w:before="105"/>
              <w:ind w:left="150" w:right="0"/>
              <w:jc w:val="left"/>
              <w:rPr>
                <w:rFonts w:ascii="Times New Roman" w:hAnsi="Times New Roman" w:cs="Times New Roman" w:eastAsia="Times New Roman" w:hint="default"/>
                <w:sz w:val="18"/>
                <w:szCs w:val="18"/>
              </w:rPr>
            </w:pPr>
            <w:r>
              <w:rPr>
                <w:rFonts w:ascii="Times New Roman"/>
                <w:sz w:val="18"/>
              </w:rPr>
              <w:t>5,70</w:t>
            </w:r>
          </w:p>
          <w:p>
            <w:pPr>
              <w:pStyle w:val="TableParagraph"/>
              <w:spacing w:line="240" w:lineRule="auto" w:before="105"/>
              <w:ind w:left="150" w:right="0"/>
              <w:jc w:val="left"/>
              <w:rPr>
                <w:rFonts w:ascii="Times New Roman" w:hAnsi="Times New Roman" w:cs="Times New Roman" w:eastAsia="Times New Roman" w:hint="default"/>
                <w:sz w:val="18"/>
                <w:szCs w:val="18"/>
              </w:rPr>
            </w:pPr>
            <w:r>
              <w:rPr>
                <w:rFonts w:ascii="Times New Roman"/>
                <w:sz w:val="18"/>
              </w:rPr>
              <w:t>7.47</w:t>
            </w:r>
          </w:p>
        </w:tc>
      </w:tr>
      <w:tr>
        <w:trPr>
          <w:trHeight w:val="1650"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316" w:lineRule="auto"/>
              <w:ind w:left="102" w:right="101"/>
              <w:jc w:val="both"/>
              <w:rPr>
                <w:rFonts w:ascii="宋体" w:hAnsi="宋体" w:cs="宋体" w:eastAsia="宋体" w:hint="default"/>
                <w:sz w:val="18"/>
                <w:szCs w:val="18"/>
              </w:rPr>
            </w:pPr>
            <w:r>
              <w:rPr>
                <w:rFonts w:ascii="宋体" w:hAnsi="宋体" w:cs="宋体" w:eastAsia="宋体" w:hint="default"/>
                <w:spacing w:val="-8"/>
                <w:sz w:val="18"/>
                <w:szCs w:val="18"/>
              </w:rPr>
              <w:t>三、本期增减</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8"/>
                <w:sz w:val="18"/>
                <w:szCs w:val="18"/>
              </w:rPr>
              <w:t>变动金额（减</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8"/>
                <w:sz w:val="18"/>
                <w:szCs w:val="18"/>
              </w:rPr>
              <w:t>少以“－”号</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填列）</w:t>
            </w:r>
          </w:p>
        </w:tc>
        <w:tc>
          <w:tcPr>
            <w:tcW w:w="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1" w:right="0"/>
              <w:jc w:val="left"/>
              <w:rPr>
                <w:rFonts w:ascii="Times New Roman" w:hAnsi="Times New Roman" w:cs="Times New Roman" w:eastAsia="Times New Roman" w:hint="default"/>
                <w:sz w:val="18"/>
                <w:szCs w:val="18"/>
              </w:rPr>
            </w:pPr>
            <w:r>
              <w:rPr>
                <w:rFonts w:ascii="Times New Roman"/>
                <w:sz w:val="18"/>
              </w:rPr>
              <w:t>-15</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,10</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7,4</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46.</w:t>
            </w:r>
          </w:p>
          <w:p>
            <w:pPr>
              <w:pStyle w:val="TableParagraph"/>
              <w:spacing w:line="240" w:lineRule="auto" w:before="105"/>
              <w:ind w:left="199" w:right="0"/>
              <w:jc w:val="left"/>
              <w:rPr>
                <w:rFonts w:ascii="Times New Roman" w:hAnsi="Times New Roman" w:cs="Times New Roman" w:eastAsia="Times New Roman" w:hint="default"/>
                <w:sz w:val="18"/>
                <w:szCs w:val="18"/>
              </w:rPr>
            </w:pPr>
            <w:r>
              <w:rPr>
                <w:rFonts w:ascii="Times New Roman"/>
                <w:sz w:val="18"/>
              </w:rPr>
              <w:t>00</w:t>
            </w: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83" w:right="0"/>
              <w:jc w:val="center"/>
              <w:rPr>
                <w:rFonts w:ascii="Times New Roman" w:hAnsi="Times New Roman" w:cs="Times New Roman" w:eastAsia="Times New Roman" w:hint="default"/>
                <w:sz w:val="18"/>
                <w:szCs w:val="18"/>
              </w:rPr>
            </w:pPr>
            <w:r>
              <w:rPr>
                <w:rFonts w:ascii="Times New Roman"/>
                <w:sz w:val="18"/>
              </w:rPr>
              <w:t>-73,</w:t>
            </w:r>
          </w:p>
          <w:p>
            <w:pPr>
              <w:pStyle w:val="TableParagraph"/>
              <w:spacing w:line="240" w:lineRule="auto" w:before="105"/>
              <w:ind w:left="51" w:right="0"/>
              <w:jc w:val="center"/>
              <w:rPr>
                <w:rFonts w:ascii="Times New Roman" w:hAnsi="Times New Roman" w:cs="Times New Roman" w:eastAsia="Times New Roman" w:hint="default"/>
                <w:sz w:val="18"/>
                <w:szCs w:val="18"/>
              </w:rPr>
            </w:pPr>
            <w:r>
              <w:rPr>
                <w:rFonts w:ascii="Times New Roman"/>
                <w:sz w:val="18"/>
              </w:rPr>
              <w:t>666,</w:t>
            </w:r>
          </w:p>
          <w:p>
            <w:pPr>
              <w:pStyle w:val="TableParagraph"/>
              <w:spacing w:line="240" w:lineRule="auto" w:before="105"/>
              <w:ind w:left="51" w:right="0"/>
              <w:jc w:val="center"/>
              <w:rPr>
                <w:rFonts w:ascii="Times New Roman" w:hAnsi="Times New Roman" w:cs="Times New Roman" w:eastAsia="Times New Roman" w:hint="default"/>
                <w:sz w:val="18"/>
                <w:szCs w:val="18"/>
              </w:rPr>
            </w:pPr>
            <w:r>
              <w:rPr>
                <w:rFonts w:ascii="Times New Roman"/>
                <w:sz w:val="18"/>
              </w:rPr>
              <w:t>908.</w:t>
            </w:r>
          </w:p>
          <w:p>
            <w:pPr>
              <w:pStyle w:val="TableParagraph"/>
              <w:spacing w:line="240" w:lineRule="auto" w:before="105"/>
              <w:ind w:left="186" w:right="0"/>
              <w:jc w:val="center"/>
              <w:rPr>
                <w:rFonts w:ascii="Times New Roman" w:hAnsi="Times New Roman" w:cs="Times New Roman" w:eastAsia="Times New Roman" w:hint="default"/>
                <w:sz w:val="18"/>
                <w:szCs w:val="18"/>
              </w:rPr>
            </w:pPr>
            <w:r>
              <w:rPr>
                <w:rFonts w:ascii="Times New Roman"/>
                <w:sz w:val="18"/>
              </w:rPr>
              <w:t>74</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84" w:right="0"/>
              <w:jc w:val="center"/>
              <w:rPr>
                <w:rFonts w:ascii="Times New Roman" w:hAnsi="Times New Roman" w:cs="Times New Roman" w:eastAsia="Times New Roman" w:hint="default"/>
                <w:sz w:val="18"/>
                <w:szCs w:val="18"/>
              </w:rPr>
            </w:pPr>
            <w:r>
              <w:rPr>
                <w:rFonts w:ascii="Times New Roman"/>
                <w:sz w:val="18"/>
              </w:rPr>
              <w:t>-46,</w:t>
            </w:r>
          </w:p>
          <w:p>
            <w:pPr>
              <w:pStyle w:val="TableParagraph"/>
              <w:spacing w:line="240" w:lineRule="auto" w:before="105"/>
              <w:ind w:left="52" w:right="0"/>
              <w:jc w:val="center"/>
              <w:rPr>
                <w:rFonts w:ascii="Times New Roman" w:hAnsi="Times New Roman" w:cs="Times New Roman" w:eastAsia="Times New Roman" w:hint="default"/>
                <w:sz w:val="18"/>
                <w:szCs w:val="18"/>
              </w:rPr>
            </w:pPr>
            <w:r>
              <w:rPr>
                <w:rFonts w:ascii="Times New Roman"/>
                <w:sz w:val="18"/>
              </w:rPr>
              <w:t>010,</w:t>
            </w:r>
          </w:p>
          <w:p>
            <w:pPr>
              <w:pStyle w:val="TableParagraph"/>
              <w:spacing w:line="240" w:lineRule="auto" w:before="105"/>
              <w:ind w:left="52" w:right="0"/>
              <w:jc w:val="center"/>
              <w:rPr>
                <w:rFonts w:ascii="Times New Roman" w:hAnsi="Times New Roman" w:cs="Times New Roman" w:eastAsia="Times New Roman" w:hint="default"/>
                <w:sz w:val="18"/>
                <w:szCs w:val="18"/>
              </w:rPr>
            </w:pPr>
            <w:r>
              <w:rPr>
                <w:rFonts w:ascii="Times New Roman"/>
                <w:sz w:val="18"/>
              </w:rPr>
              <w:t>428.</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76</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52" w:right="0"/>
              <w:jc w:val="center"/>
              <w:rPr>
                <w:rFonts w:ascii="Times New Roman" w:hAnsi="Times New Roman" w:cs="Times New Roman" w:eastAsia="Times New Roman" w:hint="default"/>
                <w:sz w:val="18"/>
                <w:szCs w:val="18"/>
              </w:rPr>
            </w:pPr>
            <w:r>
              <w:rPr>
                <w:rFonts w:ascii="Times New Roman"/>
                <w:sz w:val="18"/>
              </w:rPr>
              <w:t>109,</w:t>
            </w:r>
          </w:p>
          <w:p>
            <w:pPr>
              <w:pStyle w:val="TableParagraph"/>
              <w:spacing w:line="240" w:lineRule="auto" w:before="105"/>
              <w:ind w:left="52" w:right="0"/>
              <w:jc w:val="center"/>
              <w:rPr>
                <w:rFonts w:ascii="Times New Roman" w:hAnsi="Times New Roman" w:cs="Times New Roman" w:eastAsia="Times New Roman" w:hint="default"/>
                <w:sz w:val="18"/>
                <w:szCs w:val="18"/>
              </w:rPr>
            </w:pPr>
            <w:r>
              <w:rPr>
                <w:rFonts w:ascii="Times New Roman"/>
                <w:sz w:val="18"/>
              </w:rPr>
              <w:t>733.</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04</w:t>
            </w: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38" w:right="0"/>
              <w:jc w:val="center"/>
              <w:rPr>
                <w:rFonts w:ascii="Times New Roman" w:hAnsi="Times New Roman" w:cs="Times New Roman" w:eastAsia="Times New Roman" w:hint="default"/>
                <w:sz w:val="18"/>
                <w:szCs w:val="18"/>
              </w:rPr>
            </w:pPr>
            <w:r>
              <w:rPr>
                <w:rFonts w:ascii="Times New Roman"/>
                <w:sz w:val="18"/>
              </w:rPr>
              <w:t>-510</w:t>
            </w:r>
          </w:p>
          <w:p>
            <w:pPr>
              <w:pStyle w:val="TableParagraph"/>
              <w:spacing w:line="240" w:lineRule="auto" w:before="105"/>
              <w:ind w:left="7" w:right="0"/>
              <w:jc w:val="center"/>
              <w:rPr>
                <w:rFonts w:ascii="Times New Roman" w:hAnsi="Times New Roman" w:cs="Times New Roman" w:eastAsia="Times New Roman" w:hint="default"/>
                <w:sz w:val="18"/>
                <w:szCs w:val="18"/>
              </w:rPr>
            </w:pPr>
            <w:r>
              <w:rPr>
                <w:rFonts w:ascii="Times New Roman"/>
                <w:sz w:val="18"/>
              </w:rPr>
              <w:t>,042.</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22</w:t>
            </w: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56" w:right="0"/>
              <w:jc w:val="left"/>
              <w:rPr>
                <w:rFonts w:ascii="Times New Roman" w:hAnsi="Times New Roman" w:cs="Times New Roman" w:eastAsia="Times New Roman" w:hint="default"/>
                <w:sz w:val="18"/>
                <w:szCs w:val="18"/>
              </w:rPr>
            </w:pPr>
            <w:r>
              <w:rPr>
                <w:rFonts w:ascii="Times New Roman"/>
                <w:sz w:val="18"/>
              </w:rPr>
              <w:t>77,0</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34,0</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87.5</w:t>
            </w:r>
          </w:p>
          <w:p>
            <w:pPr>
              <w:pStyle w:val="TableParagraph"/>
              <w:spacing w:line="240" w:lineRule="auto" w:before="105"/>
              <w:ind w:left="381" w:right="0"/>
              <w:jc w:val="left"/>
              <w:rPr>
                <w:rFonts w:ascii="Times New Roman" w:hAnsi="Times New Roman" w:cs="Times New Roman" w:eastAsia="Times New Roman" w:hint="default"/>
                <w:sz w:val="18"/>
                <w:szCs w:val="18"/>
              </w:rPr>
            </w:pPr>
            <w:r>
              <w:rPr>
                <w:rFonts w:ascii="Times New Roman"/>
                <w:sz w:val="18"/>
              </w:rPr>
              <w:t>7</w:t>
            </w: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56" w:right="0"/>
              <w:jc w:val="left"/>
              <w:rPr>
                <w:rFonts w:ascii="Times New Roman" w:hAnsi="Times New Roman" w:cs="Times New Roman" w:eastAsia="Times New Roman" w:hint="default"/>
                <w:sz w:val="18"/>
                <w:szCs w:val="18"/>
              </w:rPr>
            </w:pPr>
            <w:r>
              <w:rPr>
                <w:rFonts w:ascii="Times New Roman"/>
                <w:sz w:val="18"/>
              </w:rPr>
              <w:t>33,8</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69,8</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52.4</w:t>
            </w:r>
          </w:p>
          <w:p>
            <w:pPr>
              <w:pStyle w:val="TableParagraph"/>
              <w:spacing w:line="240" w:lineRule="auto" w:before="105"/>
              <w:ind w:left="381" w:right="0"/>
              <w:jc w:val="left"/>
              <w:rPr>
                <w:rFonts w:ascii="Times New Roman" w:hAnsi="Times New Roman" w:cs="Times New Roman" w:eastAsia="Times New Roman" w:hint="default"/>
                <w:sz w:val="18"/>
                <w:szCs w:val="18"/>
              </w:rPr>
            </w:pPr>
            <w:r>
              <w:rPr>
                <w:rFonts w:ascii="Times New Roman"/>
                <w:sz w:val="18"/>
              </w:rPr>
              <w:t>1</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52" w:right="0"/>
              <w:jc w:val="center"/>
              <w:rPr>
                <w:rFonts w:ascii="Times New Roman" w:hAnsi="Times New Roman" w:cs="Times New Roman" w:eastAsia="Times New Roman" w:hint="default"/>
                <w:sz w:val="18"/>
                <w:szCs w:val="18"/>
              </w:rPr>
            </w:pPr>
            <w:r>
              <w:rPr>
                <w:rFonts w:ascii="Times New Roman"/>
                <w:sz w:val="18"/>
              </w:rPr>
              <w:t>263,</w:t>
            </w:r>
          </w:p>
          <w:p>
            <w:pPr>
              <w:pStyle w:val="TableParagraph"/>
              <w:spacing w:line="240" w:lineRule="auto" w:before="105"/>
              <w:ind w:left="52" w:right="0"/>
              <w:jc w:val="center"/>
              <w:rPr>
                <w:rFonts w:ascii="Times New Roman" w:hAnsi="Times New Roman" w:cs="Times New Roman" w:eastAsia="Times New Roman" w:hint="default"/>
                <w:sz w:val="18"/>
                <w:szCs w:val="18"/>
              </w:rPr>
            </w:pPr>
            <w:r>
              <w:rPr>
                <w:rFonts w:ascii="Times New Roman"/>
                <w:sz w:val="18"/>
              </w:rPr>
              <w:t>923.</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84</w:t>
            </w: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50" w:right="0"/>
              <w:jc w:val="left"/>
              <w:rPr>
                <w:rFonts w:ascii="Times New Roman" w:hAnsi="Times New Roman" w:cs="Times New Roman" w:eastAsia="Times New Roman" w:hint="default"/>
                <w:sz w:val="18"/>
                <w:szCs w:val="18"/>
              </w:rPr>
            </w:pPr>
            <w:r>
              <w:rPr>
                <w:rFonts w:ascii="Times New Roman"/>
                <w:sz w:val="18"/>
              </w:rPr>
              <w:t>34,1</w:t>
            </w:r>
          </w:p>
          <w:p>
            <w:pPr>
              <w:pStyle w:val="TableParagraph"/>
              <w:spacing w:line="240" w:lineRule="auto" w:before="105"/>
              <w:ind w:left="150" w:right="0"/>
              <w:jc w:val="left"/>
              <w:rPr>
                <w:rFonts w:ascii="Times New Roman" w:hAnsi="Times New Roman" w:cs="Times New Roman" w:eastAsia="Times New Roman" w:hint="default"/>
                <w:sz w:val="18"/>
                <w:szCs w:val="18"/>
              </w:rPr>
            </w:pPr>
            <w:r>
              <w:rPr>
                <w:rFonts w:ascii="Times New Roman"/>
                <w:sz w:val="18"/>
              </w:rPr>
              <w:t>33,7</w:t>
            </w:r>
          </w:p>
          <w:p>
            <w:pPr>
              <w:pStyle w:val="TableParagraph"/>
              <w:spacing w:line="240" w:lineRule="auto" w:before="105"/>
              <w:ind w:left="150" w:right="0"/>
              <w:jc w:val="left"/>
              <w:rPr>
                <w:rFonts w:ascii="Times New Roman" w:hAnsi="Times New Roman" w:cs="Times New Roman" w:eastAsia="Times New Roman" w:hint="default"/>
                <w:sz w:val="18"/>
                <w:szCs w:val="18"/>
              </w:rPr>
            </w:pPr>
            <w:r>
              <w:rPr>
                <w:rFonts w:ascii="Times New Roman"/>
                <w:sz w:val="18"/>
              </w:rPr>
              <w:t>76.2</w:t>
            </w:r>
          </w:p>
          <w:p>
            <w:pPr>
              <w:pStyle w:val="TableParagraph"/>
              <w:spacing w:line="240" w:lineRule="auto" w:before="105"/>
              <w:ind w:left="375" w:right="0"/>
              <w:jc w:val="left"/>
              <w:rPr>
                <w:rFonts w:ascii="Times New Roman" w:hAnsi="Times New Roman" w:cs="Times New Roman" w:eastAsia="Times New Roman" w:hint="default"/>
                <w:sz w:val="18"/>
                <w:szCs w:val="18"/>
              </w:rPr>
            </w:pPr>
            <w:r>
              <w:rPr>
                <w:rFonts w:ascii="Times New Roman"/>
                <w:sz w:val="18"/>
              </w:rPr>
              <w:t>5</w:t>
            </w:r>
          </w:p>
        </w:tc>
      </w:tr>
      <w:tr>
        <w:trPr>
          <w:trHeight w:val="1338"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4"/>
              <w:ind w:left="102" w:right="101"/>
              <w:jc w:val="left"/>
              <w:rPr>
                <w:rFonts w:ascii="宋体" w:hAnsi="宋体" w:cs="宋体" w:eastAsia="宋体" w:hint="default"/>
                <w:sz w:val="18"/>
                <w:szCs w:val="18"/>
              </w:rPr>
            </w:pPr>
            <w:r>
              <w:rPr>
                <w:rFonts w:ascii="宋体" w:hAnsi="宋体" w:cs="宋体" w:eastAsia="宋体" w:hint="default"/>
                <w:spacing w:val="-8"/>
                <w:sz w:val="18"/>
                <w:szCs w:val="18"/>
              </w:rPr>
              <w:t>（一）综合收</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益总额</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2" w:right="0"/>
              <w:jc w:val="center"/>
              <w:rPr>
                <w:rFonts w:ascii="Times New Roman" w:hAnsi="Times New Roman" w:cs="Times New Roman" w:eastAsia="Times New Roman" w:hint="default"/>
                <w:sz w:val="18"/>
                <w:szCs w:val="18"/>
              </w:rPr>
            </w:pPr>
            <w:r>
              <w:rPr>
                <w:rFonts w:ascii="Times New Roman"/>
                <w:sz w:val="18"/>
              </w:rPr>
              <w:t>109,</w:t>
            </w:r>
          </w:p>
          <w:p>
            <w:pPr>
              <w:pStyle w:val="TableParagraph"/>
              <w:spacing w:line="240" w:lineRule="auto" w:before="105"/>
              <w:ind w:left="52" w:right="0"/>
              <w:jc w:val="center"/>
              <w:rPr>
                <w:rFonts w:ascii="Times New Roman" w:hAnsi="Times New Roman" w:cs="Times New Roman" w:eastAsia="Times New Roman" w:hint="default"/>
                <w:sz w:val="18"/>
                <w:szCs w:val="18"/>
              </w:rPr>
            </w:pPr>
            <w:r>
              <w:rPr>
                <w:rFonts w:ascii="Times New Roman"/>
                <w:sz w:val="18"/>
              </w:rPr>
              <w:t>733.</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04</w:t>
            </w: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6" w:right="0"/>
              <w:jc w:val="left"/>
              <w:rPr>
                <w:rFonts w:ascii="Times New Roman" w:hAnsi="Times New Roman" w:cs="Times New Roman" w:eastAsia="Times New Roman" w:hint="default"/>
                <w:sz w:val="18"/>
                <w:szCs w:val="18"/>
              </w:rPr>
            </w:pPr>
            <w:r>
              <w:rPr>
                <w:rFonts w:ascii="Times New Roman"/>
                <w:sz w:val="18"/>
              </w:rPr>
              <w:t>86,7</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69,1</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93.4</w:t>
            </w:r>
          </w:p>
          <w:p>
            <w:pPr>
              <w:pStyle w:val="TableParagraph"/>
              <w:spacing w:line="240" w:lineRule="auto" w:before="105"/>
              <w:ind w:left="381" w:right="0"/>
              <w:jc w:val="left"/>
              <w:rPr>
                <w:rFonts w:ascii="Times New Roman" w:hAnsi="Times New Roman" w:cs="Times New Roman" w:eastAsia="Times New Roman" w:hint="default"/>
                <w:sz w:val="18"/>
                <w:szCs w:val="18"/>
              </w:rPr>
            </w:pPr>
            <w:r>
              <w:rPr>
                <w:rFonts w:ascii="Times New Roman"/>
                <w:sz w:val="18"/>
              </w:rPr>
              <w:t>0</w:t>
            </w: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6" w:right="0"/>
              <w:jc w:val="left"/>
              <w:rPr>
                <w:rFonts w:ascii="Times New Roman" w:hAnsi="Times New Roman" w:cs="Times New Roman" w:eastAsia="Times New Roman" w:hint="default"/>
                <w:sz w:val="18"/>
                <w:szCs w:val="18"/>
              </w:rPr>
            </w:pPr>
            <w:r>
              <w:rPr>
                <w:rFonts w:ascii="Times New Roman"/>
                <w:sz w:val="18"/>
              </w:rPr>
              <w:t>86,8</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78,9</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26.4</w:t>
            </w:r>
          </w:p>
          <w:p>
            <w:pPr>
              <w:pStyle w:val="TableParagraph"/>
              <w:spacing w:line="240" w:lineRule="auto" w:before="105"/>
              <w:ind w:left="381" w:right="0"/>
              <w:jc w:val="left"/>
              <w:rPr>
                <w:rFonts w:ascii="Times New Roman" w:hAnsi="Times New Roman" w:cs="Times New Roman" w:eastAsia="Times New Roman" w:hint="default"/>
                <w:sz w:val="18"/>
                <w:szCs w:val="18"/>
              </w:rPr>
            </w:pPr>
            <w:r>
              <w:rPr>
                <w:rFonts w:ascii="Times New Roman"/>
                <w:sz w:val="18"/>
              </w:rPr>
              <w:t>4</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2" w:right="0"/>
              <w:jc w:val="center"/>
              <w:rPr>
                <w:rFonts w:ascii="Times New Roman" w:hAnsi="Times New Roman" w:cs="Times New Roman" w:eastAsia="Times New Roman" w:hint="default"/>
                <w:sz w:val="18"/>
                <w:szCs w:val="18"/>
              </w:rPr>
            </w:pPr>
            <w:r>
              <w:rPr>
                <w:rFonts w:ascii="Times New Roman"/>
                <w:sz w:val="18"/>
              </w:rPr>
              <w:t>263,</w:t>
            </w:r>
          </w:p>
          <w:p>
            <w:pPr>
              <w:pStyle w:val="TableParagraph"/>
              <w:spacing w:line="240" w:lineRule="auto" w:before="105"/>
              <w:ind w:left="52" w:right="0"/>
              <w:jc w:val="center"/>
              <w:rPr>
                <w:rFonts w:ascii="Times New Roman" w:hAnsi="Times New Roman" w:cs="Times New Roman" w:eastAsia="Times New Roman" w:hint="default"/>
                <w:sz w:val="18"/>
                <w:szCs w:val="18"/>
              </w:rPr>
            </w:pPr>
            <w:r>
              <w:rPr>
                <w:rFonts w:ascii="Times New Roman"/>
                <w:sz w:val="18"/>
              </w:rPr>
              <w:t>923.</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84</w:t>
            </w: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0" w:right="0"/>
              <w:jc w:val="left"/>
              <w:rPr>
                <w:rFonts w:ascii="Times New Roman" w:hAnsi="Times New Roman" w:cs="Times New Roman" w:eastAsia="Times New Roman" w:hint="default"/>
                <w:sz w:val="18"/>
                <w:szCs w:val="18"/>
              </w:rPr>
            </w:pPr>
            <w:r>
              <w:rPr>
                <w:rFonts w:ascii="Times New Roman"/>
                <w:sz w:val="18"/>
              </w:rPr>
              <w:t>87,1</w:t>
            </w:r>
          </w:p>
          <w:p>
            <w:pPr>
              <w:pStyle w:val="TableParagraph"/>
              <w:spacing w:line="240" w:lineRule="auto" w:before="105"/>
              <w:ind w:left="150" w:right="0"/>
              <w:jc w:val="left"/>
              <w:rPr>
                <w:rFonts w:ascii="Times New Roman" w:hAnsi="Times New Roman" w:cs="Times New Roman" w:eastAsia="Times New Roman" w:hint="default"/>
                <w:sz w:val="18"/>
                <w:szCs w:val="18"/>
              </w:rPr>
            </w:pPr>
            <w:r>
              <w:rPr>
                <w:rFonts w:ascii="Times New Roman"/>
                <w:sz w:val="18"/>
              </w:rPr>
              <w:t>42,8</w:t>
            </w:r>
          </w:p>
          <w:p>
            <w:pPr>
              <w:pStyle w:val="TableParagraph"/>
              <w:spacing w:line="240" w:lineRule="auto" w:before="105"/>
              <w:ind w:left="150" w:right="0"/>
              <w:jc w:val="left"/>
              <w:rPr>
                <w:rFonts w:ascii="Times New Roman" w:hAnsi="Times New Roman" w:cs="Times New Roman" w:eastAsia="Times New Roman" w:hint="default"/>
                <w:sz w:val="18"/>
                <w:szCs w:val="18"/>
              </w:rPr>
            </w:pPr>
            <w:r>
              <w:rPr>
                <w:rFonts w:ascii="Times New Roman"/>
                <w:sz w:val="18"/>
              </w:rPr>
              <w:t>50.2</w:t>
            </w:r>
          </w:p>
          <w:p>
            <w:pPr>
              <w:pStyle w:val="TableParagraph"/>
              <w:spacing w:line="240" w:lineRule="auto" w:before="105"/>
              <w:ind w:left="375" w:right="0"/>
              <w:jc w:val="left"/>
              <w:rPr>
                <w:rFonts w:ascii="Times New Roman" w:hAnsi="Times New Roman" w:cs="Times New Roman" w:eastAsia="Times New Roman" w:hint="default"/>
                <w:sz w:val="18"/>
                <w:szCs w:val="18"/>
              </w:rPr>
            </w:pPr>
            <w:r>
              <w:rPr>
                <w:rFonts w:ascii="Times New Roman"/>
                <w:sz w:val="18"/>
              </w:rPr>
              <w:t>8</w:t>
            </w:r>
          </w:p>
        </w:tc>
      </w:tr>
      <w:tr>
        <w:trPr>
          <w:trHeight w:val="1650"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4"/>
              <w:ind w:left="102" w:right="101"/>
              <w:jc w:val="left"/>
              <w:rPr>
                <w:rFonts w:ascii="宋体" w:hAnsi="宋体" w:cs="宋体" w:eastAsia="宋体" w:hint="default"/>
                <w:sz w:val="18"/>
                <w:szCs w:val="18"/>
              </w:rPr>
            </w:pPr>
            <w:r>
              <w:rPr>
                <w:rFonts w:ascii="宋体" w:hAnsi="宋体" w:cs="宋体" w:eastAsia="宋体" w:hint="default"/>
                <w:spacing w:val="-8"/>
                <w:sz w:val="18"/>
                <w:szCs w:val="18"/>
              </w:rPr>
              <w:t>（二）所有者</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投入和减少 资本</w:t>
            </w:r>
          </w:p>
        </w:tc>
        <w:tc>
          <w:tcPr>
            <w:tcW w:w="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1" w:right="0"/>
              <w:jc w:val="left"/>
              <w:rPr>
                <w:rFonts w:ascii="Times New Roman" w:hAnsi="Times New Roman" w:cs="Times New Roman" w:eastAsia="Times New Roman" w:hint="default"/>
                <w:sz w:val="18"/>
                <w:szCs w:val="18"/>
              </w:rPr>
            </w:pPr>
            <w:r>
              <w:rPr>
                <w:rFonts w:ascii="Times New Roman"/>
                <w:sz w:val="18"/>
              </w:rPr>
              <w:t>-15</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,10</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7,4</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46.</w:t>
            </w:r>
          </w:p>
          <w:p>
            <w:pPr>
              <w:pStyle w:val="TableParagraph"/>
              <w:spacing w:line="240" w:lineRule="auto" w:before="105"/>
              <w:ind w:left="199" w:right="0"/>
              <w:jc w:val="left"/>
              <w:rPr>
                <w:rFonts w:ascii="Times New Roman" w:hAnsi="Times New Roman" w:cs="Times New Roman" w:eastAsia="Times New Roman" w:hint="default"/>
                <w:sz w:val="18"/>
                <w:szCs w:val="18"/>
              </w:rPr>
            </w:pPr>
            <w:r>
              <w:rPr>
                <w:rFonts w:ascii="Times New Roman"/>
                <w:sz w:val="18"/>
              </w:rPr>
              <w:t>00</w:t>
            </w: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83" w:right="0"/>
              <w:jc w:val="center"/>
              <w:rPr>
                <w:rFonts w:ascii="Times New Roman" w:hAnsi="Times New Roman" w:cs="Times New Roman" w:eastAsia="Times New Roman" w:hint="default"/>
                <w:sz w:val="18"/>
                <w:szCs w:val="18"/>
              </w:rPr>
            </w:pPr>
            <w:r>
              <w:rPr>
                <w:rFonts w:ascii="Times New Roman"/>
                <w:sz w:val="18"/>
              </w:rPr>
              <w:t>-73,</w:t>
            </w:r>
          </w:p>
          <w:p>
            <w:pPr>
              <w:pStyle w:val="TableParagraph"/>
              <w:spacing w:line="240" w:lineRule="auto" w:before="105"/>
              <w:ind w:left="51" w:right="0"/>
              <w:jc w:val="center"/>
              <w:rPr>
                <w:rFonts w:ascii="Times New Roman" w:hAnsi="Times New Roman" w:cs="Times New Roman" w:eastAsia="Times New Roman" w:hint="default"/>
                <w:sz w:val="18"/>
                <w:szCs w:val="18"/>
              </w:rPr>
            </w:pPr>
            <w:r>
              <w:rPr>
                <w:rFonts w:ascii="Times New Roman"/>
                <w:sz w:val="18"/>
              </w:rPr>
              <w:t>666,</w:t>
            </w:r>
          </w:p>
          <w:p>
            <w:pPr>
              <w:pStyle w:val="TableParagraph"/>
              <w:spacing w:line="240" w:lineRule="auto" w:before="105"/>
              <w:ind w:left="51" w:right="0"/>
              <w:jc w:val="center"/>
              <w:rPr>
                <w:rFonts w:ascii="Times New Roman" w:hAnsi="Times New Roman" w:cs="Times New Roman" w:eastAsia="Times New Roman" w:hint="default"/>
                <w:sz w:val="18"/>
                <w:szCs w:val="18"/>
              </w:rPr>
            </w:pPr>
            <w:r>
              <w:rPr>
                <w:rFonts w:ascii="Times New Roman"/>
                <w:sz w:val="18"/>
              </w:rPr>
              <w:t>908.</w:t>
            </w:r>
          </w:p>
          <w:p>
            <w:pPr>
              <w:pStyle w:val="TableParagraph"/>
              <w:spacing w:line="240" w:lineRule="auto" w:before="105"/>
              <w:ind w:left="186" w:right="0"/>
              <w:jc w:val="center"/>
              <w:rPr>
                <w:rFonts w:ascii="Times New Roman" w:hAnsi="Times New Roman" w:cs="Times New Roman" w:eastAsia="Times New Roman" w:hint="default"/>
                <w:sz w:val="18"/>
                <w:szCs w:val="18"/>
              </w:rPr>
            </w:pPr>
            <w:r>
              <w:rPr>
                <w:rFonts w:ascii="Times New Roman"/>
                <w:sz w:val="18"/>
              </w:rPr>
              <w:t>74</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84" w:right="0"/>
              <w:jc w:val="center"/>
              <w:rPr>
                <w:rFonts w:ascii="Times New Roman" w:hAnsi="Times New Roman" w:cs="Times New Roman" w:eastAsia="Times New Roman" w:hint="default"/>
                <w:sz w:val="18"/>
                <w:szCs w:val="18"/>
              </w:rPr>
            </w:pPr>
            <w:r>
              <w:rPr>
                <w:rFonts w:ascii="Times New Roman"/>
                <w:sz w:val="18"/>
              </w:rPr>
              <w:t>-46,</w:t>
            </w:r>
          </w:p>
          <w:p>
            <w:pPr>
              <w:pStyle w:val="TableParagraph"/>
              <w:spacing w:line="240" w:lineRule="auto" w:before="105"/>
              <w:ind w:left="52" w:right="0"/>
              <w:jc w:val="center"/>
              <w:rPr>
                <w:rFonts w:ascii="Times New Roman" w:hAnsi="Times New Roman" w:cs="Times New Roman" w:eastAsia="Times New Roman" w:hint="default"/>
                <w:sz w:val="18"/>
                <w:szCs w:val="18"/>
              </w:rPr>
            </w:pPr>
            <w:r>
              <w:rPr>
                <w:rFonts w:ascii="Times New Roman"/>
                <w:sz w:val="18"/>
              </w:rPr>
              <w:t>010,</w:t>
            </w:r>
          </w:p>
          <w:p>
            <w:pPr>
              <w:pStyle w:val="TableParagraph"/>
              <w:spacing w:line="240" w:lineRule="auto" w:before="105"/>
              <w:ind w:left="52" w:right="0"/>
              <w:jc w:val="center"/>
              <w:rPr>
                <w:rFonts w:ascii="Times New Roman" w:hAnsi="Times New Roman" w:cs="Times New Roman" w:eastAsia="Times New Roman" w:hint="default"/>
                <w:sz w:val="18"/>
                <w:szCs w:val="18"/>
              </w:rPr>
            </w:pPr>
            <w:r>
              <w:rPr>
                <w:rFonts w:ascii="Times New Roman"/>
                <w:sz w:val="18"/>
              </w:rPr>
              <w:t>428.</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76</w:t>
            </w: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83" w:right="0"/>
              <w:jc w:val="center"/>
              <w:rPr>
                <w:rFonts w:ascii="Times New Roman" w:hAnsi="Times New Roman" w:cs="Times New Roman" w:eastAsia="Times New Roman" w:hint="default"/>
                <w:sz w:val="18"/>
                <w:szCs w:val="18"/>
              </w:rPr>
            </w:pPr>
            <w:r>
              <w:rPr>
                <w:rFonts w:ascii="Times New Roman"/>
                <w:sz w:val="18"/>
              </w:rPr>
              <w:t>-10,</w:t>
            </w:r>
          </w:p>
          <w:p>
            <w:pPr>
              <w:pStyle w:val="TableParagraph"/>
              <w:spacing w:line="240" w:lineRule="auto" w:before="105"/>
              <w:ind w:left="52" w:right="0"/>
              <w:jc w:val="center"/>
              <w:rPr>
                <w:rFonts w:ascii="Times New Roman" w:hAnsi="Times New Roman" w:cs="Times New Roman" w:eastAsia="Times New Roman" w:hint="default"/>
                <w:sz w:val="18"/>
                <w:szCs w:val="18"/>
              </w:rPr>
            </w:pPr>
            <w:r>
              <w:rPr>
                <w:rFonts w:ascii="Times New Roman"/>
                <w:sz w:val="18"/>
              </w:rPr>
              <w:t>245,</w:t>
            </w:r>
          </w:p>
          <w:p>
            <w:pPr>
              <w:pStyle w:val="TableParagraph"/>
              <w:spacing w:line="240" w:lineRule="auto" w:before="105"/>
              <w:ind w:left="52" w:right="0"/>
              <w:jc w:val="center"/>
              <w:rPr>
                <w:rFonts w:ascii="Times New Roman" w:hAnsi="Times New Roman" w:cs="Times New Roman" w:eastAsia="Times New Roman" w:hint="default"/>
                <w:sz w:val="18"/>
                <w:szCs w:val="18"/>
              </w:rPr>
            </w:pPr>
            <w:r>
              <w:rPr>
                <w:rFonts w:ascii="Times New Roman"/>
                <w:sz w:val="18"/>
              </w:rPr>
              <w:t>148.</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05</w:t>
            </w: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85" w:right="0"/>
              <w:jc w:val="center"/>
              <w:rPr>
                <w:rFonts w:ascii="Times New Roman" w:hAnsi="Times New Roman" w:cs="Times New Roman" w:eastAsia="Times New Roman" w:hint="default"/>
                <w:sz w:val="18"/>
                <w:szCs w:val="18"/>
              </w:rPr>
            </w:pPr>
            <w:r>
              <w:rPr>
                <w:rFonts w:ascii="Times New Roman"/>
                <w:sz w:val="18"/>
              </w:rPr>
              <w:t>-53,</w:t>
            </w:r>
          </w:p>
          <w:p>
            <w:pPr>
              <w:pStyle w:val="TableParagraph"/>
              <w:spacing w:line="240" w:lineRule="auto" w:before="105"/>
              <w:ind w:left="52" w:right="0"/>
              <w:jc w:val="center"/>
              <w:rPr>
                <w:rFonts w:ascii="Times New Roman" w:hAnsi="Times New Roman" w:cs="Times New Roman" w:eastAsia="Times New Roman" w:hint="default"/>
                <w:sz w:val="18"/>
                <w:szCs w:val="18"/>
              </w:rPr>
            </w:pPr>
            <w:r>
              <w:rPr>
                <w:rFonts w:ascii="Times New Roman"/>
                <w:sz w:val="18"/>
              </w:rPr>
              <w:t>009,</w:t>
            </w:r>
          </w:p>
          <w:p>
            <w:pPr>
              <w:pStyle w:val="TableParagraph"/>
              <w:spacing w:line="240" w:lineRule="auto" w:before="105"/>
              <w:ind w:left="52" w:right="0"/>
              <w:jc w:val="center"/>
              <w:rPr>
                <w:rFonts w:ascii="Times New Roman" w:hAnsi="Times New Roman" w:cs="Times New Roman" w:eastAsia="Times New Roman" w:hint="default"/>
                <w:sz w:val="18"/>
                <w:szCs w:val="18"/>
              </w:rPr>
            </w:pPr>
            <w:r>
              <w:rPr>
                <w:rFonts w:ascii="Times New Roman"/>
                <w:sz w:val="18"/>
              </w:rPr>
              <w:t>074.</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03</w:t>
            </w: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8" w:right="0"/>
              <w:jc w:val="center"/>
              <w:rPr>
                <w:rFonts w:ascii="Times New Roman" w:hAnsi="Times New Roman" w:cs="Times New Roman" w:eastAsia="Times New Roman" w:hint="default"/>
                <w:sz w:val="18"/>
                <w:szCs w:val="18"/>
              </w:rPr>
            </w:pPr>
            <w:r>
              <w:rPr>
                <w:rFonts w:ascii="Times New Roman"/>
                <w:sz w:val="18"/>
              </w:rPr>
              <w:t>-53,</w:t>
            </w:r>
          </w:p>
          <w:p>
            <w:pPr>
              <w:pStyle w:val="TableParagraph"/>
              <w:spacing w:line="240" w:lineRule="auto" w:before="105"/>
              <w:ind w:left="46" w:right="0"/>
              <w:jc w:val="center"/>
              <w:rPr>
                <w:rFonts w:ascii="Times New Roman" w:hAnsi="Times New Roman" w:cs="Times New Roman" w:eastAsia="Times New Roman" w:hint="default"/>
                <w:sz w:val="18"/>
                <w:szCs w:val="18"/>
              </w:rPr>
            </w:pPr>
            <w:r>
              <w:rPr>
                <w:rFonts w:ascii="Times New Roman"/>
                <w:sz w:val="18"/>
              </w:rPr>
              <w:t>009,</w:t>
            </w:r>
          </w:p>
          <w:p>
            <w:pPr>
              <w:pStyle w:val="TableParagraph"/>
              <w:spacing w:line="240" w:lineRule="auto" w:before="105"/>
              <w:ind w:left="46" w:right="0"/>
              <w:jc w:val="center"/>
              <w:rPr>
                <w:rFonts w:ascii="Times New Roman" w:hAnsi="Times New Roman" w:cs="Times New Roman" w:eastAsia="Times New Roman" w:hint="default"/>
                <w:sz w:val="18"/>
                <w:szCs w:val="18"/>
              </w:rPr>
            </w:pPr>
            <w:r>
              <w:rPr>
                <w:rFonts w:ascii="Times New Roman"/>
                <w:sz w:val="18"/>
              </w:rPr>
              <w:t>074.</w:t>
            </w:r>
          </w:p>
          <w:p>
            <w:pPr>
              <w:pStyle w:val="TableParagraph"/>
              <w:spacing w:line="240" w:lineRule="auto" w:before="105"/>
              <w:ind w:left="181" w:right="0"/>
              <w:jc w:val="center"/>
              <w:rPr>
                <w:rFonts w:ascii="Times New Roman" w:hAnsi="Times New Roman" w:cs="Times New Roman" w:eastAsia="Times New Roman" w:hint="default"/>
                <w:sz w:val="18"/>
                <w:szCs w:val="18"/>
              </w:rPr>
            </w:pPr>
            <w:r>
              <w:rPr>
                <w:rFonts w:ascii="Times New Roman"/>
                <w:sz w:val="18"/>
              </w:rPr>
              <w:t>03</w:t>
            </w:r>
          </w:p>
        </w:tc>
      </w:tr>
      <w:tr>
        <w:trPr>
          <w:trHeight w:val="714"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49"/>
              <w:ind w:left="102" w:right="148"/>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 入的普通股</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9" w:lineRule="auto" w:before="49"/>
              <w:ind w:left="102" w:right="148"/>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 工具持有者 投入资本</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9" w:lineRule="auto" w:before="49"/>
              <w:ind w:left="102" w:right="148"/>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 计入所有者 权益的金额</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1649"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1" w:right="0"/>
              <w:jc w:val="left"/>
              <w:rPr>
                <w:rFonts w:ascii="Times New Roman" w:hAnsi="Times New Roman" w:cs="Times New Roman" w:eastAsia="Times New Roman" w:hint="default"/>
                <w:sz w:val="18"/>
                <w:szCs w:val="18"/>
              </w:rPr>
            </w:pPr>
            <w:r>
              <w:rPr>
                <w:rFonts w:ascii="Times New Roman"/>
                <w:sz w:val="18"/>
              </w:rPr>
              <w:t>-15</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,10</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7,4</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46.</w:t>
            </w:r>
          </w:p>
          <w:p>
            <w:pPr>
              <w:pStyle w:val="TableParagraph"/>
              <w:spacing w:line="240" w:lineRule="auto" w:before="105"/>
              <w:ind w:left="199" w:right="0"/>
              <w:jc w:val="left"/>
              <w:rPr>
                <w:rFonts w:ascii="Times New Roman" w:hAnsi="Times New Roman" w:cs="Times New Roman" w:eastAsia="Times New Roman" w:hint="default"/>
                <w:sz w:val="18"/>
                <w:szCs w:val="18"/>
              </w:rPr>
            </w:pPr>
            <w:r>
              <w:rPr>
                <w:rFonts w:ascii="Times New Roman"/>
                <w:sz w:val="18"/>
              </w:rPr>
              <w:t>00</w:t>
            </w: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83" w:right="0"/>
              <w:jc w:val="center"/>
              <w:rPr>
                <w:rFonts w:ascii="Times New Roman" w:hAnsi="Times New Roman" w:cs="Times New Roman" w:eastAsia="Times New Roman" w:hint="default"/>
                <w:sz w:val="18"/>
                <w:szCs w:val="18"/>
              </w:rPr>
            </w:pPr>
            <w:r>
              <w:rPr>
                <w:rFonts w:ascii="Times New Roman"/>
                <w:sz w:val="18"/>
              </w:rPr>
              <w:t>-73,</w:t>
            </w:r>
          </w:p>
          <w:p>
            <w:pPr>
              <w:pStyle w:val="TableParagraph"/>
              <w:spacing w:line="240" w:lineRule="auto" w:before="105"/>
              <w:ind w:left="51" w:right="0"/>
              <w:jc w:val="center"/>
              <w:rPr>
                <w:rFonts w:ascii="Times New Roman" w:hAnsi="Times New Roman" w:cs="Times New Roman" w:eastAsia="Times New Roman" w:hint="default"/>
                <w:sz w:val="18"/>
                <w:szCs w:val="18"/>
              </w:rPr>
            </w:pPr>
            <w:r>
              <w:rPr>
                <w:rFonts w:ascii="Times New Roman"/>
                <w:sz w:val="18"/>
              </w:rPr>
              <w:t>666,</w:t>
            </w:r>
          </w:p>
          <w:p>
            <w:pPr>
              <w:pStyle w:val="TableParagraph"/>
              <w:spacing w:line="240" w:lineRule="auto" w:before="105"/>
              <w:ind w:left="51" w:right="0"/>
              <w:jc w:val="center"/>
              <w:rPr>
                <w:rFonts w:ascii="Times New Roman" w:hAnsi="Times New Roman" w:cs="Times New Roman" w:eastAsia="Times New Roman" w:hint="default"/>
                <w:sz w:val="18"/>
                <w:szCs w:val="18"/>
              </w:rPr>
            </w:pPr>
            <w:r>
              <w:rPr>
                <w:rFonts w:ascii="Times New Roman"/>
                <w:sz w:val="18"/>
              </w:rPr>
              <w:t>908.</w:t>
            </w:r>
          </w:p>
          <w:p>
            <w:pPr>
              <w:pStyle w:val="TableParagraph"/>
              <w:spacing w:line="240" w:lineRule="auto" w:before="105"/>
              <w:ind w:left="186" w:right="0"/>
              <w:jc w:val="center"/>
              <w:rPr>
                <w:rFonts w:ascii="Times New Roman" w:hAnsi="Times New Roman" w:cs="Times New Roman" w:eastAsia="Times New Roman" w:hint="default"/>
                <w:sz w:val="18"/>
                <w:szCs w:val="18"/>
              </w:rPr>
            </w:pPr>
            <w:r>
              <w:rPr>
                <w:rFonts w:ascii="Times New Roman"/>
                <w:sz w:val="18"/>
              </w:rPr>
              <w:t>74</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84" w:right="0"/>
              <w:jc w:val="center"/>
              <w:rPr>
                <w:rFonts w:ascii="Times New Roman" w:hAnsi="Times New Roman" w:cs="Times New Roman" w:eastAsia="Times New Roman" w:hint="default"/>
                <w:sz w:val="18"/>
                <w:szCs w:val="18"/>
              </w:rPr>
            </w:pPr>
            <w:r>
              <w:rPr>
                <w:rFonts w:ascii="Times New Roman"/>
                <w:sz w:val="18"/>
              </w:rPr>
              <w:t>-46,</w:t>
            </w:r>
          </w:p>
          <w:p>
            <w:pPr>
              <w:pStyle w:val="TableParagraph"/>
              <w:spacing w:line="240" w:lineRule="auto" w:before="105"/>
              <w:ind w:left="52" w:right="0"/>
              <w:jc w:val="center"/>
              <w:rPr>
                <w:rFonts w:ascii="Times New Roman" w:hAnsi="Times New Roman" w:cs="Times New Roman" w:eastAsia="Times New Roman" w:hint="default"/>
                <w:sz w:val="18"/>
                <w:szCs w:val="18"/>
              </w:rPr>
            </w:pPr>
            <w:r>
              <w:rPr>
                <w:rFonts w:ascii="Times New Roman"/>
                <w:sz w:val="18"/>
              </w:rPr>
              <w:t>010,</w:t>
            </w:r>
          </w:p>
          <w:p>
            <w:pPr>
              <w:pStyle w:val="TableParagraph"/>
              <w:spacing w:line="240" w:lineRule="auto" w:before="105"/>
              <w:ind w:left="52" w:right="0"/>
              <w:jc w:val="center"/>
              <w:rPr>
                <w:rFonts w:ascii="Times New Roman" w:hAnsi="Times New Roman" w:cs="Times New Roman" w:eastAsia="Times New Roman" w:hint="default"/>
                <w:sz w:val="18"/>
                <w:szCs w:val="18"/>
              </w:rPr>
            </w:pPr>
            <w:r>
              <w:rPr>
                <w:rFonts w:ascii="Times New Roman"/>
                <w:sz w:val="18"/>
              </w:rPr>
              <w:t>428.</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76</w:t>
            </w: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83" w:right="0"/>
              <w:jc w:val="center"/>
              <w:rPr>
                <w:rFonts w:ascii="Times New Roman" w:hAnsi="Times New Roman" w:cs="Times New Roman" w:eastAsia="Times New Roman" w:hint="default"/>
                <w:sz w:val="18"/>
                <w:szCs w:val="18"/>
              </w:rPr>
            </w:pPr>
            <w:r>
              <w:rPr>
                <w:rFonts w:ascii="Times New Roman"/>
                <w:sz w:val="18"/>
              </w:rPr>
              <w:t>-10,</w:t>
            </w:r>
          </w:p>
          <w:p>
            <w:pPr>
              <w:pStyle w:val="TableParagraph"/>
              <w:spacing w:line="240" w:lineRule="auto" w:before="105"/>
              <w:ind w:left="52" w:right="0"/>
              <w:jc w:val="center"/>
              <w:rPr>
                <w:rFonts w:ascii="Times New Roman" w:hAnsi="Times New Roman" w:cs="Times New Roman" w:eastAsia="Times New Roman" w:hint="default"/>
                <w:sz w:val="18"/>
                <w:szCs w:val="18"/>
              </w:rPr>
            </w:pPr>
            <w:r>
              <w:rPr>
                <w:rFonts w:ascii="Times New Roman"/>
                <w:sz w:val="18"/>
              </w:rPr>
              <w:t>245,</w:t>
            </w:r>
          </w:p>
          <w:p>
            <w:pPr>
              <w:pStyle w:val="TableParagraph"/>
              <w:spacing w:line="240" w:lineRule="auto" w:before="105"/>
              <w:ind w:left="52" w:right="0"/>
              <w:jc w:val="center"/>
              <w:rPr>
                <w:rFonts w:ascii="Times New Roman" w:hAnsi="Times New Roman" w:cs="Times New Roman" w:eastAsia="Times New Roman" w:hint="default"/>
                <w:sz w:val="18"/>
                <w:szCs w:val="18"/>
              </w:rPr>
            </w:pPr>
            <w:r>
              <w:rPr>
                <w:rFonts w:ascii="Times New Roman"/>
                <w:sz w:val="18"/>
              </w:rPr>
              <w:t>148.</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05</w:t>
            </w: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85" w:right="0"/>
              <w:jc w:val="center"/>
              <w:rPr>
                <w:rFonts w:ascii="Times New Roman" w:hAnsi="Times New Roman" w:cs="Times New Roman" w:eastAsia="Times New Roman" w:hint="default"/>
                <w:sz w:val="18"/>
                <w:szCs w:val="18"/>
              </w:rPr>
            </w:pPr>
            <w:r>
              <w:rPr>
                <w:rFonts w:ascii="Times New Roman"/>
                <w:sz w:val="18"/>
              </w:rPr>
              <w:t>-53,</w:t>
            </w:r>
          </w:p>
          <w:p>
            <w:pPr>
              <w:pStyle w:val="TableParagraph"/>
              <w:spacing w:line="240" w:lineRule="auto" w:before="105"/>
              <w:ind w:left="52" w:right="0"/>
              <w:jc w:val="center"/>
              <w:rPr>
                <w:rFonts w:ascii="Times New Roman" w:hAnsi="Times New Roman" w:cs="Times New Roman" w:eastAsia="Times New Roman" w:hint="default"/>
                <w:sz w:val="18"/>
                <w:szCs w:val="18"/>
              </w:rPr>
            </w:pPr>
            <w:r>
              <w:rPr>
                <w:rFonts w:ascii="Times New Roman"/>
                <w:sz w:val="18"/>
              </w:rPr>
              <w:t>009,</w:t>
            </w:r>
          </w:p>
          <w:p>
            <w:pPr>
              <w:pStyle w:val="TableParagraph"/>
              <w:spacing w:line="240" w:lineRule="auto" w:before="105"/>
              <w:ind w:left="52" w:right="0"/>
              <w:jc w:val="center"/>
              <w:rPr>
                <w:rFonts w:ascii="Times New Roman" w:hAnsi="Times New Roman" w:cs="Times New Roman" w:eastAsia="Times New Roman" w:hint="default"/>
                <w:sz w:val="18"/>
                <w:szCs w:val="18"/>
              </w:rPr>
            </w:pPr>
            <w:r>
              <w:rPr>
                <w:rFonts w:ascii="Times New Roman"/>
                <w:sz w:val="18"/>
              </w:rPr>
              <w:t>074.</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03</w:t>
            </w: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8" w:right="0"/>
              <w:jc w:val="center"/>
              <w:rPr>
                <w:rFonts w:ascii="Times New Roman" w:hAnsi="Times New Roman" w:cs="Times New Roman" w:eastAsia="Times New Roman" w:hint="default"/>
                <w:sz w:val="18"/>
                <w:szCs w:val="18"/>
              </w:rPr>
            </w:pPr>
            <w:r>
              <w:rPr>
                <w:rFonts w:ascii="Times New Roman"/>
                <w:sz w:val="18"/>
              </w:rPr>
              <w:t>-53,</w:t>
            </w:r>
          </w:p>
          <w:p>
            <w:pPr>
              <w:pStyle w:val="TableParagraph"/>
              <w:spacing w:line="240" w:lineRule="auto" w:before="105"/>
              <w:ind w:left="46" w:right="0"/>
              <w:jc w:val="center"/>
              <w:rPr>
                <w:rFonts w:ascii="Times New Roman" w:hAnsi="Times New Roman" w:cs="Times New Roman" w:eastAsia="Times New Roman" w:hint="default"/>
                <w:sz w:val="18"/>
                <w:szCs w:val="18"/>
              </w:rPr>
            </w:pPr>
            <w:r>
              <w:rPr>
                <w:rFonts w:ascii="Times New Roman"/>
                <w:sz w:val="18"/>
              </w:rPr>
              <w:t>009,</w:t>
            </w:r>
          </w:p>
          <w:p>
            <w:pPr>
              <w:pStyle w:val="TableParagraph"/>
              <w:spacing w:line="240" w:lineRule="auto" w:before="105"/>
              <w:ind w:left="46" w:right="0"/>
              <w:jc w:val="center"/>
              <w:rPr>
                <w:rFonts w:ascii="Times New Roman" w:hAnsi="Times New Roman" w:cs="Times New Roman" w:eastAsia="Times New Roman" w:hint="default"/>
                <w:sz w:val="18"/>
                <w:szCs w:val="18"/>
              </w:rPr>
            </w:pPr>
            <w:r>
              <w:rPr>
                <w:rFonts w:ascii="Times New Roman"/>
                <w:sz w:val="18"/>
              </w:rPr>
              <w:t>074.</w:t>
            </w:r>
          </w:p>
          <w:p>
            <w:pPr>
              <w:pStyle w:val="TableParagraph"/>
              <w:spacing w:line="240" w:lineRule="auto" w:before="105"/>
              <w:ind w:left="181" w:right="0"/>
              <w:jc w:val="center"/>
              <w:rPr>
                <w:rFonts w:ascii="Times New Roman" w:hAnsi="Times New Roman" w:cs="Times New Roman" w:eastAsia="Times New Roman" w:hint="default"/>
                <w:sz w:val="18"/>
                <w:szCs w:val="18"/>
              </w:rPr>
            </w:pPr>
            <w:r>
              <w:rPr>
                <w:rFonts w:ascii="Times New Roman"/>
                <w:sz w:val="18"/>
              </w:rPr>
              <w:t>03</w:t>
            </w:r>
          </w:p>
        </w:tc>
      </w:tr>
    </w:tbl>
    <w:p>
      <w:pPr>
        <w:spacing w:after="0" w:line="240" w:lineRule="auto"/>
        <w:jc w:val="center"/>
        <w:rPr>
          <w:rFonts w:ascii="Times New Roman" w:hAnsi="Times New Roman" w:cs="Times New Roman" w:eastAsia="Times New Roman" w:hint="default"/>
          <w:sz w:val="18"/>
          <w:szCs w:val="18"/>
        </w:rPr>
        <w:sectPr>
          <w:pgSz w:w="11910" w:h="16840"/>
          <w:pgMar w:header="906" w:footer="1018" w:top="1100" w:bottom="1200" w:left="1020" w:right="0"/>
        </w:sectPr>
      </w:pPr>
    </w:p>
    <w:p>
      <w:pPr>
        <w:spacing w:line="240" w:lineRule="auto" w:before="0"/>
        <w:rPr>
          <w:rFonts w:ascii="Times New Roman" w:hAnsi="Times New Roman" w:cs="Times New Roman" w:eastAsia="Times New Roman" w:hint="default"/>
          <w:sz w:val="29"/>
          <w:szCs w:val="29"/>
        </w:rPr>
      </w:pPr>
    </w:p>
    <w:tbl>
      <w:tblPr>
        <w:tblW w:w="0" w:type="auto"/>
        <w:jc w:val="left"/>
        <w:tblInd w:w="109" w:type="dxa"/>
        <w:tblLayout w:type="fixed"/>
        <w:tblCellMar>
          <w:top w:w="0" w:type="dxa"/>
          <w:left w:w="0" w:type="dxa"/>
          <w:bottom w:w="0" w:type="dxa"/>
          <w:right w:w="0" w:type="dxa"/>
        </w:tblCellMar>
        <w:tblLook w:val="01E0"/>
      </w:tblPr>
      <w:tblGrid>
        <w:gridCol w:w="1253"/>
        <w:gridCol w:w="493"/>
        <w:gridCol w:w="466"/>
        <w:gridCol w:w="467"/>
        <w:gridCol w:w="468"/>
        <w:gridCol w:w="583"/>
        <w:gridCol w:w="584"/>
        <w:gridCol w:w="584"/>
        <w:gridCol w:w="584"/>
        <w:gridCol w:w="583"/>
        <w:gridCol w:w="584"/>
        <w:gridCol w:w="584"/>
        <w:gridCol w:w="584"/>
        <w:gridCol w:w="584"/>
        <w:gridCol w:w="584"/>
        <w:gridCol w:w="578"/>
      </w:tblGrid>
      <w:tr>
        <w:trPr>
          <w:trHeight w:val="1338"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5"/>
              <w:ind w:left="102" w:right="101"/>
              <w:jc w:val="left"/>
              <w:rPr>
                <w:rFonts w:ascii="宋体" w:hAnsi="宋体" w:cs="宋体" w:eastAsia="宋体" w:hint="default"/>
                <w:sz w:val="18"/>
                <w:szCs w:val="18"/>
              </w:rPr>
            </w:pPr>
            <w:r>
              <w:rPr>
                <w:rFonts w:ascii="宋体" w:hAnsi="宋体" w:cs="宋体" w:eastAsia="宋体" w:hint="default"/>
                <w:spacing w:val="-8"/>
                <w:sz w:val="18"/>
                <w:szCs w:val="18"/>
              </w:rPr>
              <w:t>（三）利润分</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配</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55" w:right="0"/>
              <w:jc w:val="left"/>
              <w:rPr>
                <w:rFonts w:ascii="Times New Roman" w:hAnsi="Times New Roman" w:cs="Times New Roman" w:eastAsia="Times New Roman" w:hint="default"/>
                <w:sz w:val="18"/>
                <w:szCs w:val="18"/>
              </w:rPr>
            </w:pPr>
            <w:r>
              <w:rPr>
                <w:rFonts w:ascii="Times New Roman"/>
                <w:sz w:val="18"/>
              </w:rPr>
              <w:t>9,73</w:t>
            </w:r>
          </w:p>
          <w:p>
            <w:pPr>
              <w:pStyle w:val="TableParagraph"/>
              <w:spacing w:line="240" w:lineRule="auto" w:before="105"/>
              <w:ind w:left="155" w:right="0"/>
              <w:jc w:val="left"/>
              <w:rPr>
                <w:rFonts w:ascii="Times New Roman" w:hAnsi="Times New Roman" w:cs="Times New Roman" w:eastAsia="Times New Roman" w:hint="default"/>
                <w:sz w:val="18"/>
                <w:szCs w:val="18"/>
              </w:rPr>
            </w:pPr>
            <w:r>
              <w:rPr>
                <w:rFonts w:ascii="Times New Roman"/>
                <w:sz w:val="18"/>
              </w:rPr>
              <w:t>5,10</w:t>
            </w:r>
          </w:p>
          <w:p>
            <w:pPr>
              <w:pStyle w:val="TableParagraph"/>
              <w:spacing w:line="240" w:lineRule="auto" w:before="105"/>
              <w:ind w:left="155" w:right="0"/>
              <w:jc w:val="left"/>
              <w:rPr>
                <w:rFonts w:ascii="Times New Roman" w:hAnsi="Times New Roman" w:cs="Times New Roman" w:eastAsia="Times New Roman" w:hint="default"/>
                <w:sz w:val="18"/>
                <w:szCs w:val="18"/>
              </w:rPr>
            </w:pPr>
            <w:r>
              <w:rPr>
                <w:rFonts w:ascii="Times New Roman"/>
                <w:sz w:val="18"/>
              </w:rPr>
              <w:t>5.83</w:t>
            </w: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4" w:right="0"/>
              <w:jc w:val="center"/>
              <w:rPr>
                <w:rFonts w:ascii="Times New Roman" w:hAnsi="Times New Roman" w:cs="Times New Roman" w:eastAsia="Times New Roman" w:hint="default"/>
                <w:sz w:val="18"/>
                <w:szCs w:val="18"/>
              </w:rPr>
            </w:pPr>
            <w:r>
              <w:rPr>
                <w:rFonts w:ascii="Times New Roman"/>
                <w:sz w:val="18"/>
              </w:rPr>
              <w:t>-9,7</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35,1</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05.8</w:t>
            </w:r>
          </w:p>
          <w:p>
            <w:pPr>
              <w:pStyle w:val="TableParagraph"/>
              <w:spacing w:line="240" w:lineRule="auto" w:before="105"/>
              <w:ind w:left="277" w:right="0"/>
              <w:jc w:val="center"/>
              <w:rPr>
                <w:rFonts w:ascii="Times New Roman" w:hAnsi="Times New Roman" w:cs="Times New Roman" w:eastAsia="Times New Roman" w:hint="default"/>
                <w:sz w:val="18"/>
                <w:szCs w:val="18"/>
              </w:rPr>
            </w:pPr>
            <w:r>
              <w:rPr>
                <w:rFonts w:ascii="Times New Roman"/>
                <w:sz w:val="18"/>
              </w:rPr>
              <w:t>3</w:t>
            </w: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0" w:lineRule="auto" w:before="155"/>
              <w:ind w:left="102" w:right="148"/>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 公积</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55" w:right="0"/>
              <w:jc w:val="left"/>
              <w:rPr>
                <w:rFonts w:ascii="Times New Roman" w:hAnsi="Times New Roman" w:cs="Times New Roman" w:eastAsia="Times New Roman" w:hint="default"/>
                <w:sz w:val="18"/>
                <w:szCs w:val="18"/>
              </w:rPr>
            </w:pPr>
            <w:r>
              <w:rPr>
                <w:rFonts w:ascii="Times New Roman"/>
                <w:sz w:val="18"/>
              </w:rPr>
              <w:t>9,73</w:t>
            </w:r>
          </w:p>
          <w:p>
            <w:pPr>
              <w:pStyle w:val="TableParagraph"/>
              <w:spacing w:line="240" w:lineRule="auto" w:before="105"/>
              <w:ind w:left="155" w:right="0"/>
              <w:jc w:val="left"/>
              <w:rPr>
                <w:rFonts w:ascii="Times New Roman" w:hAnsi="Times New Roman" w:cs="Times New Roman" w:eastAsia="Times New Roman" w:hint="default"/>
                <w:sz w:val="18"/>
                <w:szCs w:val="18"/>
              </w:rPr>
            </w:pPr>
            <w:r>
              <w:rPr>
                <w:rFonts w:ascii="Times New Roman"/>
                <w:sz w:val="18"/>
              </w:rPr>
              <w:t>5,10</w:t>
            </w:r>
          </w:p>
          <w:p>
            <w:pPr>
              <w:pStyle w:val="TableParagraph"/>
              <w:spacing w:line="240" w:lineRule="auto" w:before="105"/>
              <w:ind w:left="155" w:right="0"/>
              <w:jc w:val="left"/>
              <w:rPr>
                <w:rFonts w:ascii="Times New Roman" w:hAnsi="Times New Roman" w:cs="Times New Roman" w:eastAsia="Times New Roman" w:hint="default"/>
                <w:sz w:val="18"/>
                <w:szCs w:val="18"/>
              </w:rPr>
            </w:pPr>
            <w:r>
              <w:rPr>
                <w:rFonts w:ascii="Times New Roman"/>
                <w:sz w:val="18"/>
              </w:rPr>
              <w:t>5.83</w:t>
            </w: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4" w:right="0"/>
              <w:jc w:val="center"/>
              <w:rPr>
                <w:rFonts w:ascii="Times New Roman" w:hAnsi="Times New Roman" w:cs="Times New Roman" w:eastAsia="Times New Roman" w:hint="default"/>
                <w:sz w:val="18"/>
                <w:szCs w:val="18"/>
              </w:rPr>
            </w:pPr>
            <w:r>
              <w:rPr>
                <w:rFonts w:ascii="Times New Roman"/>
                <w:sz w:val="18"/>
              </w:rPr>
              <w:t>-9,7</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35,1</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05.8</w:t>
            </w:r>
          </w:p>
          <w:p>
            <w:pPr>
              <w:pStyle w:val="TableParagraph"/>
              <w:spacing w:line="240" w:lineRule="auto" w:before="105"/>
              <w:ind w:left="277" w:right="0"/>
              <w:jc w:val="center"/>
              <w:rPr>
                <w:rFonts w:ascii="Times New Roman" w:hAnsi="Times New Roman" w:cs="Times New Roman" w:eastAsia="Times New Roman" w:hint="default"/>
                <w:sz w:val="18"/>
                <w:szCs w:val="18"/>
              </w:rPr>
            </w:pPr>
            <w:r>
              <w:rPr>
                <w:rFonts w:ascii="Times New Roman"/>
                <w:sz w:val="18"/>
              </w:rPr>
              <w:t>3</w:t>
            </w: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0"/>
              <w:ind w:left="102" w:right="148"/>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 风险准备</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w:t>
            </w:r>
          </w:p>
          <w:p>
            <w:pPr>
              <w:pStyle w:val="TableParagraph"/>
              <w:spacing w:line="319" w:lineRule="auto" w:before="62"/>
              <w:ind w:left="102" w:right="101"/>
              <w:jc w:val="left"/>
              <w:rPr>
                <w:rFonts w:ascii="宋体" w:hAnsi="宋体" w:cs="宋体" w:eastAsia="宋体" w:hint="default"/>
                <w:sz w:val="18"/>
                <w:szCs w:val="18"/>
              </w:rPr>
            </w:pPr>
            <w:r>
              <w:rPr>
                <w:rFonts w:ascii="宋体" w:hAnsi="宋体" w:cs="宋体" w:eastAsia="宋体" w:hint="default"/>
                <w:spacing w:val="-8"/>
                <w:sz w:val="18"/>
                <w:szCs w:val="18"/>
              </w:rPr>
              <w:t>（或股东）的</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分配</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02" w:right="101"/>
              <w:jc w:val="left"/>
              <w:rPr>
                <w:rFonts w:ascii="宋体" w:hAnsi="宋体" w:cs="宋体" w:eastAsia="宋体" w:hint="default"/>
                <w:sz w:val="18"/>
                <w:szCs w:val="18"/>
              </w:rPr>
            </w:pPr>
            <w:r>
              <w:rPr>
                <w:rFonts w:ascii="宋体" w:hAnsi="宋体" w:cs="宋体" w:eastAsia="宋体" w:hint="default"/>
                <w:spacing w:val="-8"/>
                <w:sz w:val="18"/>
                <w:szCs w:val="18"/>
              </w:rPr>
              <w:t>（四）所有者</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权益内部结 转</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9" w:lineRule="auto" w:before="50"/>
              <w:ind w:left="102" w:right="101"/>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 </w:t>
            </w:r>
            <w:r>
              <w:rPr>
                <w:rFonts w:ascii="宋体" w:hAnsi="宋体" w:cs="宋体" w:eastAsia="宋体" w:hint="default"/>
                <w:spacing w:val="-8"/>
                <w:sz w:val="18"/>
                <w:szCs w:val="18"/>
              </w:rPr>
              <w:t>转增资本（或</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股本）</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9" w:lineRule="auto" w:before="50"/>
              <w:ind w:left="102" w:right="101"/>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 </w:t>
            </w:r>
            <w:r>
              <w:rPr>
                <w:rFonts w:ascii="宋体" w:hAnsi="宋体" w:cs="宋体" w:eastAsia="宋体" w:hint="default"/>
                <w:spacing w:val="-8"/>
                <w:sz w:val="18"/>
                <w:szCs w:val="18"/>
              </w:rPr>
              <w:t>转增资本（或</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股本）</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0"/>
              <w:ind w:left="102" w:right="148"/>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 弥补亏损</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2" w:lineRule="auto" w:before="50"/>
              <w:ind w:left="102" w:right="148"/>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 计划变动额 结转留存收 益</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9" w:lineRule="auto" w:before="50"/>
              <w:ind w:left="102" w:right="148"/>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．其他综合 收益结转留 存收益</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02" w:right="101"/>
              <w:jc w:val="left"/>
              <w:rPr>
                <w:rFonts w:ascii="宋体" w:hAnsi="宋体" w:cs="宋体" w:eastAsia="宋体" w:hint="default"/>
                <w:sz w:val="18"/>
                <w:szCs w:val="18"/>
              </w:rPr>
            </w:pPr>
            <w:r>
              <w:rPr>
                <w:rFonts w:ascii="宋体" w:hAnsi="宋体" w:cs="宋体" w:eastAsia="宋体" w:hint="default"/>
                <w:spacing w:val="-8"/>
                <w:sz w:val="18"/>
                <w:szCs w:val="18"/>
              </w:rPr>
              <w:t>（五）专项储</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备</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411" w:hRule="exact"/>
        </w:trPr>
        <w:tc>
          <w:tcPr>
            <w:tcW w:w="12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0"/>
              <w:ind w:left="102" w:right="0"/>
              <w:jc w:val="left"/>
              <w:rPr>
                <w:rFonts w:ascii="宋体" w:hAnsi="宋体" w:cs="宋体" w:eastAsia="宋体" w:hint="default"/>
                <w:sz w:val="18"/>
                <w:szCs w:val="18"/>
              </w:rPr>
            </w:pPr>
            <w:r>
              <w:rPr>
                <w:rFonts w:ascii="宋体" w:hAnsi="宋体" w:cs="宋体" w:eastAsia="宋体" w:hint="default"/>
                <w:spacing w:val="-8"/>
                <w:sz w:val="18"/>
                <w:szCs w:val="18"/>
              </w:rPr>
              <w:t>四、本期期末</w:t>
            </w:r>
          </w:p>
        </w:tc>
        <w:tc>
          <w:tcPr>
            <w:tcW w:w="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09" w:right="0"/>
              <w:jc w:val="left"/>
              <w:rPr>
                <w:rFonts w:ascii="Times New Roman" w:hAnsi="Times New Roman" w:cs="Times New Roman" w:eastAsia="Times New Roman" w:hint="default"/>
                <w:sz w:val="18"/>
                <w:szCs w:val="18"/>
              </w:rPr>
            </w:pPr>
            <w:r>
              <w:rPr>
                <w:rFonts w:ascii="Times New Roman"/>
                <w:sz w:val="18"/>
              </w:rPr>
              <w:t>696</w:t>
            </w: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54" w:right="0"/>
              <w:jc w:val="left"/>
              <w:rPr>
                <w:rFonts w:ascii="Times New Roman" w:hAnsi="Times New Roman" w:cs="Times New Roman" w:eastAsia="Times New Roman" w:hint="default"/>
                <w:sz w:val="18"/>
                <w:szCs w:val="18"/>
              </w:rPr>
            </w:pPr>
            <w:r>
              <w:rPr>
                <w:rFonts w:ascii="Times New Roman"/>
                <w:sz w:val="18"/>
              </w:rPr>
              <w:t>833,</w:t>
            </w: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56" w:right="0"/>
              <w:jc w:val="left"/>
              <w:rPr>
                <w:rFonts w:ascii="Times New Roman" w:hAnsi="Times New Roman" w:cs="Times New Roman" w:eastAsia="Times New Roman" w:hint="default"/>
                <w:sz w:val="18"/>
                <w:szCs w:val="18"/>
              </w:rPr>
            </w:pPr>
            <w:r>
              <w:rPr>
                <w:rFonts w:ascii="Times New Roman"/>
                <w:sz w:val="18"/>
              </w:rPr>
              <w:t>1,46</w:t>
            </w: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55" w:right="0"/>
              <w:jc w:val="left"/>
              <w:rPr>
                <w:rFonts w:ascii="Times New Roman" w:hAnsi="Times New Roman" w:cs="Times New Roman" w:eastAsia="Times New Roman" w:hint="default"/>
                <w:sz w:val="18"/>
                <w:szCs w:val="18"/>
              </w:rPr>
            </w:pPr>
            <w:r>
              <w:rPr>
                <w:rFonts w:ascii="Times New Roman"/>
                <w:sz w:val="18"/>
              </w:rPr>
              <w:t>207,</w:t>
            </w: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56" w:right="0"/>
              <w:jc w:val="left"/>
              <w:rPr>
                <w:rFonts w:ascii="Times New Roman" w:hAnsi="Times New Roman" w:cs="Times New Roman" w:eastAsia="Times New Roman" w:hint="default"/>
                <w:sz w:val="18"/>
                <w:szCs w:val="18"/>
              </w:rPr>
            </w:pPr>
            <w:r>
              <w:rPr>
                <w:rFonts w:ascii="Times New Roman"/>
                <w:sz w:val="18"/>
              </w:rPr>
              <w:t>1,02</w:t>
            </w: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56" w:right="0"/>
              <w:jc w:val="left"/>
              <w:rPr>
                <w:rFonts w:ascii="Times New Roman" w:hAnsi="Times New Roman" w:cs="Times New Roman" w:eastAsia="Times New Roman" w:hint="default"/>
                <w:sz w:val="18"/>
                <w:szCs w:val="18"/>
              </w:rPr>
            </w:pPr>
            <w:r>
              <w:rPr>
                <w:rFonts w:ascii="Times New Roman"/>
                <w:sz w:val="18"/>
              </w:rPr>
              <w:t>1,92</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55" w:right="0"/>
              <w:jc w:val="left"/>
              <w:rPr>
                <w:rFonts w:ascii="Times New Roman" w:hAnsi="Times New Roman" w:cs="Times New Roman" w:eastAsia="Times New Roman" w:hint="default"/>
                <w:sz w:val="18"/>
                <w:szCs w:val="18"/>
              </w:rPr>
            </w:pPr>
            <w:r>
              <w:rPr>
                <w:rFonts w:ascii="Times New Roman"/>
                <w:sz w:val="18"/>
              </w:rPr>
              <w:t>88,9</w:t>
            </w: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50" w:right="0"/>
              <w:jc w:val="left"/>
              <w:rPr>
                <w:rFonts w:ascii="Times New Roman" w:hAnsi="Times New Roman" w:cs="Times New Roman" w:eastAsia="Times New Roman" w:hint="default"/>
                <w:sz w:val="18"/>
                <w:szCs w:val="18"/>
              </w:rPr>
            </w:pPr>
            <w:r>
              <w:rPr>
                <w:rFonts w:ascii="Times New Roman"/>
                <w:sz w:val="18"/>
              </w:rPr>
              <w:t>2,01</w:t>
            </w:r>
          </w:p>
        </w:tc>
      </w:tr>
    </w:tbl>
    <w:p>
      <w:pPr>
        <w:spacing w:after="0" w:line="240" w:lineRule="auto"/>
        <w:jc w:val="left"/>
        <w:rPr>
          <w:rFonts w:ascii="Times New Roman" w:hAnsi="Times New Roman" w:cs="Times New Roman" w:eastAsia="Times New Roman" w:hint="default"/>
          <w:sz w:val="18"/>
          <w:szCs w:val="18"/>
        </w:rPr>
        <w:sectPr>
          <w:pgSz w:w="11910" w:h="16840"/>
          <w:pgMar w:header="906" w:footer="1018" w:top="1100" w:bottom="1200" w:left="1020" w:right="0"/>
        </w:sectPr>
      </w:pPr>
    </w:p>
    <w:p>
      <w:pPr>
        <w:spacing w:line="240" w:lineRule="auto" w:before="0"/>
        <w:rPr>
          <w:rFonts w:ascii="Times New Roman" w:hAnsi="Times New Roman" w:cs="Times New Roman" w:eastAsia="Times New Roman" w:hint="default"/>
          <w:sz w:val="29"/>
          <w:szCs w:val="29"/>
        </w:rPr>
      </w:pPr>
    </w:p>
    <w:tbl>
      <w:tblPr>
        <w:tblW w:w="0" w:type="auto"/>
        <w:jc w:val="left"/>
        <w:tblInd w:w="109" w:type="dxa"/>
        <w:tblLayout w:type="fixed"/>
        <w:tblCellMar>
          <w:top w:w="0" w:type="dxa"/>
          <w:left w:w="0" w:type="dxa"/>
          <w:bottom w:w="0" w:type="dxa"/>
          <w:right w:w="0" w:type="dxa"/>
        </w:tblCellMar>
        <w:tblLook w:val="01E0"/>
      </w:tblPr>
      <w:tblGrid>
        <w:gridCol w:w="1253"/>
        <w:gridCol w:w="493"/>
        <w:gridCol w:w="466"/>
        <w:gridCol w:w="467"/>
        <w:gridCol w:w="468"/>
        <w:gridCol w:w="583"/>
        <w:gridCol w:w="584"/>
        <w:gridCol w:w="584"/>
        <w:gridCol w:w="584"/>
        <w:gridCol w:w="583"/>
        <w:gridCol w:w="584"/>
        <w:gridCol w:w="584"/>
        <w:gridCol w:w="584"/>
        <w:gridCol w:w="584"/>
        <w:gridCol w:w="584"/>
        <w:gridCol w:w="578"/>
      </w:tblGrid>
      <w:tr>
        <w:trPr>
          <w:trHeight w:val="326" w:hRule="exact"/>
        </w:trPr>
        <w:tc>
          <w:tcPr>
            <w:tcW w:w="1253" w:type="dxa"/>
            <w:tcBorders>
              <w:top w:val="single" w:sz="4" w:space="0" w:color="000000"/>
              <w:left w:val="single" w:sz="4" w:space="0" w:color="000000"/>
              <w:bottom w:val="nil" w:sz="6" w:space="0" w:color="auto"/>
              <w:right w:val="single" w:sz="4" w:space="0" w:color="000000"/>
            </w:tcBorders>
            <w:shd w:val="clear" w:color="auto" w:fill="D3D3D3"/>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余额</w:t>
            </w:r>
          </w:p>
        </w:tc>
        <w:tc>
          <w:tcPr>
            <w:tcW w:w="49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,92</w:t>
            </w:r>
          </w:p>
        </w:tc>
        <w:tc>
          <w:tcPr>
            <w:tcW w:w="466" w:type="dxa"/>
            <w:vMerge w:val="restart"/>
            <w:tcBorders>
              <w:top w:val="single" w:sz="4" w:space="0" w:color="000000"/>
              <w:left w:val="single" w:sz="4" w:space="0" w:color="000000"/>
              <w:right w:val="single" w:sz="4" w:space="0" w:color="000000"/>
            </w:tcBorders>
          </w:tcPr>
          <w:p>
            <w:pPr/>
          </w:p>
        </w:tc>
        <w:tc>
          <w:tcPr>
            <w:tcW w:w="467" w:type="dxa"/>
            <w:vMerge w:val="restart"/>
            <w:tcBorders>
              <w:top w:val="single" w:sz="4" w:space="0" w:color="000000"/>
              <w:left w:val="single" w:sz="4" w:space="0" w:color="000000"/>
              <w:right w:val="single" w:sz="4" w:space="0" w:color="000000"/>
            </w:tcBorders>
          </w:tcPr>
          <w:p>
            <w:pPr/>
          </w:p>
        </w:tc>
        <w:tc>
          <w:tcPr>
            <w:tcW w:w="468" w:type="dxa"/>
            <w:vMerge w:val="restart"/>
            <w:tcBorders>
              <w:top w:val="single" w:sz="4" w:space="0" w:color="000000"/>
              <w:left w:val="single" w:sz="4" w:space="0" w:color="000000"/>
              <w:right w:val="single" w:sz="4" w:space="0" w:color="000000"/>
            </w:tcBorders>
          </w:tcPr>
          <w:p>
            <w:pPr/>
          </w:p>
        </w:tc>
        <w:tc>
          <w:tcPr>
            <w:tcW w:w="58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192.</w:t>
            </w:r>
          </w:p>
        </w:tc>
        <w:tc>
          <w:tcPr>
            <w:tcW w:w="584" w:type="dxa"/>
            <w:vMerge w:val="restart"/>
            <w:tcBorders>
              <w:top w:val="single" w:sz="4" w:space="0" w:color="000000"/>
              <w:left w:val="single" w:sz="4" w:space="0" w:color="000000"/>
              <w:right w:val="single" w:sz="4" w:space="0" w:color="000000"/>
            </w:tcBorders>
          </w:tcPr>
          <w:p>
            <w:pPr/>
          </w:p>
        </w:tc>
        <w:tc>
          <w:tcPr>
            <w:tcW w:w="58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8,60</w:t>
            </w:r>
          </w:p>
        </w:tc>
        <w:tc>
          <w:tcPr>
            <w:tcW w:w="584" w:type="dxa"/>
            <w:vMerge w:val="restart"/>
            <w:tcBorders>
              <w:top w:val="single" w:sz="4" w:space="0" w:color="000000"/>
              <w:left w:val="single" w:sz="4" w:space="0" w:color="000000"/>
              <w:right w:val="single" w:sz="4" w:space="0" w:color="000000"/>
            </w:tcBorders>
          </w:tcPr>
          <w:p>
            <w:pPr/>
          </w:p>
        </w:tc>
        <w:tc>
          <w:tcPr>
            <w:tcW w:w="58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2"/>
                <w:sz w:val="18"/>
              </w:rPr>
              <w:t>011,</w:t>
            </w:r>
          </w:p>
        </w:tc>
        <w:tc>
          <w:tcPr>
            <w:tcW w:w="584" w:type="dxa"/>
            <w:vMerge w:val="restart"/>
            <w:tcBorders>
              <w:top w:val="single" w:sz="4" w:space="0" w:color="000000"/>
              <w:left w:val="single" w:sz="4" w:space="0" w:color="000000"/>
              <w:right w:val="single" w:sz="4" w:space="0" w:color="000000"/>
            </w:tcBorders>
          </w:tcPr>
          <w:p>
            <w:pPr/>
          </w:p>
        </w:tc>
        <w:tc>
          <w:tcPr>
            <w:tcW w:w="58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52" w:right="0"/>
              <w:jc w:val="center"/>
              <w:rPr>
                <w:rFonts w:ascii="Times New Roman" w:hAnsi="Times New Roman" w:cs="Times New Roman" w:eastAsia="Times New Roman" w:hint="default"/>
                <w:sz w:val="18"/>
                <w:szCs w:val="18"/>
              </w:rPr>
            </w:pPr>
            <w:r>
              <w:rPr>
                <w:rFonts w:ascii="Times New Roman"/>
                <w:sz w:val="18"/>
              </w:rPr>
              <w:t>2,05</w:t>
            </w:r>
          </w:p>
        </w:tc>
        <w:tc>
          <w:tcPr>
            <w:tcW w:w="584" w:type="dxa"/>
            <w:vMerge w:val="restart"/>
            <w:tcBorders>
              <w:top w:val="single" w:sz="4" w:space="0" w:color="000000"/>
              <w:left w:val="single" w:sz="4" w:space="0" w:color="000000"/>
              <w:right w:val="single" w:sz="4" w:space="0" w:color="000000"/>
            </w:tcBorders>
          </w:tcPr>
          <w:p>
            <w:pPr/>
          </w:p>
        </w:tc>
        <w:tc>
          <w:tcPr>
            <w:tcW w:w="58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8,28</w:t>
            </w:r>
          </w:p>
        </w:tc>
        <w:tc>
          <w:tcPr>
            <w:tcW w:w="58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79,6</w:t>
            </w:r>
          </w:p>
        </w:tc>
        <w:tc>
          <w:tcPr>
            <w:tcW w:w="57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46" w:right="0"/>
              <w:jc w:val="center"/>
              <w:rPr>
                <w:rFonts w:ascii="Times New Roman" w:hAnsi="Times New Roman" w:cs="Times New Roman" w:eastAsia="Times New Roman" w:hint="default"/>
                <w:sz w:val="18"/>
                <w:szCs w:val="18"/>
              </w:rPr>
            </w:pPr>
            <w:r>
              <w:rPr>
                <w:rFonts w:ascii="Times New Roman"/>
                <w:sz w:val="18"/>
              </w:rPr>
              <w:t>7,26</w:t>
            </w:r>
          </w:p>
        </w:tc>
      </w:tr>
      <w:tr>
        <w:trPr>
          <w:trHeight w:val="312" w:hRule="exact"/>
        </w:trPr>
        <w:tc>
          <w:tcPr>
            <w:tcW w:w="1253" w:type="dxa"/>
            <w:tcBorders>
              <w:top w:val="nil" w:sz="6" w:space="0" w:color="auto"/>
              <w:left w:val="single" w:sz="4" w:space="0" w:color="000000"/>
              <w:bottom w:val="nil" w:sz="6" w:space="0" w:color="auto"/>
              <w:right w:val="single" w:sz="4" w:space="0" w:color="000000"/>
            </w:tcBorders>
            <w:shd w:val="clear" w:color="auto" w:fill="D3D3D3"/>
          </w:tcPr>
          <w:p>
            <w:pPr/>
          </w:p>
        </w:tc>
        <w:tc>
          <w:tcPr>
            <w:tcW w:w="493"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8"/>
                <w:szCs w:val="18"/>
              </w:rPr>
            </w:pPr>
            <w:r>
              <w:rPr>
                <w:rFonts w:ascii="Times New Roman"/>
                <w:sz w:val="18"/>
              </w:rPr>
              <w:t>1,3</w:t>
            </w:r>
          </w:p>
        </w:tc>
        <w:tc>
          <w:tcPr>
            <w:tcW w:w="466" w:type="dxa"/>
            <w:vMerge/>
            <w:tcBorders>
              <w:left w:val="single" w:sz="4" w:space="0" w:color="000000"/>
              <w:right w:val="single" w:sz="4" w:space="0" w:color="000000"/>
            </w:tcBorders>
          </w:tcPr>
          <w:p>
            <w:pPr/>
          </w:p>
        </w:tc>
        <w:tc>
          <w:tcPr>
            <w:tcW w:w="467" w:type="dxa"/>
            <w:vMerge/>
            <w:tcBorders>
              <w:left w:val="single" w:sz="4" w:space="0" w:color="000000"/>
              <w:right w:val="single" w:sz="4" w:space="0" w:color="000000"/>
            </w:tcBorders>
          </w:tcPr>
          <w:p>
            <w:pPr/>
          </w:p>
        </w:tc>
        <w:tc>
          <w:tcPr>
            <w:tcW w:w="468" w:type="dxa"/>
            <w:vMerge/>
            <w:tcBorders>
              <w:left w:val="single" w:sz="4" w:space="0" w:color="000000"/>
              <w:right w:val="single" w:sz="4" w:space="0" w:color="000000"/>
            </w:tcBorders>
          </w:tcPr>
          <w:p>
            <w:pPr/>
          </w:p>
        </w:tc>
        <w:tc>
          <w:tcPr>
            <w:tcW w:w="583"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8"/>
                <w:szCs w:val="18"/>
              </w:rPr>
            </w:pPr>
            <w:r>
              <w:rPr>
                <w:rFonts w:ascii="Times New Roman"/>
                <w:sz w:val="18"/>
              </w:rPr>
              <w:t>07</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8"/>
                <w:szCs w:val="18"/>
              </w:rPr>
            </w:pPr>
            <w:r>
              <w:rPr>
                <w:rFonts w:ascii="Times New Roman"/>
                <w:sz w:val="18"/>
              </w:rPr>
              <w:t>1.25</w:t>
            </w:r>
          </w:p>
        </w:tc>
        <w:tc>
          <w:tcPr>
            <w:tcW w:w="584" w:type="dxa"/>
            <w:vMerge/>
            <w:tcBorders>
              <w:left w:val="single" w:sz="4" w:space="0" w:color="000000"/>
              <w:right w:val="single" w:sz="4" w:space="0" w:color="000000"/>
            </w:tcBorders>
          </w:tcPr>
          <w:p>
            <w:pPr/>
          </w:p>
        </w:tc>
        <w:tc>
          <w:tcPr>
            <w:tcW w:w="583"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8"/>
                <w:szCs w:val="18"/>
              </w:rPr>
            </w:pPr>
            <w:r>
              <w:rPr>
                <w:rFonts w:ascii="Times New Roman"/>
                <w:sz w:val="18"/>
              </w:rPr>
              <w:t>309.</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left="52" w:right="0"/>
              <w:jc w:val="center"/>
              <w:rPr>
                <w:rFonts w:ascii="Times New Roman" w:hAnsi="Times New Roman" w:cs="Times New Roman" w:eastAsia="Times New Roman" w:hint="default"/>
                <w:sz w:val="18"/>
                <w:szCs w:val="18"/>
              </w:rPr>
            </w:pPr>
            <w:r>
              <w:rPr>
                <w:rFonts w:ascii="Times New Roman"/>
                <w:sz w:val="18"/>
              </w:rPr>
              <w:t>5,35</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8"/>
                <w:szCs w:val="18"/>
              </w:rPr>
            </w:pPr>
            <w:r>
              <w:rPr>
                <w:rFonts w:ascii="Times New Roman"/>
                <w:sz w:val="18"/>
              </w:rPr>
              <w:t>9,80</w:t>
            </w: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8"/>
                <w:szCs w:val="18"/>
              </w:rPr>
            </w:pPr>
            <w:r>
              <w:rPr>
                <w:rFonts w:ascii="Times New Roman"/>
                <w:sz w:val="18"/>
              </w:rPr>
              <w:t>74.7</w:t>
            </w:r>
          </w:p>
        </w:tc>
        <w:tc>
          <w:tcPr>
            <w:tcW w:w="578"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left="46" w:right="0"/>
              <w:jc w:val="center"/>
              <w:rPr>
                <w:rFonts w:ascii="Times New Roman" w:hAnsi="Times New Roman" w:cs="Times New Roman" w:eastAsia="Times New Roman" w:hint="default"/>
                <w:sz w:val="18"/>
                <w:szCs w:val="18"/>
              </w:rPr>
            </w:pPr>
            <w:r>
              <w:rPr>
                <w:rFonts w:ascii="Times New Roman"/>
                <w:sz w:val="18"/>
              </w:rPr>
              <w:t>9,48</w:t>
            </w:r>
          </w:p>
        </w:tc>
      </w:tr>
      <w:tr>
        <w:trPr>
          <w:trHeight w:val="312" w:hRule="exact"/>
        </w:trPr>
        <w:tc>
          <w:tcPr>
            <w:tcW w:w="1253" w:type="dxa"/>
            <w:tcBorders>
              <w:top w:val="nil" w:sz="6" w:space="0" w:color="auto"/>
              <w:left w:val="single" w:sz="4" w:space="0" w:color="000000"/>
              <w:bottom w:val="nil" w:sz="6" w:space="0" w:color="auto"/>
              <w:right w:val="single" w:sz="4" w:space="0" w:color="000000"/>
            </w:tcBorders>
            <w:shd w:val="clear" w:color="auto" w:fill="D3D3D3"/>
          </w:tcPr>
          <w:p>
            <w:pPr/>
          </w:p>
        </w:tc>
        <w:tc>
          <w:tcPr>
            <w:tcW w:w="493"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101"/>
              <w:jc w:val="right"/>
              <w:rPr>
                <w:rFonts w:ascii="Times New Roman" w:hAnsi="Times New Roman" w:cs="Times New Roman" w:eastAsia="Times New Roman" w:hint="default"/>
                <w:sz w:val="18"/>
                <w:szCs w:val="18"/>
              </w:rPr>
            </w:pPr>
            <w:r>
              <w:rPr>
                <w:rFonts w:ascii="Times New Roman"/>
                <w:sz w:val="18"/>
              </w:rPr>
              <w:t>54.</w:t>
            </w:r>
          </w:p>
        </w:tc>
        <w:tc>
          <w:tcPr>
            <w:tcW w:w="466" w:type="dxa"/>
            <w:vMerge/>
            <w:tcBorders>
              <w:left w:val="single" w:sz="4" w:space="0" w:color="000000"/>
              <w:right w:val="single" w:sz="4" w:space="0" w:color="000000"/>
            </w:tcBorders>
          </w:tcPr>
          <w:p>
            <w:pPr/>
          </w:p>
        </w:tc>
        <w:tc>
          <w:tcPr>
            <w:tcW w:w="467" w:type="dxa"/>
            <w:vMerge/>
            <w:tcBorders>
              <w:left w:val="single" w:sz="4" w:space="0" w:color="000000"/>
              <w:right w:val="single" w:sz="4" w:space="0" w:color="000000"/>
            </w:tcBorders>
          </w:tcPr>
          <w:p>
            <w:pPr/>
          </w:p>
        </w:tc>
        <w:tc>
          <w:tcPr>
            <w:tcW w:w="468" w:type="dxa"/>
            <w:vMerge/>
            <w:tcBorders>
              <w:left w:val="single" w:sz="4" w:space="0" w:color="000000"/>
              <w:right w:val="single" w:sz="4" w:space="0" w:color="000000"/>
            </w:tcBorders>
          </w:tcPr>
          <w:p>
            <w:pPr/>
          </w:p>
        </w:tc>
        <w:tc>
          <w:tcPr>
            <w:tcW w:w="583" w:type="dxa"/>
            <w:tcBorders>
              <w:top w:val="nil" w:sz="6" w:space="0" w:color="auto"/>
              <w:left w:val="single" w:sz="4" w:space="0" w:color="000000"/>
              <w:bottom w:val="nil" w:sz="6" w:space="0" w:color="auto"/>
              <w:right w:val="single" w:sz="4" w:space="0" w:color="000000"/>
            </w:tcBorders>
          </w:tcPr>
          <w:p>
            <w:pP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
        </w:tc>
        <w:tc>
          <w:tcPr>
            <w:tcW w:w="584" w:type="dxa"/>
            <w:vMerge/>
            <w:tcBorders>
              <w:left w:val="single" w:sz="4" w:space="0" w:color="000000"/>
              <w:right w:val="single" w:sz="4" w:space="0" w:color="000000"/>
            </w:tcBorders>
          </w:tcPr>
          <w:p>
            <w:pPr/>
          </w:p>
        </w:tc>
        <w:tc>
          <w:tcPr>
            <w:tcW w:w="583"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101"/>
              <w:jc w:val="right"/>
              <w:rPr>
                <w:rFonts w:ascii="Times New Roman" w:hAnsi="Times New Roman" w:cs="Times New Roman" w:eastAsia="Times New Roman" w:hint="default"/>
                <w:sz w:val="18"/>
                <w:szCs w:val="18"/>
              </w:rPr>
            </w:pPr>
            <w:r>
              <w:rPr>
                <w:rFonts w:ascii="Times New Roman"/>
                <w:sz w:val="18"/>
              </w:rPr>
              <w:t>90</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left="52" w:right="0"/>
              <w:jc w:val="center"/>
              <w:rPr>
                <w:rFonts w:ascii="Times New Roman" w:hAnsi="Times New Roman" w:cs="Times New Roman" w:eastAsia="Times New Roman" w:hint="default"/>
                <w:sz w:val="18"/>
                <w:szCs w:val="18"/>
              </w:rPr>
            </w:pPr>
            <w:r>
              <w:rPr>
                <w:rFonts w:ascii="Times New Roman"/>
                <w:sz w:val="18"/>
              </w:rPr>
              <w:t>1.76</w:t>
            </w:r>
          </w:p>
        </w:tc>
        <w:tc>
          <w:tcPr>
            <w:tcW w:w="584" w:type="dxa"/>
            <w:vMerge/>
            <w:tcBorders>
              <w:left w:val="single" w:sz="4" w:space="0" w:color="000000"/>
              <w:right w:val="single" w:sz="4" w:space="0" w:color="000000"/>
            </w:tcBorders>
          </w:tcPr>
          <w:p>
            <w:pP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101"/>
              <w:jc w:val="right"/>
              <w:rPr>
                <w:rFonts w:ascii="Times New Roman" w:hAnsi="Times New Roman" w:cs="Times New Roman" w:eastAsia="Times New Roman" w:hint="default"/>
                <w:sz w:val="18"/>
                <w:szCs w:val="18"/>
              </w:rPr>
            </w:pPr>
            <w:r>
              <w:rPr>
                <w:rFonts w:ascii="Times New Roman"/>
                <w:sz w:val="18"/>
              </w:rPr>
              <w:t>8.98</w:t>
            </w:r>
          </w:p>
        </w:tc>
        <w:tc>
          <w:tcPr>
            <w:tcW w:w="584"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101"/>
              <w:jc w:val="right"/>
              <w:rPr>
                <w:rFonts w:ascii="Times New Roman" w:hAnsi="Times New Roman" w:cs="Times New Roman" w:eastAsia="Times New Roman" w:hint="default"/>
                <w:sz w:val="18"/>
                <w:szCs w:val="18"/>
              </w:rPr>
            </w:pPr>
            <w:r>
              <w:rPr>
                <w:rFonts w:ascii="Times New Roman"/>
                <w:sz w:val="18"/>
              </w:rPr>
              <w:t>4</w:t>
            </w:r>
          </w:p>
        </w:tc>
        <w:tc>
          <w:tcPr>
            <w:tcW w:w="578"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left="46" w:right="0"/>
              <w:jc w:val="center"/>
              <w:rPr>
                <w:rFonts w:ascii="Times New Roman" w:hAnsi="Times New Roman" w:cs="Times New Roman" w:eastAsia="Times New Roman" w:hint="default"/>
                <w:sz w:val="18"/>
                <w:szCs w:val="18"/>
              </w:rPr>
            </w:pPr>
            <w:r>
              <w:rPr>
                <w:rFonts w:ascii="Times New Roman"/>
                <w:sz w:val="18"/>
              </w:rPr>
              <w:t>3.72</w:t>
            </w:r>
          </w:p>
        </w:tc>
      </w:tr>
      <w:tr>
        <w:trPr>
          <w:trHeight w:val="349" w:hRule="exact"/>
        </w:trPr>
        <w:tc>
          <w:tcPr>
            <w:tcW w:w="1253" w:type="dxa"/>
            <w:tcBorders>
              <w:top w:val="nil" w:sz="6" w:space="0" w:color="auto"/>
              <w:left w:val="single" w:sz="4" w:space="0" w:color="000000"/>
              <w:bottom w:val="single" w:sz="4" w:space="0" w:color="000000"/>
              <w:right w:val="single" w:sz="4" w:space="0" w:color="000000"/>
            </w:tcBorders>
            <w:shd w:val="clear" w:color="auto" w:fill="D3D3D3"/>
          </w:tcPr>
          <w:p>
            <w:pPr/>
          </w:p>
        </w:tc>
        <w:tc>
          <w:tcPr>
            <w:tcW w:w="49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8"/>
                <w:szCs w:val="18"/>
              </w:rPr>
            </w:pPr>
            <w:r>
              <w:rPr>
                <w:rFonts w:ascii="Times New Roman"/>
                <w:sz w:val="18"/>
              </w:rPr>
              <w:t>00</w:t>
            </w:r>
          </w:p>
        </w:tc>
        <w:tc>
          <w:tcPr>
            <w:tcW w:w="466" w:type="dxa"/>
            <w:vMerge/>
            <w:tcBorders>
              <w:left w:val="single" w:sz="4" w:space="0" w:color="000000"/>
              <w:bottom w:val="single" w:sz="4" w:space="0" w:color="000000"/>
              <w:right w:val="single" w:sz="4" w:space="0" w:color="000000"/>
            </w:tcBorders>
          </w:tcPr>
          <w:p>
            <w:pPr/>
          </w:p>
        </w:tc>
        <w:tc>
          <w:tcPr>
            <w:tcW w:w="467" w:type="dxa"/>
            <w:vMerge/>
            <w:tcBorders>
              <w:left w:val="single" w:sz="4" w:space="0" w:color="000000"/>
              <w:bottom w:val="single" w:sz="4" w:space="0" w:color="000000"/>
              <w:right w:val="single" w:sz="4" w:space="0" w:color="000000"/>
            </w:tcBorders>
          </w:tcPr>
          <w:p>
            <w:pPr/>
          </w:p>
        </w:tc>
        <w:tc>
          <w:tcPr>
            <w:tcW w:w="468" w:type="dxa"/>
            <w:vMerge/>
            <w:tcBorders>
              <w:left w:val="single" w:sz="4" w:space="0" w:color="000000"/>
              <w:bottom w:val="single" w:sz="4" w:space="0" w:color="000000"/>
              <w:right w:val="single" w:sz="4" w:space="0" w:color="000000"/>
            </w:tcBorders>
          </w:tcPr>
          <w:p>
            <w:pPr/>
          </w:p>
        </w:tc>
        <w:tc>
          <w:tcPr>
            <w:tcW w:w="583" w:type="dxa"/>
            <w:tcBorders>
              <w:top w:val="nil" w:sz="6" w:space="0" w:color="auto"/>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tcBorders>
              <w:top w:val="nil" w:sz="6" w:space="0" w:color="auto"/>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3" w:type="dxa"/>
            <w:tcBorders>
              <w:top w:val="nil" w:sz="6" w:space="0" w:color="auto"/>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tcBorders>
              <w:top w:val="nil" w:sz="6" w:space="0" w:color="auto"/>
              <w:left w:val="single" w:sz="4" w:space="0" w:color="000000"/>
              <w:bottom w:val="single" w:sz="4" w:space="0" w:color="000000"/>
              <w:right w:val="single" w:sz="4" w:space="0" w:color="000000"/>
            </w:tcBorders>
          </w:tcPr>
          <w:p>
            <w:pPr/>
          </w:p>
        </w:tc>
        <w:tc>
          <w:tcPr>
            <w:tcW w:w="584" w:type="dxa"/>
            <w:vMerge/>
            <w:tcBorders>
              <w:left w:val="single" w:sz="4" w:space="0" w:color="000000"/>
              <w:bottom w:val="single" w:sz="4" w:space="0" w:color="000000"/>
              <w:right w:val="single" w:sz="4" w:space="0" w:color="000000"/>
            </w:tcBorders>
          </w:tcPr>
          <w:p>
            <w:pPr/>
          </w:p>
        </w:tc>
        <w:tc>
          <w:tcPr>
            <w:tcW w:w="584" w:type="dxa"/>
            <w:tcBorders>
              <w:top w:val="nil" w:sz="6" w:space="0" w:color="auto"/>
              <w:left w:val="single" w:sz="4" w:space="0" w:color="000000"/>
              <w:bottom w:val="single" w:sz="4" w:space="0" w:color="000000"/>
              <w:right w:val="single" w:sz="4" w:space="0" w:color="000000"/>
            </w:tcBorders>
          </w:tcPr>
          <w:p>
            <w:pPr/>
          </w:p>
        </w:tc>
        <w:tc>
          <w:tcPr>
            <w:tcW w:w="584" w:type="dxa"/>
            <w:tcBorders>
              <w:top w:val="nil" w:sz="6" w:space="0" w:color="auto"/>
              <w:left w:val="single" w:sz="4" w:space="0" w:color="000000"/>
              <w:bottom w:val="single" w:sz="4" w:space="0" w:color="000000"/>
              <w:right w:val="single" w:sz="4" w:space="0" w:color="000000"/>
            </w:tcBorders>
          </w:tcPr>
          <w:p>
            <w:pPr/>
          </w:p>
        </w:tc>
        <w:tc>
          <w:tcPr>
            <w:tcW w:w="578" w:type="dxa"/>
            <w:tcBorders>
              <w:top w:val="nil" w:sz="6" w:space="0" w:color="auto"/>
              <w:left w:val="single" w:sz="4" w:space="0" w:color="000000"/>
              <w:bottom w:val="single" w:sz="4" w:space="0" w:color="000000"/>
              <w:right w:val="single" w:sz="4" w:space="0" w:color="000000"/>
            </w:tcBorders>
          </w:tcPr>
          <w:p>
            <w:pPr/>
          </w:p>
        </w:tc>
      </w:tr>
    </w:tbl>
    <w:p>
      <w:pPr>
        <w:pStyle w:val="BodyText"/>
        <w:spacing w:line="240" w:lineRule="auto" w:before="49"/>
        <w:ind w:right="0"/>
        <w:jc w:val="left"/>
      </w:pPr>
      <w:r>
        <w:rPr/>
        <w:t>上期金额</w:t>
      </w:r>
    </w:p>
    <w:p>
      <w:pPr>
        <w:pStyle w:val="BodyText"/>
        <w:spacing w:line="240" w:lineRule="auto" w:before="116"/>
        <w:ind w:left="0" w:right="1132"/>
        <w:jc w:val="right"/>
      </w:pPr>
      <w:r>
        <w:rPr>
          <w:spacing w:val="-1"/>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212"/>
        <w:gridCol w:w="490"/>
        <w:gridCol w:w="449"/>
        <w:gridCol w:w="449"/>
        <w:gridCol w:w="491"/>
        <w:gridCol w:w="576"/>
        <w:gridCol w:w="577"/>
        <w:gridCol w:w="577"/>
        <w:gridCol w:w="577"/>
        <w:gridCol w:w="576"/>
        <w:gridCol w:w="577"/>
        <w:gridCol w:w="589"/>
        <w:gridCol w:w="567"/>
        <w:gridCol w:w="567"/>
        <w:gridCol w:w="643"/>
        <w:gridCol w:w="651"/>
      </w:tblGrid>
      <w:tr>
        <w:trPr>
          <w:trHeight w:val="402" w:hRule="exact"/>
        </w:trPr>
        <w:tc>
          <w:tcPr>
            <w:tcW w:w="1212"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8356" w:type="dxa"/>
            <w:gridSpan w:val="15"/>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年年度</w:t>
            </w:r>
          </w:p>
        </w:tc>
      </w:tr>
      <w:tr>
        <w:trPr>
          <w:trHeight w:val="402" w:hRule="exact"/>
        </w:trPr>
        <w:tc>
          <w:tcPr>
            <w:tcW w:w="1212" w:type="dxa"/>
            <w:vMerge/>
            <w:tcBorders>
              <w:left w:val="single" w:sz="4" w:space="0" w:color="000000"/>
              <w:right w:val="single" w:sz="4" w:space="0" w:color="000000"/>
            </w:tcBorders>
            <w:shd w:val="clear" w:color="auto" w:fill="D3D3D3"/>
          </w:tcPr>
          <w:p>
            <w:pPr/>
          </w:p>
        </w:tc>
        <w:tc>
          <w:tcPr>
            <w:tcW w:w="7062" w:type="dxa"/>
            <w:gridSpan w:val="13"/>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643"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6"/>
                <w:szCs w:val="16"/>
              </w:rPr>
            </w:pPr>
          </w:p>
          <w:p>
            <w:pPr>
              <w:pStyle w:val="TableParagraph"/>
              <w:spacing w:line="316" w:lineRule="auto"/>
              <w:ind w:left="135" w:right="135"/>
              <w:jc w:val="both"/>
              <w:rPr>
                <w:rFonts w:ascii="宋体" w:hAnsi="宋体" w:cs="宋体" w:eastAsia="宋体" w:hint="default"/>
                <w:sz w:val="18"/>
                <w:szCs w:val="18"/>
              </w:rPr>
            </w:pPr>
            <w:r>
              <w:rPr>
                <w:rFonts w:ascii="宋体" w:hAnsi="宋体" w:cs="宋体" w:eastAsia="宋体" w:hint="default"/>
                <w:sz w:val="18"/>
                <w:szCs w:val="18"/>
              </w:rPr>
              <w:t>少数 股东 权益</w:t>
            </w:r>
          </w:p>
        </w:tc>
        <w:tc>
          <w:tcPr>
            <w:tcW w:w="651"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8"/>
              <w:ind w:right="0"/>
              <w:jc w:val="left"/>
              <w:rPr>
                <w:rFonts w:ascii="宋体" w:hAnsi="宋体" w:cs="宋体" w:eastAsia="宋体" w:hint="default"/>
                <w:sz w:val="22"/>
                <w:szCs w:val="22"/>
              </w:rPr>
            </w:pPr>
          </w:p>
          <w:p>
            <w:pPr>
              <w:pStyle w:val="TableParagraph"/>
              <w:spacing w:line="316" w:lineRule="auto"/>
              <w:ind w:left="140" w:right="139"/>
              <w:jc w:val="both"/>
              <w:rPr>
                <w:rFonts w:ascii="宋体" w:hAnsi="宋体" w:cs="宋体" w:eastAsia="宋体" w:hint="default"/>
                <w:sz w:val="18"/>
                <w:szCs w:val="18"/>
              </w:rPr>
            </w:pPr>
            <w:r>
              <w:rPr>
                <w:rFonts w:ascii="宋体" w:hAnsi="宋体" w:cs="宋体" w:eastAsia="宋体" w:hint="default"/>
                <w:sz w:val="18"/>
                <w:szCs w:val="18"/>
              </w:rPr>
              <w:t>所有 者权 益合 计</w:t>
            </w:r>
          </w:p>
        </w:tc>
      </w:tr>
      <w:tr>
        <w:trPr>
          <w:trHeight w:val="402" w:hRule="exact"/>
        </w:trPr>
        <w:tc>
          <w:tcPr>
            <w:tcW w:w="1212" w:type="dxa"/>
            <w:vMerge/>
            <w:tcBorders>
              <w:left w:val="single" w:sz="4" w:space="0" w:color="000000"/>
              <w:right w:val="single" w:sz="4" w:space="0" w:color="000000"/>
            </w:tcBorders>
            <w:shd w:val="clear" w:color="auto" w:fill="D3D3D3"/>
          </w:tcPr>
          <w:p>
            <w:pPr/>
          </w:p>
        </w:tc>
        <w:tc>
          <w:tcPr>
            <w:tcW w:w="490"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316" w:lineRule="auto"/>
              <w:ind w:left="149" w:right="148"/>
              <w:jc w:val="left"/>
              <w:rPr>
                <w:rFonts w:ascii="宋体" w:hAnsi="宋体" w:cs="宋体" w:eastAsia="宋体" w:hint="default"/>
                <w:sz w:val="18"/>
                <w:szCs w:val="18"/>
              </w:rPr>
            </w:pPr>
            <w:r>
              <w:rPr>
                <w:rFonts w:ascii="宋体" w:hAnsi="宋体" w:cs="宋体" w:eastAsia="宋体" w:hint="default"/>
                <w:sz w:val="18"/>
                <w:szCs w:val="18"/>
              </w:rPr>
              <w:t>股 本</w:t>
            </w:r>
          </w:p>
        </w:tc>
        <w:tc>
          <w:tcPr>
            <w:tcW w:w="1389" w:type="dxa"/>
            <w:gridSpan w:val="3"/>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49"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576"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316" w:lineRule="auto"/>
              <w:ind w:left="103" w:right="101"/>
              <w:jc w:val="left"/>
              <w:rPr>
                <w:rFonts w:ascii="宋体" w:hAnsi="宋体" w:cs="宋体" w:eastAsia="宋体" w:hint="default"/>
                <w:sz w:val="18"/>
                <w:szCs w:val="18"/>
              </w:rPr>
            </w:pPr>
            <w:r>
              <w:rPr>
                <w:rFonts w:ascii="宋体" w:hAnsi="宋体" w:cs="宋体" w:eastAsia="宋体" w:hint="default"/>
                <w:sz w:val="18"/>
                <w:szCs w:val="18"/>
              </w:rPr>
              <w:t>资本 公积</w:t>
            </w:r>
          </w:p>
        </w:tc>
        <w:tc>
          <w:tcPr>
            <w:tcW w:w="577"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19"/>
                <w:szCs w:val="19"/>
              </w:rPr>
            </w:pPr>
          </w:p>
          <w:p>
            <w:pPr>
              <w:pStyle w:val="TableParagraph"/>
              <w:spacing w:line="316" w:lineRule="auto"/>
              <w:ind w:left="103" w:right="102"/>
              <w:jc w:val="both"/>
              <w:rPr>
                <w:rFonts w:ascii="宋体" w:hAnsi="宋体" w:cs="宋体" w:eastAsia="宋体" w:hint="default"/>
                <w:sz w:val="18"/>
                <w:szCs w:val="18"/>
              </w:rPr>
            </w:pPr>
            <w:r>
              <w:rPr>
                <w:rFonts w:ascii="宋体" w:hAnsi="宋体" w:cs="宋体" w:eastAsia="宋体" w:hint="default"/>
                <w:sz w:val="18"/>
                <w:szCs w:val="18"/>
              </w:rPr>
              <w:t>减： 库存 股</w:t>
            </w:r>
          </w:p>
        </w:tc>
        <w:tc>
          <w:tcPr>
            <w:tcW w:w="577"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19"/>
                <w:szCs w:val="19"/>
              </w:rPr>
            </w:pPr>
          </w:p>
          <w:p>
            <w:pPr>
              <w:pStyle w:val="TableParagraph"/>
              <w:spacing w:line="316" w:lineRule="auto"/>
              <w:ind w:left="103" w:right="102"/>
              <w:jc w:val="both"/>
              <w:rPr>
                <w:rFonts w:ascii="宋体" w:hAnsi="宋体" w:cs="宋体" w:eastAsia="宋体" w:hint="default"/>
                <w:sz w:val="18"/>
                <w:szCs w:val="18"/>
              </w:rPr>
            </w:pPr>
            <w:r>
              <w:rPr>
                <w:rFonts w:ascii="宋体" w:hAnsi="宋体" w:cs="宋体" w:eastAsia="宋体" w:hint="default"/>
                <w:sz w:val="18"/>
                <w:szCs w:val="18"/>
              </w:rPr>
              <w:t>其他 综合 收益</w:t>
            </w:r>
          </w:p>
        </w:tc>
        <w:tc>
          <w:tcPr>
            <w:tcW w:w="577"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316" w:lineRule="auto"/>
              <w:ind w:left="102" w:right="102"/>
              <w:jc w:val="left"/>
              <w:rPr>
                <w:rFonts w:ascii="宋体" w:hAnsi="宋体" w:cs="宋体" w:eastAsia="宋体" w:hint="default"/>
                <w:sz w:val="18"/>
                <w:szCs w:val="18"/>
              </w:rPr>
            </w:pPr>
            <w:r>
              <w:rPr>
                <w:rFonts w:ascii="宋体" w:hAnsi="宋体" w:cs="宋体" w:eastAsia="宋体" w:hint="default"/>
                <w:sz w:val="18"/>
                <w:szCs w:val="18"/>
              </w:rPr>
              <w:t>专项 储备</w:t>
            </w:r>
          </w:p>
        </w:tc>
        <w:tc>
          <w:tcPr>
            <w:tcW w:w="576"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316" w:lineRule="auto"/>
              <w:ind w:left="103" w:right="101"/>
              <w:jc w:val="left"/>
              <w:rPr>
                <w:rFonts w:ascii="宋体" w:hAnsi="宋体" w:cs="宋体" w:eastAsia="宋体" w:hint="default"/>
                <w:sz w:val="18"/>
                <w:szCs w:val="18"/>
              </w:rPr>
            </w:pPr>
            <w:r>
              <w:rPr>
                <w:rFonts w:ascii="宋体" w:hAnsi="宋体" w:cs="宋体" w:eastAsia="宋体" w:hint="default"/>
                <w:sz w:val="18"/>
                <w:szCs w:val="18"/>
              </w:rPr>
              <w:t>盈余 公积</w:t>
            </w:r>
          </w:p>
        </w:tc>
        <w:tc>
          <w:tcPr>
            <w:tcW w:w="577"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19"/>
                <w:szCs w:val="19"/>
              </w:rPr>
            </w:pPr>
          </w:p>
          <w:p>
            <w:pPr>
              <w:pStyle w:val="TableParagraph"/>
              <w:spacing w:line="316" w:lineRule="auto"/>
              <w:ind w:left="103" w:right="102"/>
              <w:jc w:val="both"/>
              <w:rPr>
                <w:rFonts w:ascii="宋体" w:hAnsi="宋体" w:cs="宋体" w:eastAsia="宋体" w:hint="default"/>
                <w:sz w:val="18"/>
                <w:szCs w:val="18"/>
              </w:rPr>
            </w:pPr>
            <w:r>
              <w:rPr>
                <w:rFonts w:ascii="宋体" w:hAnsi="宋体" w:cs="宋体" w:eastAsia="宋体" w:hint="default"/>
                <w:sz w:val="18"/>
                <w:szCs w:val="18"/>
              </w:rPr>
              <w:t>一般 风险 准备</w:t>
            </w:r>
          </w:p>
        </w:tc>
        <w:tc>
          <w:tcPr>
            <w:tcW w:w="589"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19"/>
                <w:szCs w:val="19"/>
              </w:rPr>
            </w:pPr>
          </w:p>
          <w:p>
            <w:pPr>
              <w:pStyle w:val="TableParagraph"/>
              <w:spacing w:line="316" w:lineRule="auto"/>
              <w:ind w:left="109" w:right="108"/>
              <w:jc w:val="both"/>
              <w:rPr>
                <w:rFonts w:ascii="宋体" w:hAnsi="宋体" w:cs="宋体" w:eastAsia="宋体" w:hint="default"/>
                <w:sz w:val="18"/>
                <w:szCs w:val="18"/>
              </w:rPr>
            </w:pPr>
            <w:r>
              <w:rPr>
                <w:rFonts w:ascii="宋体" w:hAnsi="宋体" w:cs="宋体" w:eastAsia="宋体" w:hint="default"/>
                <w:sz w:val="18"/>
                <w:szCs w:val="18"/>
              </w:rPr>
              <w:t>未分 配利 润</w:t>
            </w:r>
          </w:p>
        </w:tc>
        <w:tc>
          <w:tcPr>
            <w:tcW w:w="567"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316" w:lineRule="auto"/>
              <w:ind w:left="187" w:right="187"/>
              <w:jc w:val="center"/>
              <w:rPr>
                <w:rFonts w:ascii="宋体" w:hAnsi="宋体" w:cs="宋体" w:eastAsia="宋体" w:hint="default"/>
                <w:sz w:val="18"/>
                <w:szCs w:val="18"/>
              </w:rPr>
            </w:pPr>
            <w:r>
              <w:rPr>
                <w:rFonts w:ascii="宋体" w:hAnsi="宋体" w:cs="宋体" w:eastAsia="宋体" w:hint="default"/>
                <w:sz w:val="18"/>
                <w:szCs w:val="18"/>
              </w:rPr>
              <w:t>其 他</w:t>
            </w:r>
          </w:p>
        </w:tc>
        <w:tc>
          <w:tcPr>
            <w:tcW w:w="567"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316" w:lineRule="auto"/>
              <w:ind w:left="187" w:right="187"/>
              <w:jc w:val="center"/>
              <w:rPr>
                <w:rFonts w:ascii="宋体" w:hAnsi="宋体" w:cs="宋体" w:eastAsia="宋体" w:hint="default"/>
                <w:sz w:val="18"/>
                <w:szCs w:val="18"/>
              </w:rPr>
            </w:pPr>
            <w:r>
              <w:rPr>
                <w:rFonts w:ascii="宋体" w:hAnsi="宋体" w:cs="宋体" w:eastAsia="宋体" w:hint="default"/>
                <w:sz w:val="18"/>
                <w:szCs w:val="18"/>
              </w:rPr>
              <w:t>小 计</w:t>
            </w:r>
          </w:p>
        </w:tc>
        <w:tc>
          <w:tcPr>
            <w:tcW w:w="643" w:type="dxa"/>
            <w:vMerge/>
            <w:tcBorders>
              <w:left w:val="single" w:sz="4" w:space="0" w:color="000000"/>
              <w:right w:val="single" w:sz="4" w:space="0" w:color="000000"/>
            </w:tcBorders>
            <w:shd w:val="clear" w:color="auto" w:fill="D3D3D3"/>
          </w:tcPr>
          <w:p>
            <w:pPr/>
          </w:p>
        </w:tc>
        <w:tc>
          <w:tcPr>
            <w:tcW w:w="651" w:type="dxa"/>
            <w:vMerge/>
            <w:tcBorders>
              <w:left w:val="single" w:sz="4" w:space="0" w:color="000000"/>
              <w:right w:val="single" w:sz="4" w:space="0" w:color="000000"/>
            </w:tcBorders>
            <w:shd w:val="clear" w:color="auto" w:fill="D3D3D3"/>
          </w:tcPr>
          <w:p>
            <w:pPr/>
          </w:p>
        </w:tc>
      </w:tr>
      <w:tr>
        <w:trPr>
          <w:trHeight w:val="1026" w:hRule="exact"/>
        </w:trPr>
        <w:tc>
          <w:tcPr>
            <w:tcW w:w="1212" w:type="dxa"/>
            <w:vMerge/>
            <w:tcBorders>
              <w:left w:val="single" w:sz="4" w:space="0" w:color="000000"/>
              <w:bottom w:val="single" w:sz="4" w:space="0" w:color="000000"/>
              <w:right w:val="single" w:sz="4" w:space="0" w:color="000000"/>
            </w:tcBorders>
            <w:shd w:val="clear" w:color="auto" w:fill="D3D3D3"/>
          </w:tcPr>
          <w:p>
            <w:pPr/>
          </w:p>
        </w:tc>
        <w:tc>
          <w:tcPr>
            <w:tcW w:w="490" w:type="dxa"/>
            <w:vMerge/>
            <w:tcBorders>
              <w:left w:val="single" w:sz="4" w:space="0" w:color="000000"/>
              <w:bottom w:val="single" w:sz="4" w:space="0" w:color="000000"/>
              <w:right w:val="single" w:sz="4" w:space="0" w:color="000000"/>
            </w:tcBorders>
            <w:shd w:val="clear" w:color="auto" w:fill="D3D3D3"/>
          </w:tcPr>
          <w:p>
            <w:pPr/>
          </w:p>
        </w:tc>
        <w:tc>
          <w:tcPr>
            <w:tcW w:w="44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29" w:right="128"/>
              <w:jc w:val="both"/>
              <w:rPr>
                <w:rFonts w:ascii="宋体" w:hAnsi="宋体" w:cs="宋体" w:eastAsia="宋体" w:hint="default"/>
                <w:sz w:val="18"/>
                <w:szCs w:val="18"/>
              </w:rPr>
            </w:pPr>
            <w:r>
              <w:rPr>
                <w:rFonts w:ascii="宋体" w:hAnsi="宋体" w:cs="宋体" w:eastAsia="宋体" w:hint="default"/>
                <w:sz w:val="18"/>
                <w:szCs w:val="18"/>
              </w:rPr>
              <w:t>优 先 股</w:t>
            </w:r>
          </w:p>
        </w:tc>
        <w:tc>
          <w:tcPr>
            <w:tcW w:w="44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28" w:right="128"/>
              <w:jc w:val="both"/>
              <w:rPr>
                <w:rFonts w:ascii="宋体" w:hAnsi="宋体" w:cs="宋体" w:eastAsia="宋体" w:hint="default"/>
                <w:sz w:val="18"/>
                <w:szCs w:val="18"/>
              </w:rPr>
            </w:pPr>
            <w:r>
              <w:rPr>
                <w:rFonts w:ascii="宋体" w:hAnsi="宋体" w:cs="宋体" w:eastAsia="宋体" w:hint="default"/>
                <w:sz w:val="18"/>
                <w:szCs w:val="18"/>
              </w:rPr>
              <w:t>永 续 债</w:t>
            </w:r>
          </w:p>
        </w:tc>
        <w:tc>
          <w:tcPr>
            <w:tcW w:w="4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319" w:lineRule="auto"/>
              <w:ind w:left="149" w:right="149"/>
              <w:jc w:val="left"/>
              <w:rPr>
                <w:rFonts w:ascii="宋体" w:hAnsi="宋体" w:cs="宋体" w:eastAsia="宋体" w:hint="default"/>
                <w:sz w:val="18"/>
                <w:szCs w:val="18"/>
              </w:rPr>
            </w:pPr>
            <w:r>
              <w:rPr>
                <w:rFonts w:ascii="宋体" w:hAnsi="宋体" w:cs="宋体" w:eastAsia="宋体" w:hint="default"/>
                <w:sz w:val="18"/>
                <w:szCs w:val="18"/>
              </w:rPr>
              <w:t>其 他</w:t>
            </w:r>
          </w:p>
        </w:tc>
        <w:tc>
          <w:tcPr>
            <w:tcW w:w="576" w:type="dxa"/>
            <w:vMerge/>
            <w:tcBorders>
              <w:left w:val="single" w:sz="4" w:space="0" w:color="000000"/>
              <w:bottom w:val="single" w:sz="4" w:space="0" w:color="000000"/>
              <w:right w:val="single" w:sz="4" w:space="0" w:color="000000"/>
            </w:tcBorders>
            <w:shd w:val="clear" w:color="auto" w:fill="D3D3D3"/>
          </w:tcPr>
          <w:p>
            <w:pPr/>
          </w:p>
        </w:tc>
        <w:tc>
          <w:tcPr>
            <w:tcW w:w="577" w:type="dxa"/>
            <w:vMerge/>
            <w:tcBorders>
              <w:left w:val="single" w:sz="4" w:space="0" w:color="000000"/>
              <w:bottom w:val="single" w:sz="4" w:space="0" w:color="000000"/>
              <w:right w:val="single" w:sz="4" w:space="0" w:color="000000"/>
            </w:tcBorders>
            <w:shd w:val="clear" w:color="auto" w:fill="D3D3D3"/>
          </w:tcPr>
          <w:p>
            <w:pPr/>
          </w:p>
        </w:tc>
        <w:tc>
          <w:tcPr>
            <w:tcW w:w="577" w:type="dxa"/>
            <w:vMerge/>
            <w:tcBorders>
              <w:left w:val="single" w:sz="4" w:space="0" w:color="000000"/>
              <w:bottom w:val="single" w:sz="4" w:space="0" w:color="000000"/>
              <w:right w:val="single" w:sz="4" w:space="0" w:color="000000"/>
            </w:tcBorders>
            <w:shd w:val="clear" w:color="auto" w:fill="D3D3D3"/>
          </w:tcPr>
          <w:p>
            <w:pPr/>
          </w:p>
        </w:tc>
        <w:tc>
          <w:tcPr>
            <w:tcW w:w="577" w:type="dxa"/>
            <w:vMerge/>
            <w:tcBorders>
              <w:left w:val="single" w:sz="4" w:space="0" w:color="000000"/>
              <w:bottom w:val="single" w:sz="4" w:space="0" w:color="000000"/>
              <w:right w:val="single" w:sz="4" w:space="0" w:color="000000"/>
            </w:tcBorders>
            <w:shd w:val="clear" w:color="auto" w:fill="D3D3D3"/>
          </w:tcPr>
          <w:p>
            <w:pPr/>
          </w:p>
        </w:tc>
        <w:tc>
          <w:tcPr>
            <w:tcW w:w="576" w:type="dxa"/>
            <w:vMerge/>
            <w:tcBorders>
              <w:left w:val="single" w:sz="4" w:space="0" w:color="000000"/>
              <w:bottom w:val="single" w:sz="4" w:space="0" w:color="000000"/>
              <w:right w:val="single" w:sz="4" w:space="0" w:color="000000"/>
            </w:tcBorders>
            <w:shd w:val="clear" w:color="auto" w:fill="D3D3D3"/>
          </w:tcPr>
          <w:p>
            <w:pPr/>
          </w:p>
        </w:tc>
        <w:tc>
          <w:tcPr>
            <w:tcW w:w="577" w:type="dxa"/>
            <w:vMerge/>
            <w:tcBorders>
              <w:left w:val="single" w:sz="4" w:space="0" w:color="000000"/>
              <w:bottom w:val="single" w:sz="4" w:space="0" w:color="000000"/>
              <w:right w:val="single" w:sz="4" w:space="0" w:color="000000"/>
            </w:tcBorders>
            <w:shd w:val="clear" w:color="auto" w:fill="D3D3D3"/>
          </w:tcPr>
          <w:p>
            <w:pPr/>
          </w:p>
        </w:tc>
        <w:tc>
          <w:tcPr>
            <w:tcW w:w="589" w:type="dxa"/>
            <w:vMerge/>
            <w:tcBorders>
              <w:left w:val="single" w:sz="4" w:space="0" w:color="000000"/>
              <w:bottom w:val="single" w:sz="4" w:space="0" w:color="000000"/>
              <w:right w:val="single" w:sz="4" w:space="0" w:color="000000"/>
            </w:tcBorders>
            <w:shd w:val="clear" w:color="auto" w:fill="D3D3D3"/>
          </w:tcPr>
          <w:p>
            <w:pPr/>
          </w:p>
        </w:tc>
        <w:tc>
          <w:tcPr>
            <w:tcW w:w="567" w:type="dxa"/>
            <w:vMerge/>
            <w:tcBorders>
              <w:left w:val="single" w:sz="4" w:space="0" w:color="000000"/>
              <w:bottom w:val="single" w:sz="4" w:space="0" w:color="000000"/>
              <w:right w:val="single" w:sz="4" w:space="0" w:color="000000"/>
            </w:tcBorders>
            <w:shd w:val="clear" w:color="auto" w:fill="D3D3D3"/>
          </w:tcPr>
          <w:p>
            <w:pPr/>
          </w:p>
        </w:tc>
        <w:tc>
          <w:tcPr>
            <w:tcW w:w="567" w:type="dxa"/>
            <w:vMerge/>
            <w:tcBorders>
              <w:left w:val="single" w:sz="4" w:space="0" w:color="000000"/>
              <w:bottom w:val="single" w:sz="4" w:space="0" w:color="000000"/>
              <w:right w:val="single" w:sz="4" w:space="0" w:color="000000"/>
            </w:tcBorders>
            <w:shd w:val="clear" w:color="auto" w:fill="D3D3D3"/>
          </w:tcPr>
          <w:p>
            <w:pPr/>
          </w:p>
        </w:tc>
        <w:tc>
          <w:tcPr>
            <w:tcW w:w="643" w:type="dxa"/>
            <w:vMerge/>
            <w:tcBorders>
              <w:left w:val="single" w:sz="4" w:space="0" w:color="000000"/>
              <w:bottom w:val="single" w:sz="4" w:space="0" w:color="000000"/>
              <w:right w:val="single" w:sz="4" w:space="0" w:color="000000"/>
            </w:tcBorders>
            <w:shd w:val="clear" w:color="auto" w:fill="D3D3D3"/>
          </w:tcPr>
          <w:p>
            <w:pPr/>
          </w:p>
        </w:tc>
        <w:tc>
          <w:tcPr>
            <w:tcW w:w="651" w:type="dxa"/>
            <w:vMerge/>
            <w:tcBorders>
              <w:left w:val="single" w:sz="4" w:space="0" w:color="000000"/>
              <w:bottom w:val="single" w:sz="4" w:space="0" w:color="000000"/>
              <w:right w:val="single" w:sz="4" w:space="0" w:color="000000"/>
            </w:tcBorders>
            <w:shd w:val="clear" w:color="auto" w:fill="D3D3D3"/>
          </w:tcPr>
          <w:p>
            <w:pPr/>
          </w:p>
        </w:tc>
      </w:tr>
      <w:tr>
        <w:trPr>
          <w:trHeight w:val="1650"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316" w:lineRule="auto"/>
              <w:ind w:left="102" w:right="101"/>
              <w:jc w:val="left"/>
              <w:rPr>
                <w:rFonts w:ascii="宋体" w:hAnsi="宋体" w:cs="宋体" w:eastAsia="宋体" w:hint="default"/>
                <w:sz w:val="18"/>
                <w:szCs w:val="18"/>
              </w:rPr>
            </w:pPr>
            <w:r>
              <w:rPr>
                <w:rFonts w:ascii="宋体" w:hAnsi="宋体" w:cs="宋体" w:eastAsia="宋体" w:hint="default"/>
                <w:spacing w:val="-15"/>
                <w:sz w:val="18"/>
                <w:szCs w:val="18"/>
              </w:rPr>
              <w:t>一、上年期末</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余额</w:t>
            </w: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6" w:right="0"/>
              <w:jc w:val="left"/>
              <w:rPr>
                <w:rFonts w:ascii="Times New Roman" w:hAnsi="Times New Roman" w:cs="Times New Roman" w:eastAsia="Times New Roman" w:hint="default"/>
                <w:sz w:val="18"/>
                <w:szCs w:val="18"/>
              </w:rPr>
            </w:pPr>
            <w:r>
              <w:rPr>
                <w:rFonts w:ascii="Times New Roman"/>
                <w:sz w:val="18"/>
              </w:rPr>
              <w:t>712</w:t>
            </w:r>
          </w:p>
          <w:p>
            <w:pPr>
              <w:pStyle w:val="TableParagraph"/>
              <w:spacing w:line="240" w:lineRule="auto" w:before="105"/>
              <w:ind w:left="151" w:right="0"/>
              <w:jc w:val="left"/>
              <w:rPr>
                <w:rFonts w:ascii="Times New Roman" w:hAnsi="Times New Roman" w:cs="Times New Roman" w:eastAsia="Times New Roman" w:hint="default"/>
                <w:sz w:val="18"/>
                <w:szCs w:val="18"/>
              </w:rPr>
            </w:pPr>
            <w:r>
              <w:rPr>
                <w:rFonts w:ascii="Times New Roman"/>
                <w:sz w:val="18"/>
              </w:rPr>
              <w:t>,02</w:t>
            </w:r>
          </w:p>
          <w:p>
            <w:pPr>
              <w:pStyle w:val="TableParagraph"/>
              <w:spacing w:line="240" w:lineRule="auto" w:before="105"/>
              <w:ind w:left="151" w:right="0"/>
              <w:jc w:val="left"/>
              <w:rPr>
                <w:rFonts w:ascii="Times New Roman" w:hAnsi="Times New Roman" w:cs="Times New Roman" w:eastAsia="Times New Roman" w:hint="default"/>
                <w:sz w:val="18"/>
                <w:szCs w:val="18"/>
              </w:rPr>
            </w:pPr>
            <w:r>
              <w:rPr>
                <w:rFonts w:ascii="Times New Roman"/>
                <w:sz w:val="18"/>
              </w:rPr>
              <w:t>8,8</w:t>
            </w:r>
          </w:p>
          <w:p>
            <w:pPr>
              <w:pStyle w:val="TableParagraph"/>
              <w:spacing w:line="240" w:lineRule="auto" w:before="105"/>
              <w:ind w:left="151" w:right="0"/>
              <w:jc w:val="left"/>
              <w:rPr>
                <w:rFonts w:ascii="Times New Roman" w:hAnsi="Times New Roman" w:cs="Times New Roman" w:eastAsia="Times New Roman" w:hint="default"/>
                <w:sz w:val="18"/>
                <w:szCs w:val="18"/>
              </w:rPr>
            </w:pPr>
            <w:r>
              <w:rPr>
                <w:rFonts w:ascii="Times New Roman"/>
                <w:sz w:val="18"/>
              </w:rPr>
              <w:t>00.</w:t>
            </w:r>
          </w:p>
          <w:p>
            <w:pPr>
              <w:pStyle w:val="TableParagraph"/>
              <w:spacing w:line="240" w:lineRule="auto" w:before="105"/>
              <w:ind w:left="196" w:right="0"/>
              <w:jc w:val="left"/>
              <w:rPr>
                <w:rFonts w:ascii="Times New Roman" w:hAnsi="Times New Roman" w:cs="Times New Roman" w:eastAsia="Times New Roman" w:hint="default"/>
                <w:sz w:val="18"/>
                <w:szCs w:val="18"/>
              </w:rPr>
            </w:pPr>
            <w:r>
              <w:rPr>
                <w:rFonts w:ascii="Times New Roman"/>
                <w:sz w:val="18"/>
              </w:rPr>
              <w:t>00</w:t>
            </w: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74,5</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00,1</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00.8</w:t>
            </w:r>
          </w:p>
          <w:p>
            <w:pPr>
              <w:pStyle w:val="TableParagraph"/>
              <w:spacing w:line="240" w:lineRule="auto" w:before="105"/>
              <w:ind w:left="373" w:right="0"/>
              <w:jc w:val="left"/>
              <w:rPr>
                <w:rFonts w:ascii="Times New Roman" w:hAnsi="Times New Roman" w:cs="Times New Roman" w:eastAsia="Times New Roman" w:hint="default"/>
                <w:sz w:val="18"/>
                <w:szCs w:val="18"/>
              </w:rPr>
            </w:pPr>
            <w:r>
              <w:rPr>
                <w:rFonts w:ascii="Times New Roman"/>
                <w:sz w:val="18"/>
              </w:rPr>
              <w:t>1</w:t>
            </w: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1,02</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2,78</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6.65</w:t>
            </w: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center"/>
              <w:rPr>
                <w:rFonts w:ascii="Times New Roman" w:hAnsi="Times New Roman" w:cs="Times New Roman" w:eastAsia="Times New Roman" w:hint="default"/>
                <w:sz w:val="18"/>
                <w:szCs w:val="18"/>
              </w:rPr>
            </w:pPr>
            <w:r>
              <w:rPr>
                <w:rFonts w:ascii="Times New Roman"/>
                <w:sz w:val="18"/>
              </w:rPr>
              <w:t>192,</w:t>
            </w:r>
          </w:p>
          <w:p>
            <w:pPr>
              <w:pStyle w:val="TableParagraph"/>
              <w:spacing w:line="240" w:lineRule="auto" w:before="105"/>
              <w:ind w:left="45" w:right="0"/>
              <w:jc w:val="center"/>
              <w:rPr>
                <w:rFonts w:ascii="Times New Roman" w:hAnsi="Times New Roman" w:cs="Times New Roman" w:eastAsia="Times New Roman" w:hint="default"/>
                <w:sz w:val="18"/>
                <w:szCs w:val="18"/>
              </w:rPr>
            </w:pPr>
            <w:r>
              <w:rPr>
                <w:rFonts w:ascii="Times New Roman"/>
                <w:sz w:val="18"/>
              </w:rPr>
              <w:t>784,</w:t>
            </w:r>
          </w:p>
          <w:p>
            <w:pPr>
              <w:pStyle w:val="TableParagraph"/>
              <w:spacing w:line="240" w:lineRule="auto" w:before="105"/>
              <w:ind w:left="45" w:right="0"/>
              <w:jc w:val="center"/>
              <w:rPr>
                <w:rFonts w:ascii="Times New Roman" w:hAnsi="Times New Roman" w:cs="Times New Roman" w:eastAsia="Times New Roman" w:hint="default"/>
                <w:sz w:val="18"/>
                <w:szCs w:val="18"/>
              </w:rPr>
            </w:pPr>
            <w:r>
              <w:rPr>
                <w:rFonts w:ascii="Times New Roman"/>
                <w:sz w:val="18"/>
              </w:rPr>
              <w:t>585.</w:t>
            </w:r>
          </w:p>
          <w:p>
            <w:pPr>
              <w:pStyle w:val="TableParagraph"/>
              <w:spacing w:line="240" w:lineRule="auto" w:before="105"/>
              <w:ind w:left="180" w:right="0"/>
              <w:jc w:val="center"/>
              <w:rPr>
                <w:rFonts w:ascii="Times New Roman" w:hAnsi="Times New Roman" w:cs="Times New Roman" w:eastAsia="Times New Roman" w:hint="default"/>
                <w:sz w:val="18"/>
                <w:szCs w:val="18"/>
              </w:rPr>
            </w:pPr>
            <w:r>
              <w:rPr>
                <w:rFonts w:ascii="Times New Roman"/>
                <w:sz w:val="18"/>
              </w:rPr>
              <w:t>72</w:t>
            </w: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6" w:right="0"/>
              <w:jc w:val="center"/>
              <w:rPr>
                <w:rFonts w:ascii="Times New Roman" w:hAnsi="Times New Roman" w:cs="Times New Roman" w:eastAsia="Times New Roman" w:hint="default"/>
                <w:sz w:val="18"/>
                <w:szCs w:val="18"/>
              </w:rPr>
            </w:pPr>
            <w:r>
              <w:rPr>
                <w:rFonts w:ascii="Times New Roman"/>
                <w:sz w:val="18"/>
              </w:rPr>
              <w:t>813,</w:t>
            </w:r>
          </w:p>
          <w:p>
            <w:pPr>
              <w:pStyle w:val="TableParagraph"/>
              <w:spacing w:line="240" w:lineRule="auto" w:before="105"/>
              <w:ind w:left="56" w:right="0"/>
              <w:jc w:val="center"/>
              <w:rPr>
                <w:rFonts w:ascii="Times New Roman" w:hAnsi="Times New Roman" w:cs="Times New Roman" w:eastAsia="Times New Roman" w:hint="default"/>
                <w:sz w:val="18"/>
                <w:szCs w:val="18"/>
              </w:rPr>
            </w:pPr>
            <w:r>
              <w:rPr>
                <w:rFonts w:ascii="Times New Roman"/>
                <w:sz w:val="18"/>
              </w:rPr>
              <w:t>851,</w:t>
            </w:r>
          </w:p>
          <w:p>
            <w:pPr>
              <w:pStyle w:val="TableParagraph"/>
              <w:spacing w:line="240" w:lineRule="auto" w:before="105"/>
              <w:ind w:left="56" w:right="0"/>
              <w:jc w:val="center"/>
              <w:rPr>
                <w:rFonts w:ascii="Times New Roman" w:hAnsi="Times New Roman" w:cs="Times New Roman" w:eastAsia="Times New Roman" w:hint="default"/>
                <w:sz w:val="18"/>
                <w:szCs w:val="18"/>
              </w:rPr>
            </w:pPr>
            <w:r>
              <w:rPr>
                <w:rFonts w:ascii="Times New Roman"/>
                <w:sz w:val="18"/>
              </w:rPr>
              <w:t>753.</w:t>
            </w:r>
          </w:p>
          <w:p>
            <w:pPr>
              <w:pStyle w:val="TableParagraph"/>
              <w:spacing w:line="240" w:lineRule="auto" w:before="105"/>
              <w:ind w:left="191" w:right="0"/>
              <w:jc w:val="center"/>
              <w:rPr>
                <w:rFonts w:ascii="Times New Roman" w:hAnsi="Times New Roman" w:cs="Times New Roman" w:eastAsia="Times New Roman" w:hint="default"/>
                <w:sz w:val="18"/>
                <w:szCs w:val="18"/>
              </w:rPr>
            </w:pPr>
            <w:r>
              <w:rPr>
                <w:rFonts w:ascii="Times New Roman"/>
                <w:sz w:val="18"/>
              </w:rPr>
              <w:t>24</w:t>
            </w: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38" w:right="0"/>
              <w:jc w:val="left"/>
              <w:rPr>
                <w:rFonts w:ascii="Times New Roman" w:hAnsi="Times New Roman" w:cs="Times New Roman" w:eastAsia="Times New Roman" w:hint="default"/>
                <w:sz w:val="18"/>
                <w:szCs w:val="18"/>
              </w:rPr>
            </w:pPr>
            <w:r>
              <w:rPr>
                <w:rFonts w:ascii="Times New Roman"/>
                <w:sz w:val="18"/>
              </w:rPr>
              <w:t>1,79</w:t>
            </w:r>
          </w:p>
          <w:p>
            <w:pPr>
              <w:pStyle w:val="TableParagraph"/>
              <w:spacing w:line="240" w:lineRule="auto" w:before="105"/>
              <w:ind w:left="138" w:right="0"/>
              <w:jc w:val="left"/>
              <w:rPr>
                <w:rFonts w:ascii="Times New Roman" w:hAnsi="Times New Roman" w:cs="Times New Roman" w:eastAsia="Times New Roman" w:hint="default"/>
                <w:sz w:val="18"/>
                <w:szCs w:val="18"/>
              </w:rPr>
            </w:pPr>
            <w:r>
              <w:rPr>
                <w:rFonts w:ascii="Times New Roman"/>
                <w:sz w:val="18"/>
              </w:rPr>
              <w:t>4,18</w:t>
            </w:r>
          </w:p>
          <w:p>
            <w:pPr>
              <w:pStyle w:val="TableParagraph"/>
              <w:spacing w:line="240" w:lineRule="auto" w:before="105"/>
              <w:ind w:left="138" w:right="0"/>
              <w:jc w:val="left"/>
              <w:rPr>
                <w:rFonts w:ascii="Times New Roman" w:hAnsi="Times New Roman" w:cs="Times New Roman" w:eastAsia="Times New Roman" w:hint="default"/>
                <w:sz w:val="18"/>
                <w:szCs w:val="18"/>
              </w:rPr>
            </w:pPr>
            <w:r>
              <w:rPr>
                <w:rFonts w:ascii="Times New Roman"/>
                <w:sz w:val="18"/>
              </w:rPr>
              <w:t>8,02</w:t>
            </w:r>
          </w:p>
          <w:p>
            <w:pPr>
              <w:pStyle w:val="TableParagraph"/>
              <w:spacing w:line="240" w:lineRule="auto" w:before="105"/>
              <w:ind w:left="138" w:right="0"/>
              <w:jc w:val="left"/>
              <w:rPr>
                <w:rFonts w:ascii="Times New Roman" w:hAnsi="Times New Roman" w:cs="Times New Roman" w:eastAsia="Times New Roman" w:hint="default"/>
                <w:sz w:val="18"/>
                <w:szCs w:val="18"/>
              </w:rPr>
            </w:pPr>
            <w:r>
              <w:rPr>
                <w:rFonts w:ascii="Times New Roman"/>
                <w:sz w:val="18"/>
              </w:rPr>
              <w:t>6.42</w:t>
            </w:r>
          </w:p>
        </w:tc>
        <w:tc>
          <w:tcPr>
            <w:tcW w:w="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1" w:right="0"/>
              <w:jc w:val="center"/>
              <w:rPr>
                <w:rFonts w:ascii="Times New Roman" w:hAnsi="Times New Roman" w:cs="Times New Roman" w:eastAsia="Times New Roman" w:hint="default"/>
                <w:sz w:val="18"/>
                <w:szCs w:val="18"/>
              </w:rPr>
            </w:pPr>
            <w:r>
              <w:rPr>
                <w:rFonts w:ascii="Times New Roman"/>
                <w:sz w:val="18"/>
              </w:rPr>
              <w:t>86,57</w:t>
            </w:r>
          </w:p>
          <w:p>
            <w:pPr>
              <w:pStyle w:val="TableParagraph"/>
              <w:spacing w:line="240" w:lineRule="auto" w:before="105"/>
              <w:ind w:left="21" w:right="0"/>
              <w:jc w:val="center"/>
              <w:rPr>
                <w:rFonts w:ascii="Times New Roman" w:hAnsi="Times New Roman" w:cs="Times New Roman" w:eastAsia="Times New Roman" w:hint="default"/>
                <w:sz w:val="18"/>
                <w:szCs w:val="18"/>
              </w:rPr>
            </w:pPr>
            <w:r>
              <w:rPr>
                <w:rFonts w:ascii="Times New Roman"/>
                <w:sz w:val="18"/>
              </w:rPr>
              <w:t>6,503</w:t>
            </w:r>
          </w:p>
          <w:p>
            <w:pPr>
              <w:pStyle w:val="TableParagraph"/>
              <w:spacing w:line="240" w:lineRule="auto" w:before="105"/>
              <w:ind w:left="201" w:right="0"/>
              <w:jc w:val="center"/>
              <w:rPr>
                <w:rFonts w:ascii="Times New Roman" w:hAnsi="Times New Roman" w:cs="Times New Roman" w:eastAsia="Times New Roman" w:hint="default"/>
                <w:sz w:val="18"/>
                <w:szCs w:val="18"/>
              </w:rPr>
            </w:pPr>
            <w:r>
              <w:rPr>
                <w:rFonts w:ascii="Times New Roman"/>
                <w:sz w:val="18"/>
              </w:rPr>
              <w:t>.90</w:t>
            </w:r>
          </w:p>
        </w:tc>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33" w:right="0"/>
              <w:jc w:val="left"/>
              <w:rPr>
                <w:rFonts w:ascii="Times New Roman" w:hAnsi="Times New Roman" w:cs="Times New Roman" w:eastAsia="Times New Roman" w:hint="default"/>
                <w:sz w:val="18"/>
                <w:szCs w:val="18"/>
              </w:rPr>
            </w:pPr>
            <w:r>
              <w:rPr>
                <w:rFonts w:ascii="Times New Roman"/>
                <w:sz w:val="18"/>
              </w:rPr>
              <w:t>1,880</w:t>
            </w:r>
          </w:p>
          <w:p>
            <w:pPr>
              <w:pStyle w:val="TableParagraph"/>
              <w:spacing w:line="240" w:lineRule="auto" w:before="105"/>
              <w:ind w:left="178" w:right="0"/>
              <w:jc w:val="left"/>
              <w:rPr>
                <w:rFonts w:ascii="Times New Roman" w:hAnsi="Times New Roman" w:cs="Times New Roman" w:eastAsia="Times New Roman" w:hint="default"/>
                <w:sz w:val="18"/>
                <w:szCs w:val="18"/>
              </w:rPr>
            </w:pPr>
            <w:r>
              <w:rPr>
                <w:rFonts w:ascii="Times New Roman"/>
                <w:sz w:val="18"/>
              </w:rPr>
              <w:t>,764,</w:t>
            </w:r>
          </w:p>
          <w:p>
            <w:pPr>
              <w:pStyle w:val="TableParagraph"/>
              <w:spacing w:line="240" w:lineRule="auto" w:before="105"/>
              <w:ind w:left="133" w:right="0"/>
              <w:jc w:val="left"/>
              <w:rPr>
                <w:rFonts w:ascii="Times New Roman" w:hAnsi="Times New Roman" w:cs="Times New Roman" w:eastAsia="Times New Roman" w:hint="default"/>
                <w:sz w:val="18"/>
                <w:szCs w:val="18"/>
              </w:rPr>
            </w:pPr>
            <w:r>
              <w:rPr>
                <w:rFonts w:ascii="Times New Roman"/>
                <w:sz w:val="18"/>
              </w:rPr>
              <w:t>530.3</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2</w:t>
            </w:r>
          </w:p>
        </w:tc>
      </w:tr>
      <w:tr>
        <w:trPr>
          <w:trHeight w:val="714"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0"/>
              <w:ind w:left="102" w:right="101" w:firstLine="360"/>
              <w:jc w:val="left"/>
              <w:rPr>
                <w:rFonts w:ascii="宋体" w:hAnsi="宋体" w:cs="宋体" w:eastAsia="宋体" w:hint="default"/>
                <w:sz w:val="18"/>
                <w:szCs w:val="18"/>
              </w:rPr>
            </w:pPr>
            <w:r>
              <w:rPr>
                <w:rFonts w:ascii="宋体" w:hAnsi="宋体" w:cs="宋体" w:eastAsia="宋体" w:hint="default"/>
                <w:spacing w:val="-22"/>
                <w:sz w:val="18"/>
                <w:szCs w:val="18"/>
              </w:rPr>
              <w:t>加：会计</w:t>
            </w:r>
            <w:r>
              <w:rPr>
                <w:rFonts w:ascii="宋体" w:hAnsi="宋体" w:cs="宋体" w:eastAsia="宋体" w:hint="default"/>
                <w:sz w:val="18"/>
                <w:szCs w:val="18"/>
              </w:rPr>
              <w:t> 政策变更</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02" w:right="197" w:firstLine="720"/>
              <w:jc w:val="left"/>
              <w:rPr>
                <w:rFonts w:ascii="宋体" w:hAnsi="宋体" w:cs="宋体" w:eastAsia="宋体" w:hint="default"/>
                <w:sz w:val="18"/>
                <w:szCs w:val="18"/>
              </w:rPr>
            </w:pPr>
            <w:r>
              <w:rPr>
                <w:rFonts w:ascii="宋体" w:hAnsi="宋体" w:cs="宋体" w:eastAsia="宋体" w:hint="default"/>
                <w:sz w:val="18"/>
                <w:szCs w:val="18"/>
              </w:rPr>
              <w:t>前 期差错更正</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02" w:right="197" w:firstLine="720"/>
              <w:jc w:val="both"/>
              <w:rPr>
                <w:rFonts w:ascii="宋体" w:hAnsi="宋体" w:cs="宋体" w:eastAsia="宋体" w:hint="default"/>
                <w:sz w:val="18"/>
                <w:szCs w:val="18"/>
              </w:rPr>
            </w:pPr>
            <w:r>
              <w:rPr>
                <w:rFonts w:ascii="宋体" w:hAnsi="宋体" w:cs="宋体" w:eastAsia="宋体" w:hint="default"/>
                <w:sz w:val="18"/>
                <w:szCs w:val="18"/>
              </w:rPr>
              <w:t>同 一控制下企 业合并</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97"/>
              <w:jc w:val="right"/>
              <w:rPr>
                <w:rFonts w:ascii="宋体" w:hAnsi="宋体" w:cs="宋体" w:eastAsia="宋体" w:hint="default"/>
                <w:sz w:val="18"/>
                <w:szCs w:val="18"/>
              </w:rPr>
            </w:pPr>
            <w:r>
              <w:rPr>
                <w:rFonts w:ascii="宋体" w:hAnsi="宋体" w:cs="宋体" w:eastAsia="宋体" w:hint="default"/>
                <w:sz w:val="18"/>
                <w:szCs w:val="18"/>
              </w:rPr>
              <w:t>其</w:t>
            </w:r>
          </w:p>
          <w:p>
            <w:pPr>
              <w:pStyle w:val="TableParagraph"/>
              <w:spacing w:line="240" w:lineRule="auto" w:before="76"/>
              <w:ind w:left="102" w:right="0"/>
              <w:jc w:val="left"/>
              <w:rPr>
                <w:rFonts w:ascii="宋体" w:hAnsi="宋体" w:cs="宋体" w:eastAsia="宋体" w:hint="default"/>
                <w:sz w:val="18"/>
                <w:szCs w:val="18"/>
              </w:rPr>
            </w:pPr>
            <w:r>
              <w:rPr>
                <w:rFonts w:ascii="宋体" w:hAnsi="宋体" w:cs="宋体" w:eastAsia="宋体" w:hint="default"/>
                <w:sz w:val="18"/>
                <w:szCs w:val="18"/>
              </w:rPr>
              <w:t>他</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1650"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319" w:lineRule="auto"/>
              <w:ind w:left="102" w:right="101"/>
              <w:jc w:val="left"/>
              <w:rPr>
                <w:rFonts w:ascii="宋体" w:hAnsi="宋体" w:cs="宋体" w:eastAsia="宋体" w:hint="default"/>
                <w:sz w:val="18"/>
                <w:szCs w:val="18"/>
              </w:rPr>
            </w:pPr>
            <w:r>
              <w:rPr>
                <w:rFonts w:ascii="宋体" w:hAnsi="宋体" w:cs="宋体" w:eastAsia="宋体" w:hint="default"/>
                <w:spacing w:val="-15"/>
                <w:sz w:val="18"/>
                <w:szCs w:val="18"/>
              </w:rPr>
              <w:t>二、本年期初</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余额</w:t>
            </w: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6" w:right="0"/>
              <w:jc w:val="left"/>
              <w:rPr>
                <w:rFonts w:ascii="Times New Roman" w:hAnsi="Times New Roman" w:cs="Times New Roman" w:eastAsia="Times New Roman" w:hint="default"/>
                <w:sz w:val="18"/>
                <w:szCs w:val="18"/>
              </w:rPr>
            </w:pPr>
            <w:r>
              <w:rPr>
                <w:rFonts w:ascii="Times New Roman"/>
                <w:sz w:val="18"/>
              </w:rPr>
              <w:t>712</w:t>
            </w:r>
          </w:p>
          <w:p>
            <w:pPr>
              <w:pStyle w:val="TableParagraph"/>
              <w:spacing w:line="240" w:lineRule="auto" w:before="105"/>
              <w:ind w:left="151" w:right="0"/>
              <w:jc w:val="left"/>
              <w:rPr>
                <w:rFonts w:ascii="Times New Roman" w:hAnsi="Times New Roman" w:cs="Times New Roman" w:eastAsia="Times New Roman" w:hint="default"/>
                <w:sz w:val="18"/>
                <w:szCs w:val="18"/>
              </w:rPr>
            </w:pPr>
            <w:r>
              <w:rPr>
                <w:rFonts w:ascii="Times New Roman"/>
                <w:sz w:val="18"/>
              </w:rPr>
              <w:t>,02</w:t>
            </w:r>
          </w:p>
          <w:p>
            <w:pPr>
              <w:pStyle w:val="TableParagraph"/>
              <w:spacing w:line="240" w:lineRule="auto" w:before="105"/>
              <w:ind w:left="151" w:right="0"/>
              <w:jc w:val="left"/>
              <w:rPr>
                <w:rFonts w:ascii="Times New Roman" w:hAnsi="Times New Roman" w:cs="Times New Roman" w:eastAsia="Times New Roman" w:hint="default"/>
                <w:sz w:val="18"/>
                <w:szCs w:val="18"/>
              </w:rPr>
            </w:pPr>
            <w:r>
              <w:rPr>
                <w:rFonts w:ascii="Times New Roman"/>
                <w:sz w:val="18"/>
              </w:rPr>
              <w:t>8,8</w:t>
            </w:r>
          </w:p>
          <w:p>
            <w:pPr>
              <w:pStyle w:val="TableParagraph"/>
              <w:spacing w:line="240" w:lineRule="auto" w:before="105"/>
              <w:ind w:left="151" w:right="0"/>
              <w:jc w:val="left"/>
              <w:rPr>
                <w:rFonts w:ascii="Times New Roman" w:hAnsi="Times New Roman" w:cs="Times New Roman" w:eastAsia="Times New Roman" w:hint="default"/>
                <w:sz w:val="18"/>
                <w:szCs w:val="18"/>
              </w:rPr>
            </w:pPr>
            <w:r>
              <w:rPr>
                <w:rFonts w:ascii="Times New Roman"/>
                <w:sz w:val="18"/>
              </w:rPr>
              <w:t>00.</w:t>
            </w:r>
          </w:p>
          <w:p>
            <w:pPr>
              <w:pStyle w:val="TableParagraph"/>
              <w:spacing w:line="240" w:lineRule="auto" w:before="105"/>
              <w:ind w:left="196" w:right="0"/>
              <w:jc w:val="left"/>
              <w:rPr>
                <w:rFonts w:ascii="Times New Roman" w:hAnsi="Times New Roman" w:cs="Times New Roman" w:eastAsia="Times New Roman" w:hint="default"/>
                <w:sz w:val="18"/>
                <w:szCs w:val="18"/>
              </w:rPr>
            </w:pPr>
            <w:r>
              <w:rPr>
                <w:rFonts w:ascii="Times New Roman"/>
                <w:sz w:val="18"/>
              </w:rPr>
              <w:t>00</w:t>
            </w: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74,5</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00,1</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00.8</w:t>
            </w:r>
          </w:p>
          <w:p>
            <w:pPr>
              <w:pStyle w:val="TableParagraph"/>
              <w:spacing w:line="240" w:lineRule="auto" w:before="105"/>
              <w:ind w:left="373" w:right="0"/>
              <w:jc w:val="left"/>
              <w:rPr>
                <w:rFonts w:ascii="Times New Roman" w:hAnsi="Times New Roman" w:cs="Times New Roman" w:eastAsia="Times New Roman" w:hint="default"/>
                <w:sz w:val="18"/>
                <w:szCs w:val="18"/>
              </w:rPr>
            </w:pPr>
            <w:r>
              <w:rPr>
                <w:rFonts w:ascii="Times New Roman"/>
                <w:sz w:val="18"/>
              </w:rPr>
              <w:t>1</w:t>
            </w: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1,02</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2,78</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6.65</w:t>
            </w: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center"/>
              <w:rPr>
                <w:rFonts w:ascii="Times New Roman" w:hAnsi="Times New Roman" w:cs="Times New Roman" w:eastAsia="Times New Roman" w:hint="default"/>
                <w:sz w:val="18"/>
                <w:szCs w:val="18"/>
              </w:rPr>
            </w:pPr>
            <w:r>
              <w:rPr>
                <w:rFonts w:ascii="Times New Roman"/>
                <w:sz w:val="18"/>
              </w:rPr>
              <w:t>192,</w:t>
            </w:r>
          </w:p>
          <w:p>
            <w:pPr>
              <w:pStyle w:val="TableParagraph"/>
              <w:spacing w:line="240" w:lineRule="auto" w:before="105"/>
              <w:ind w:left="45" w:right="0"/>
              <w:jc w:val="center"/>
              <w:rPr>
                <w:rFonts w:ascii="Times New Roman" w:hAnsi="Times New Roman" w:cs="Times New Roman" w:eastAsia="Times New Roman" w:hint="default"/>
                <w:sz w:val="18"/>
                <w:szCs w:val="18"/>
              </w:rPr>
            </w:pPr>
            <w:r>
              <w:rPr>
                <w:rFonts w:ascii="Times New Roman"/>
                <w:sz w:val="18"/>
              </w:rPr>
              <w:t>784,</w:t>
            </w:r>
          </w:p>
          <w:p>
            <w:pPr>
              <w:pStyle w:val="TableParagraph"/>
              <w:spacing w:line="240" w:lineRule="auto" w:before="105"/>
              <w:ind w:left="45" w:right="0"/>
              <w:jc w:val="center"/>
              <w:rPr>
                <w:rFonts w:ascii="Times New Roman" w:hAnsi="Times New Roman" w:cs="Times New Roman" w:eastAsia="Times New Roman" w:hint="default"/>
                <w:sz w:val="18"/>
                <w:szCs w:val="18"/>
              </w:rPr>
            </w:pPr>
            <w:r>
              <w:rPr>
                <w:rFonts w:ascii="Times New Roman"/>
                <w:sz w:val="18"/>
              </w:rPr>
              <w:t>585.</w:t>
            </w:r>
          </w:p>
          <w:p>
            <w:pPr>
              <w:pStyle w:val="TableParagraph"/>
              <w:spacing w:line="240" w:lineRule="auto" w:before="105"/>
              <w:ind w:left="180" w:right="0"/>
              <w:jc w:val="center"/>
              <w:rPr>
                <w:rFonts w:ascii="Times New Roman" w:hAnsi="Times New Roman" w:cs="Times New Roman" w:eastAsia="Times New Roman" w:hint="default"/>
                <w:sz w:val="18"/>
                <w:szCs w:val="18"/>
              </w:rPr>
            </w:pPr>
            <w:r>
              <w:rPr>
                <w:rFonts w:ascii="Times New Roman"/>
                <w:sz w:val="18"/>
              </w:rPr>
              <w:t>72</w:t>
            </w: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6" w:right="0"/>
              <w:jc w:val="center"/>
              <w:rPr>
                <w:rFonts w:ascii="Times New Roman" w:hAnsi="Times New Roman" w:cs="Times New Roman" w:eastAsia="Times New Roman" w:hint="default"/>
                <w:sz w:val="18"/>
                <w:szCs w:val="18"/>
              </w:rPr>
            </w:pPr>
            <w:r>
              <w:rPr>
                <w:rFonts w:ascii="Times New Roman"/>
                <w:sz w:val="18"/>
              </w:rPr>
              <w:t>813,</w:t>
            </w:r>
          </w:p>
          <w:p>
            <w:pPr>
              <w:pStyle w:val="TableParagraph"/>
              <w:spacing w:line="240" w:lineRule="auto" w:before="105"/>
              <w:ind w:left="56" w:right="0"/>
              <w:jc w:val="center"/>
              <w:rPr>
                <w:rFonts w:ascii="Times New Roman" w:hAnsi="Times New Roman" w:cs="Times New Roman" w:eastAsia="Times New Roman" w:hint="default"/>
                <w:sz w:val="18"/>
                <w:szCs w:val="18"/>
              </w:rPr>
            </w:pPr>
            <w:r>
              <w:rPr>
                <w:rFonts w:ascii="Times New Roman"/>
                <w:sz w:val="18"/>
              </w:rPr>
              <w:t>851,</w:t>
            </w:r>
          </w:p>
          <w:p>
            <w:pPr>
              <w:pStyle w:val="TableParagraph"/>
              <w:spacing w:line="240" w:lineRule="auto" w:before="105"/>
              <w:ind w:left="56" w:right="0"/>
              <w:jc w:val="center"/>
              <w:rPr>
                <w:rFonts w:ascii="Times New Roman" w:hAnsi="Times New Roman" w:cs="Times New Roman" w:eastAsia="Times New Roman" w:hint="default"/>
                <w:sz w:val="18"/>
                <w:szCs w:val="18"/>
              </w:rPr>
            </w:pPr>
            <w:r>
              <w:rPr>
                <w:rFonts w:ascii="Times New Roman"/>
                <w:sz w:val="18"/>
              </w:rPr>
              <w:t>753.</w:t>
            </w:r>
          </w:p>
          <w:p>
            <w:pPr>
              <w:pStyle w:val="TableParagraph"/>
              <w:spacing w:line="240" w:lineRule="auto" w:before="105"/>
              <w:ind w:left="191" w:right="0"/>
              <w:jc w:val="center"/>
              <w:rPr>
                <w:rFonts w:ascii="Times New Roman" w:hAnsi="Times New Roman" w:cs="Times New Roman" w:eastAsia="Times New Roman" w:hint="default"/>
                <w:sz w:val="18"/>
                <w:szCs w:val="18"/>
              </w:rPr>
            </w:pPr>
            <w:r>
              <w:rPr>
                <w:rFonts w:ascii="Times New Roman"/>
                <w:sz w:val="18"/>
              </w:rPr>
              <w:t>24</w:t>
            </w: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38" w:right="0"/>
              <w:jc w:val="left"/>
              <w:rPr>
                <w:rFonts w:ascii="Times New Roman" w:hAnsi="Times New Roman" w:cs="Times New Roman" w:eastAsia="Times New Roman" w:hint="default"/>
                <w:sz w:val="18"/>
                <w:szCs w:val="18"/>
              </w:rPr>
            </w:pPr>
            <w:r>
              <w:rPr>
                <w:rFonts w:ascii="Times New Roman"/>
                <w:sz w:val="18"/>
              </w:rPr>
              <w:t>1,79</w:t>
            </w:r>
          </w:p>
          <w:p>
            <w:pPr>
              <w:pStyle w:val="TableParagraph"/>
              <w:spacing w:line="240" w:lineRule="auto" w:before="105"/>
              <w:ind w:left="138" w:right="0"/>
              <w:jc w:val="left"/>
              <w:rPr>
                <w:rFonts w:ascii="Times New Roman" w:hAnsi="Times New Roman" w:cs="Times New Roman" w:eastAsia="Times New Roman" w:hint="default"/>
                <w:sz w:val="18"/>
                <w:szCs w:val="18"/>
              </w:rPr>
            </w:pPr>
            <w:r>
              <w:rPr>
                <w:rFonts w:ascii="Times New Roman"/>
                <w:sz w:val="18"/>
              </w:rPr>
              <w:t>4,18</w:t>
            </w:r>
          </w:p>
          <w:p>
            <w:pPr>
              <w:pStyle w:val="TableParagraph"/>
              <w:spacing w:line="240" w:lineRule="auto" w:before="105"/>
              <w:ind w:left="138" w:right="0"/>
              <w:jc w:val="left"/>
              <w:rPr>
                <w:rFonts w:ascii="Times New Roman" w:hAnsi="Times New Roman" w:cs="Times New Roman" w:eastAsia="Times New Roman" w:hint="default"/>
                <w:sz w:val="18"/>
                <w:szCs w:val="18"/>
              </w:rPr>
            </w:pPr>
            <w:r>
              <w:rPr>
                <w:rFonts w:ascii="Times New Roman"/>
                <w:sz w:val="18"/>
              </w:rPr>
              <w:t>8,02</w:t>
            </w:r>
          </w:p>
          <w:p>
            <w:pPr>
              <w:pStyle w:val="TableParagraph"/>
              <w:spacing w:line="240" w:lineRule="auto" w:before="105"/>
              <w:ind w:left="138" w:right="0"/>
              <w:jc w:val="left"/>
              <w:rPr>
                <w:rFonts w:ascii="Times New Roman" w:hAnsi="Times New Roman" w:cs="Times New Roman" w:eastAsia="Times New Roman" w:hint="default"/>
                <w:sz w:val="18"/>
                <w:szCs w:val="18"/>
              </w:rPr>
            </w:pPr>
            <w:r>
              <w:rPr>
                <w:rFonts w:ascii="Times New Roman"/>
                <w:sz w:val="18"/>
              </w:rPr>
              <w:t>6.42</w:t>
            </w:r>
          </w:p>
        </w:tc>
        <w:tc>
          <w:tcPr>
            <w:tcW w:w="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1" w:right="0"/>
              <w:jc w:val="center"/>
              <w:rPr>
                <w:rFonts w:ascii="Times New Roman" w:hAnsi="Times New Roman" w:cs="Times New Roman" w:eastAsia="Times New Roman" w:hint="default"/>
                <w:sz w:val="18"/>
                <w:szCs w:val="18"/>
              </w:rPr>
            </w:pPr>
            <w:r>
              <w:rPr>
                <w:rFonts w:ascii="Times New Roman"/>
                <w:sz w:val="18"/>
              </w:rPr>
              <w:t>86,57</w:t>
            </w:r>
          </w:p>
          <w:p>
            <w:pPr>
              <w:pStyle w:val="TableParagraph"/>
              <w:spacing w:line="240" w:lineRule="auto" w:before="105"/>
              <w:ind w:left="21" w:right="0"/>
              <w:jc w:val="center"/>
              <w:rPr>
                <w:rFonts w:ascii="Times New Roman" w:hAnsi="Times New Roman" w:cs="Times New Roman" w:eastAsia="Times New Roman" w:hint="default"/>
                <w:sz w:val="18"/>
                <w:szCs w:val="18"/>
              </w:rPr>
            </w:pPr>
            <w:r>
              <w:rPr>
                <w:rFonts w:ascii="Times New Roman"/>
                <w:sz w:val="18"/>
              </w:rPr>
              <w:t>6,503</w:t>
            </w:r>
          </w:p>
          <w:p>
            <w:pPr>
              <w:pStyle w:val="TableParagraph"/>
              <w:spacing w:line="240" w:lineRule="auto" w:before="105"/>
              <w:ind w:left="201" w:right="0"/>
              <w:jc w:val="center"/>
              <w:rPr>
                <w:rFonts w:ascii="Times New Roman" w:hAnsi="Times New Roman" w:cs="Times New Roman" w:eastAsia="Times New Roman" w:hint="default"/>
                <w:sz w:val="18"/>
                <w:szCs w:val="18"/>
              </w:rPr>
            </w:pPr>
            <w:r>
              <w:rPr>
                <w:rFonts w:ascii="Times New Roman"/>
                <w:sz w:val="18"/>
              </w:rPr>
              <w:t>.90</w:t>
            </w:r>
          </w:p>
        </w:tc>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33" w:right="0"/>
              <w:jc w:val="left"/>
              <w:rPr>
                <w:rFonts w:ascii="Times New Roman" w:hAnsi="Times New Roman" w:cs="Times New Roman" w:eastAsia="Times New Roman" w:hint="default"/>
                <w:sz w:val="18"/>
                <w:szCs w:val="18"/>
              </w:rPr>
            </w:pPr>
            <w:r>
              <w:rPr>
                <w:rFonts w:ascii="Times New Roman"/>
                <w:sz w:val="18"/>
              </w:rPr>
              <w:t>1,880</w:t>
            </w:r>
          </w:p>
          <w:p>
            <w:pPr>
              <w:pStyle w:val="TableParagraph"/>
              <w:spacing w:line="240" w:lineRule="auto" w:before="105"/>
              <w:ind w:left="178" w:right="0"/>
              <w:jc w:val="left"/>
              <w:rPr>
                <w:rFonts w:ascii="Times New Roman" w:hAnsi="Times New Roman" w:cs="Times New Roman" w:eastAsia="Times New Roman" w:hint="default"/>
                <w:sz w:val="18"/>
                <w:szCs w:val="18"/>
              </w:rPr>
            </w:pPr>
            <w:r>
              <w:rPr>
                <w:rFonts w:ascii="Times New Roman"/>
                <w:sz w:val="18"/>
              </w:rPr>
              <w:t>,764,</w:t>
            </w:r>
          </w:p>
          <w:p>
            <w:pPr>
              <w:pStyle w:val="TableParagraph"/>
              <w:spacing w:line="240" w:lineRule="auto" w:before="105"/>
              <w:ind w:left="133" w:right="0"/>
              <w:jc w:val="left"/>
              <w:rPr>
                <w:rFonts w:ascii="Times New Roman" w:hAnsi="Times New Roman" w:cs="Times New Roman" w:eastAsia="Times New Roman" w:hint="default"/>
                <w:sz w:val="18"/>
                <w:szCs w:val="18"/>
              </w:rPr>
            </w:pPr>
            <w:r>
              <w:rPr>
                <w:rFonts w:ascii="Times New Roman"/>
                <w:sz w:val="18"/>
              </w:rPr>
              <w:t>530.3</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2</w:t>
            </w:r>
          </w:p>
        </w:tc>
      </w:tr>
      <w:tr>
        <w:trPr>
          <w:trHeight w:val="1338"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02" w:right="101"/>
              <w:jc w:val="both"/>
              <w:rPr>
                <w:rFonts w:ascii="宋体" w:hAnsi="宋体" w:cs="宋体" w:eastAsia="宋体" w:hint="default"/>
                <w:sz w:val="18"/>
                <w:szCs w:val="18"/>
              </w:rPr>
            </w:pPr>
            <w:r>
              <w:rPr>
                <w:rFonts w:ascii="宋体" w:hAnsi="宋体" w:cs="宋体" w:eastAsia="宋体" w:hint="default"/>
                <w:spacing w:val="-15"/>
                <w:sz w:val="18"/>
                <w:szCs w:val="18"/>
              </w:rPr>
              <w:t>三、本期增减</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15"/>
                <w:sz w:val="18"/>
                <w:szCs w:val="18"/>
              </w:rPr>
              <w:t>变动金额（减</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15"/>
                <w:sz w:val="18"/>
                <w:szCs w:val="18"/>
              </w:rPr>
              <w:t>少以“－”号</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填列）</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9" w:right="0"/>
              <w:jc w:val="left"/>
              <w:rPr>
                <w:rFonts w:ascii="Times New Roman" w:hAnsi="Times New Roman" w:cs="Times New Roman" w:eastAsia="Times New Roman" w:hint="default"/>
                <w:sz w:val="18"/>
                <w:szCs w:val="18"/>
              </w:rPr>
            </w:pPr>
            <w:r>
              <w:rPr>
                <w:rFonts w:ascii="Times New Roman"/>
                <w:sz w:val="18"/>
              </w:rPr>
              <w:t>46,0</w:t>
            </w:r>
          </w:p>
          <w:p>
            <w:pPr>
              <w:pStyle w:val="TableParagraph"/>
              <w:spacing w:line="240" w:lineRule="auto" w:before="105"/>
              <w:ind w:left="149" w:right="0"/>
              <w:jc w:val="left"/>
              <w:rPr>
                <w:rFonts w:ascii="Times New Roman" w:hAnsi="Times New Roman" w:cs="Times New Roman" w:eastAsia="Times New Roman" w:hint="default"/>
                <w:sz w:val="18"/>
                <w:szCs w:val="18"/>
              </w:rPr>
            </w:pPr>
            <w:r>
              <w:rPr>
                <w:rFonts w:ascii="Times New Roman"/>
                <w:sz w:val="18"/>
              </w:rPr>
              <w:t>10,4</w:t>
            </w:r>
          </w:p>
          <w:p>
            <w:pPr>
              <w:pStyle w:val="TableParagraph"/>
              <w:spacing w:line="240" w:lineRule="auto" w:before="105"/>
              <w:ind w:left="149" w:right="0"/>
              <w:jc w:val="left"/>
              <w:rPr>
                <w:rFonts w:ascii="Times New Roman" w:hAnsi="Times New Roman" w:cs="Times New Roman" w:eastAsia="Times New Roman" w:hint="default"/>
                <w:sz w:val="18"/>
                <w:szCs w:val="18"/>
              </w:rPr>
            </w:pPr>
            <w:r>
              <w:rPr>
                <w:rFonts w:ascii="Times New Roman"/>
                <w:sz w:val="18"/>
              </w:rPr>
              <w:t>28.7</w:t>
            </w:r>
          </w:p>
          <w:p>
            <w:pPr>
              <w:pStyle w:val="TableParagraph"/>
              <w:spacing w:line="240" w:lineRule="auto" w:before="105"/>
              <w:ind w:left="374" w:right="0"/>
              <w:jc w:val="left"/>
              <w:rPr>
                <w:rFonts w:ascii="Times New Roman" w:hAnsi="Times New Roman" w:cs="Times New Roman" w:eastAsia="Times New Roman" w:hint="default"/>
                <w:sz w:val="18"/>
                <w:szCs w:val="18"/>
              </w:rPr>
            </w:pPr>
            <w:r>
              <w:rPr>
                <w:rFonts w:ascii="Times New Roman"/>
                <w:sz w:val="18"/>
              </w:rPr>
              <w:t>6</w:t>
            </w:r>
          </w:p>
        </w:tc>
        <w:tc>
          <w:tcPr>
            <w:tcW w:w="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center"/>
              <w:rPr>
                <w:rFonts w:ascii="Times New Roman" w:hAnsi="Times New Roman" w:cs="Times New Roman" w:eastAsia="Times New Roman" w:hint="default"/>
                <w:sz w:val="18"/>
                <w:szCs w:val="18"/>
              </w:rPr>
            </w:pPr>
            <w:r>
              <w:rPr>
                <w:rFonts w:ascii="Times New Roman"/>
                <w:sz w:val="18"/>
              </w:rPr>
              <w:t>336,</w:t>
            </w:r>
          </w:p>
          <w:p>
            <w:pPr>
              <w:pStyle w:val="TableParagraph"/>
              <w:spacing w:line="240" w:lineRule="auto" w:before="105"/>
              <w:ind w:left="45" w:right="0"/>
              <w:jc w:val="center"/>
              <w:rPr>
                <w:rFonts w:ascii="Times New Roman" w:hAnsi="Times New Roman" w:cs="Times New Roman" w:eastAsia="Times New Roman" w:hint="default"/>
                <w:sz w:val="18"/>
                <w:szCs w:val="18"/>
              </w:rPr>
            </w:pPr>
            <w:r>
              <w:rPr>
                <w:rFonts w:ascii="Times New Roman"/>
                <w:sz w:val="18"/>
              </w:rPr>
              <w:t>081.</w:t>
            </w:r>
          </w:p>
          <w:p>
            <w:pPr>
              <w:pStyle w:val="TableParagraph"/>
              <w:spacing w:line="240" w:lineRule="auto" w:before="105"/>
              <w:ind w:left="180" w:right="0"/>
              <w:jc w:val="center"/>
              <w:rPr>
                <w:rFonts w:ascii="Times New Roman" w:hAnsi="Times New Roman" w:cs="Times New Roman" w:eastAsia="Times New Roman" w:hint="default"/>
                <w:sz w:val="18"/>
                <w:szCs w:val="18"/>
              </w:rPr>
            </w:pPr>
            <w:r>
              <w:rPr>
                <w:rFonts w:ascii="Times New Roman"/>
                <w:sz w:val="18"/>
              </w:rPr>
              <w:t>56</w:t>
            </w: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8" w:right="0"/>
              <w:jc w:val="left"/>
              <w:rPr>
                <w:rFonts w:ascii="Times New Roman" w:hAnsi="Times New Roman" w:cs="Times New Roman" w:eastAsia="Times New Roman" w:hint="default"/>
                <w:sz w:val="18"/>
                <w:szCs w:val="18"/>
              </w:rPr>
            </w:pPr>
            <w:r>
              <w:rPr>
                <w:rFonts w:ascii="Times New Roman"/>
                <w:sz w:val="18"/>
              </w:rPr>
              <w:t>14,7</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32,0</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89.0</w:t>
            </w:r>
          </w:p>
          <w:p>
            <w:pPr>
              <w:pStyle w:val="TableParagraph"/>
              <w:spacing w:line="240" w:lineRule="auto" w:before="105"/>
              <w:ind w:left="373" w:right="0"/>
              <w:jc w:val="left"/>
              <w:rPr>
                <w:rFonts w:ascii="Times New Roman" w:hAnsi="Times New Roman" w:cs="Times New Roman" w:eastAsia="Times New Roman" w:hint="default"/>
                <w:sz w:val="18"/>
                <w:szCs w:val="18"/>
              </w:rPr>
            </w:pPr>
            <w:r>
              <w:rPr>
                <w:rFonts w:ascii="Times New Roman"/>
                <w:sz w:val="18"/>
              </w:rPr>
              <w:t>8</w:t>
            </w: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6" w:right="0"/>
              <w:jc w:val="center"/>
              <w:rPr>
                <w:rFonts w:ascii="Times New Roman" w:hAnsi="Times New Roman" w:cs="Times New Roman" w:eastAsia="Times New Roman" w:hint="default"/>
                <w:sz w:val="18"/>
                <w:szCs w:val="18"/>
              </w:rPr>
            </w:pPr>
            <w:r>
              <w:rPr>
                <w:rFonts w:ascii="Times New Roman"/>
                <w:sz w:val="18"/>
              </w:rPr>
              <w:t>130,</w:t>
            </w:r>
          </w:p>
          <w:p>
            <w:pPr>
              <w:pStyle w:val="TableParagraph"/>
              <w:spacing w:line="240" w:lineRule="auto" w:before="105"/>
              <w:ind w:left="56" w:right="0"/>
              <w:jc w:val="center"/>
              <w:rPr>
                <w:rFonts w:ascii="Times New Roman" w:hAnsi="Times New Roman" w:cs="Times New Roman" w:eastAsia="Times New Roman" w:hint="default"/>
                <w:sz w:val="18"/>
                <w:szCs w:val="18"/>
              </w:rPr>
            </w:pPr>
            <w:r>
              <w:rPr>
                <w:rFonts w:ascii="Times New Roman"/>
                <w:sz w:val="18"/>
              </w:rPr>
              <w:t>760,</w:t>
            </w:r>
          </w:p>
          <w:p>
            <w:pPr>
              <w:pStyle w:val="TableParagraph"/>
              <w:spacing w:line="240" w:lineRule="auto" w:before="105"/>
              <w:ind w:left="56" w:right="0"/>
              <w:jc w:val="center"/>
              <w:rPr>
                <w:rFonts w:ascii="Times New Roman" w:hAnsi="Times New Roman" w:cs="Times New Roman" w:eastAsia="Times New Roman" w:hint="default"/>
                <w:sz w:val="18"/>
                <w:szCs w:val="18"/>
              </w:rPr>
            </w:pPr>
            <w:r>
              <w:rPr>
                <w:rFonts w:ascii="Times New Roman"/>
                <w:sz w:val="18"/>
              </w:rPr>
              <w:t>932.</w:t>
            </w:r>
          </w:p>
          <w:p>
            <w:pPr>
              <w:pStyle w:val="TableParagraph"/>
              <w:spacing w:line="240" w:lineRule="auto" w:before="105"/>
              <w:ind w:left="191" w:right="0"/>
              <w:jc w:val="center"/>
              <w:rPr>
                <w:rFonts w:ascii="Times New Roman" w:hAnsi="Times New Roman" w:cs="Times New Roman" w:eastAsia="Times New Roman" w:hint="default"/>
                <w:sz w:val="18"/>
                <w:szCs w:val="18"/>
              </w:rPr>
            </w:pPr>
            <w:r>
              <w:rPr>
                <w:rFonts w:ascii="Times New Roman"/>
                <w:sz w:val="18"/>
              </w:rPr>
              <w:t>03</w:t>
            </w: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8" w:right="0"/>
              <w:jc w:val="left"/>
              <w:rPr>
                <w:rFonts w:ascii="Times New Roman" w:hAnsi="Times New Roman" w:cs="Times New Roman" w:eastAsia="Times New Roman" w:hint="default"/>
                <w:sz w:val="18"/>
                <w:szCs w:val="18"/>
              </w:rPr>
            </w:pPr>
            <w:r>
              <w:rPr>
                <w:rFonts w:ascii="Times New Roman"/>
                <w:sz w:val="18"/>
              </w:rPr>
              <w:t>99,8</w:t>
            </w:r>
          </w:p>
          <w:p>
            <w:pPr>
              <w:pStyle w:val="TableParagraph"/>
              <w:spacing w:line="240" w:lineRule="auto" w:before="105"/>
              <w:ind w:left="138" w:right="0"/>
              <w:jc w:val="left"/>
              <w:rPr>
                <w:rFonts w:ascii="Times New Roman" w:hAnsi="Times New Roman" w:cs="Times New Roman" w:eastAsia="Times New Roman" w:hint="default"/>
                <w:sz w:val="18"/>
                <w:szCs w:val="18"/>
              </w:rPr>
            </w:pPr>
            <w:r>
              <w:rPr>
                <w:rFonts w:ascii="Times New Roman"/>
                <w:sz w:val="18"/>
              </w:rPr>
              <w:t>18,6</w:t>
            </w:r>
          </w:p>
          <w:p>
            <w:pPr>
              <w:pStyle w:val="TableParagraph"/>
              <w:spacing w:line="240" w:lineRule="auto" w:before="105"/>
              <w:ind w:left="138" w:right="0"/>
              <w:jc w:val="left"/>
              <w:rPr>
                <w:rFonts w:ascii="Times New Roman" w:hAnsi="Times New Roman" w:cs="Times New Roman" w:eastAsia="Times New Roman" w:hint="default"/>
                <w:sz w:val="18"/>
                <w:szCs w:val="18"/>
              </w:rPr>
            </w:pPr>
            <w:r>
              <w:rPr>
                <w:rFonts w:ascii="Times New Roman"/>
                <w:sz w:val="18"/>
              </w:rPr>
              <w:t>73.9</w:t>
            </w:r>
          </w:p>
          <w:p>
            <w:pPr>
              <w:pStyle w:val="TableParagraph"/>
              <w:spacing w:line="240" w:lineRule="auto" w:before="105"/>
              <w:ind w:left="363" w:right="0"/>
              <w:jc w:val="left"/>
              <w:rPr>
                <w:rFonts w:ascii="Times New Roman" w:hAnsi="Times New Roman" w:cs="Times New Roman" w:eastAsia="Times New Roman" w:hint="default"/>
                <w:sz w:val="18"/>
                <w:szCs w:val="18"/>
              </w:rPr>
            </w:pPr>
            <w:r>
              <w:rPr>
                <w:rFonts w:ascii="Times New Roman"/>
                <w:sz w:val="18"/>
              </w:rPr>
              <w:t>1</w:t>
            </w:r>
          </w:p>
        </w:tc>
        <w:tc>
          <w:tcPr>
            <w:tcW w:w="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24" w:right="0"/>
              <w:jc w:val="left"/>
              <w:rPr>
                <w:rFonts w:ascii="Times New Roman" w:hAnsi="Times New Roman" w:cs="Times New Roman" w:eastAsia="Times New Roman" w:hint="default"/>
                <w:sz w:val="18"/>
                <w:szCs w:val="18"/>
              </w:rPr>
            </w:pPr>
            <w:r>
              <w:rPr>
                <w:rFonts w:ascii="Times New Roman"/>
                <w:sz w:val="18"/>
              </w:rPr>
              <w:t>2,139</w:t>
            </w:r>
          </w:p>
          <w:p>
            <w:pPr>
              <w:pStyle w:val="TableParagraph"/>
              <w:spacing w:line="240" w:lineRule="auto" w:before="105"/>
              <w:ind w:left="66" w:right="0"/>
              <w:jc w:val="center"/>
              <w:rPr>
                <w:rFonts w:ascii="Times New Roman" w:hAnsi="Times New Roman" w:cs="Times New Roman" w:eastAsia="Times New Roman" w:hint="default"/>
                <w:sz w:val="18"/>
                <w:szCs w:val="18"/>
              </w:rPr>
            </w:pPr>
            <w:r>
              <w:rPr>
                <w:rFonts w:ascii="Times New Roman"/>
                <w:sz w:val="18"/>
              </w:rPr>
              <w:t>,247.</w:t>
            </w:r>
          </w:p>
          <w:p>
            <w:pPr>
              <w:pStyle w:val="TableParagraph"/>
              <w:spacing w:line="240" w:lineRule="auto" w:before="105"/>
              <w:ind w:left="246" w:right="0"/>
              <w:jc w:val="center"/>
              <w:rPr>
                <w:rFonts w:ascii="Times New Roman" w:hAnsi="Times New Roman" w:cs="Times New Roman" w:eastAsia="Times New Roman" w:hint="default"/>
                <w:sz w:val="18"/>
                <w:szCs w:val="18"/>
              </w:rPr>
            </w:pPr>
            <w:r>
              <w:rPr>
                <w:rFonts w:ascii="Times New Roman"/>
                <w:sz w:val="18"/>
              </w:rPr>
              <w:t>00</w:t>
            </w:r>
          </w:p>
        </w:tc>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33" w:right="0"/>
              <w:jc w:val="left"/>
              <w:rPr>
                <w:rFonts w:ascii="Times New Roman" w:hAnsi="Times New Roman" w:cs="Times New Roman" w:eastAsia="Times New Roman" w:hint="default"/>
                <w:sz w:val="18"/>
                <w:szCs w:val="18"/>
              </w:rPr>
            </w:pPr>
            <w:r>
              <w:rPr>
                <w:rFonts w:ascii="Times New Roman"/>
                <w:sz w:val="18"/>
              </w:rPr>
              <w:t>101,9</w:t>
            </w:r>
          </w:p>
          <w:p>
            <w:pPr>
              <w:pStyle w:val="TableParagraph"/>
              <w:spacing w:line="240" w:lineRule="auto" w:before="105"/>
              <w:ind w:left="133" w:right="0"/>
              <w:jc w:val="left"/>
              <w:rPr>
                <w:rFonts w:ascii="Times New Roman" w:hAnsi="Times New Roman" w:cs="Times New Roman" w:eastAsia="Times New Roman" w:hint="default"/>
                <w:sz w:val="18"/>
                <w:szCs w:val="18"/>
              </w:rPr>
            </w:pPr>
            <w:r>
              <w:rPr>
                <w:rFonts w:ascii="Times New Roman"/>
                <w:sz w:val="18"/>
              </w:rPr>
              <w:t>57,92</w:t>
            </w:r>
          </w:p>
          <w:p>
            <w:pPr>
              <w:pStyle w:val="TableParagraph"/>
              <w:spacing w:line="240" w:lineRule="auto" w:before="105"/>
              <w:ind w:left="223" w:right="0"/>
              <w:jc w:val="left"/>
              <w:rPr>
                <w:rFonts w:ascii="Times New Roman" w:hAnsi="Times New Roman" w:cs="Times New Roman" w:eastAsia="Times New Roman" w:hint="default"/>
                <w:sz w:val="18"/>
                <w:szCs w:val="18"/>
              </w:rPr>
            </w:pPr>
            <w:r>
              <w:rPr>
                <w:rFonts w:ascii="Times New Roman"/>
                <w:sz w:val="18"/>
              </w:rPr>
              <w:t>0.91</w:t>
            </w:r>
          </w:p>
        </w:tc>
      </w:tr>
      <w:tr>
        <w:trPr>
          <w:trHeight w:val="1338"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6"/>
              <w:ind w:left="102" w:right="101"/>
              <w:jc w:val="left"/>
              <w:rPr>
                <w:rFonts w:ascii="宋体" w:hAnsi="宋体" w:cs="宋体" w:eastAsia="宋体" w:hint="default"/>
                <w:sz w:val="18"/>
                <w:szCs w:val="18"/>
              </w:rPr>
            </w:pPr>
            <w:r>
              <w:rPr>
                <w:rFonts w:ascii="宋体" w:hAnsi="宋体" w:cs="宋体" w:eastAsia="宋体" w:hint="default"/>
                <w:spacing w:val="-15"/>
                <w:sz w:val="18"/>
                <w:szCs w:val="18"/>
              </w:rPr>
              <w:t>（一）综合收</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益总额</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center"/>
              <w:rPr>
                <w:rFonts w:ascii="Times New Roman" w:hAnsi="Times New Roman" w:cs="Times New Roman" w:eastAsia="Times New Roman" w:hint="default"/>
                <w:sz w:val="18"/>
                <w:szCs w:val="18"/>
              </w:rPr>
            </w:pPr>
            <w:r>
              <w:rPr>
                <w:rFonts w:ascii="Times New Roman"/>
                <w:sz w:val="18"/>
              </w:rPr>
              <w:t>336,</w:t>
            </w:r>
          </w:p>
          <w:p>
            <w:pPr>
              <w:pStyle w:val="TableParagraph"/>
              <w:spacing w:line="240" w:lineRule="auto" w:before="105"/>
              <w:ind w:left="45" w:right="0"/>
              <w:jc w:val="center"/>
              <w:rPr>
                <w:rFonts w:ascii="Times New Roman" w:hAnsi="Times New Roman" w:cs="Times New Roman" w:eastAsia="Times New Roman" w:hint="default"/>
                <w:sz w:val="18"/>
                <w:szCs w:val="18"/>
              </w:rPr>
            </w:pPr>
            <w:r>
              <w:rPr>
                <w:rFonts w:ascii="Times New Roman"/>
                <w:sz w:val="18"/>
              </w:rPr>
              <w:t>081.</w:t>
            </w:r>
          </w:p>
          <w:p>
            <w:pPr>
              <w:pStyle w:val="TableParagraph"/>
              <w:spacing w:line="240" w:lineRule="auto" w:before="105"/>
              <w:ind w:left="180" w:right="0"/>
              <w:jc w:val="center"/>
              <w:rPr>
                <w:rFonts w:ascii="Times New Roman" w:hAnsi="Times New Roman" w:cs="Times New Roman" w:eastAsia="Times New Roman" w:hint="default"/>
                <w:sz w:val="18"/>
                <w:szCs w:val="18"/>
              </w:rPr>
            </w:pPr>
            <w:r>
              <w:rPr>
                <w:rFonts w:ascii="Times New Roman"/>
                <w:sz w:val="18"/>
              </w:rPr>
              <w:t>56</w:t>
            </w: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6" w:right="0"/>
              <w:jc w:val="center"/>
              <w:rPr>
                <w:rFonts w:ascii="Times New Roman" w:hAnsi="Times New Roman" w:cs="Times New Roman" w:eastAsia="Times New Roman" w:hint="default"/>
                <w:sz w:val="18"/>
                <w:szCs w:val="18"/>
              </w:rPr>
            </w:pPr>
            <w:r>
              <w:rPr>
                <w:rFonts w:ascii="Times New Roman"/>
                <w:sz w:val="18"/>
              </w:rPr>
              <w:t>145,</w:t>
            </w:r>
          </w:p>
          <w:p>
            <w:pPr>
              <w:pStyle w:val="TableParagraph"/>
              <w:spacing w:line="240" w:lineRule="auto" w:before="105"/>
              <w:ind w:left="56" w:right="0"/>
              <w:jc w:val="center"/>
              <w:rPr>
                <w:rFonts w:ascii="Times New Roman" w:hAnsi="Times New Roman" w:cs="Times New Roman" w:eastAsia="Times New Roman" w:hint="default"/>
                <w:sz w:val="18"/>
                <w:szCs w:val="18"/>
              </w:rPr>
            </w:pPr>
            <w:r>
              <w:rPr>
                <w:rFonts w:ascii="Times New Roman"/>
                <w:sz w:val="18"/>
              </w:rPr>
              <w:t>493,</w:t>
            </w:r>
          </w:p>
          <w:p>
            <w:pPr>
              <w:pStyle w:val="TableParagraph"/>
              <w:spacing w:line="240" w:lineRule="auto" w:before="105"/>
              <w:ind w:left="56" w:right="0"/>
              <w:jc w:val="center"/>
              <w:rPr>
                <w:rFonts w:ascii="Times New Roman" w:hAnsi="Times New Roman" w:cs="Times New Roman" w:eastAsia="Times New Roman" w:hint="default"/>
                <w:sz w:val="18"/>
                <w:szCs w:val="18"/>
              </w:rPr>
            </w:pPr>
            <w:r>
              <w:rPr>
                <w:rFonts w:ascii="Times New Roman"/>
                <w:sz w:val="18"/>
              </w:rPr>
              <w:t>021.</w:t>
            </w:r>
          </w:p>
          <w:p>
            <w:pPr>
              <w:pStyle w:val="TableParagraph"/>
              <w:spacing w:line="240" w:lineRule="auto" w:before="105"/>
              <w:ind w:left="200" w:right="0"/>
              <w:jc w:val="center"/>
              <w:rPr>
                <w:rFonts w:ascii="Times New Roman" w:hAnsi="Times New Roman" w:cs="Times New Roman" w:eastAsia="Times New Roman" w:hint="default"/>
                <w:sz w:val="18"/>
                <w:szCs w:val="18"/>
              </w:rPr>
            </w:pPr>
            <w:r>
              <w:rPr>
                <w:rFonts w:ascii="Times New Roman"/>
                <w:spacing w:val="-3"/>
                <w:sz w:val="18"/>
              </w:rPr>
              <w:t>11</w:t>
            </w: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4" w:right="0"/>
              <w:jc w:val="center"/>
              <w:rPr>
                <w:rFonts w:ascii="Times New Roman" w:hAnsi="Times New Roman" w:cs="Times New Roman" w:eastAsia="Times New Roman" w:hint="default"/>
                <w:sz w:val="18"/>
                <w:szCs w:val="18"/>
              </w:rPr>
            </w:pPr>
            <w:r>
              <w:rPr>
                <w:rFonts w:ascii="Times New Roman"/>
                <w:sz w:val="18"/>
              </w:rPr>
              <w:t>145,</w:t>
            </w:r>
          </w:p>
          <w:p>
            <w:pPr>
              <w:pStyle w:val="TableParagraph"/>
              <w:spacing w:line="240" w:lineRule="auto" w:before="105"/>
              <w:ind w:left="34" w:right="0"/>
              <w:jc w:val="center"/>
              <w:rPr>
                <w:rFonts w:ascii="Times New Roman" w:hAnsi="Times New Roman" w:cs="Times New Roman" w:eastAsia="Times New Roman" w:hint="default"/>
                <w:sz w:val="18"/>
                <w:szCs w:val="18"/>
              </w:rPr>
            </w:pPr>
            <w:r>
              <w:rPr>
                <w:rFonts w:ascii="Times New Roman"/>
                <w:sz w:val="18"/>
              </w:rPr>
              <w:t>829,</w:t>
            </w:r>
          </w:p>
          <w:p>
            <w:pPr>
              <w:pStyle w:val="TableParagraph"/>
              <w:spacing w:line="240" w:lineRule="auto" w:before="105"/>
              <w:ind w:left="34" w:right="0"/>
              <w:jc w:val="center"/>
              <w:rPr>
                <w:rFonts w:ascii="Times New Roman" w:hAnsi="Times New Roman" w:cs="Times New Roman" w:eastAsia="Times New Roman" w:hint="default"/>
                <w:sz w:val="18"/>
                <w:szCs w:val="18"/>
              </w:rPr>
            </w:pPr>
            <w:r>
              <w:rPr>
                <w:rFonts w:ascii="Times New Roman"/>
                <w:sz w:val="18"/>
              </w:rPr>
              <w:t>102.</w:t>
            </w:r>
          </w:p>
          <w:p>
            <w:pPr>
              <w:pStyle w:val="TableParagraph"/>
              <w:spacing w:line="240" w:lineRule="auto" w:before="105"/>
              <w:ind w:left="169" w:right="0"/>
              <w:jc w:val="center"/>
              <w:rPr>
                <w:rFonts w:ascii="Times New Roman" w:hAnsi="Times New Roman" w:cs="Times New Roman" w:eastAsia="Times New Roman" w:hint="default"/>
                <w:sz w:val="18"/>
                <w:szCs w:val="18"/>
              </w:rPr>
            </w:pPr>
            <w:r>
              <w:rPr>
                <w:rFonts w:ascii="Times New Roman"/>
                <w:sz w:val="18"/>
              </w:rPr>
              <w:t>67</w:t>
            </w:r>
          </w:p>
        </w:tc>
        <w:tc>
          <w:tcPr>
            <w:tcW w:w="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24" w:right="0"/>
              <w:jc w:val="left"/>
              <w:rPr>
                <w:rFonts w:ascii="Times New Roman" w:hAnsi="Times New Roman" w:cs="Times New Roman" w:eastAsia="Times New Roman" w:hint="default"/>
                <w:sz w:val="18"/>
                <w:szCs w:val="18"/>
              </w:rPr>
            </w:pPr>
            <w:r>
              <w:rPr>
                <w:rFonts w:ascii="Times New Roman"/>
                <w:sz w:val="18"/>
              </w:rPr>
              <w:t>2,139</w:t>
            </w:r>
          </w:p>
          <w:p>
            <w:pPr>
              <w:pStyle w:val="TableParagraph"/>
              <w:spacing w:line="240" w:lineRule="auto" w:before="105"/>
              <w:ind w:left="66" w:right="0"/>
              <w:jc w:val="center"/>
              <w:rPr>
                <w:rFonts w:ascii="Times New Roman" w:hAnsi="Times New Roman" w:cs="Times New Roman" w:eastAsia="Times New Roman" w:hint="default"/>
                <w:sz w:val="18"/>
                <w:szCs w:val="18"/>
              </w:rPr>
            </w:pPr>
            <w:r>
              <w:rPr>
                <w:rFonts w:ascii="Times New Roman"/>
                <w:sz w:val="18"/>
              </w:rPr>
              <w:t>,247.</w:t>
            </w:r>
          </w:p>
          <w:p>
            <w:pPr>
              <w:pStyle w:val="TableParagraph"/>
              <w:spacing w:line="240" w:lineRule="auto" w:before="105"/>
              <w:ind w:left="246" w:right="0"/>
              <w:jc w:val="center"/>
              <w:rPr>
                <w:rFonts w:ascii="Times New Roman" w:hAnsi="Times New Roman" w:cs="Times New Roman" w:eastAsia="Times New Roman" w:hint="default"/>
                <w:sz w:val="18"/>
                <w:szCs w:val="18"/>
              </w:rPr>
            </w:pPr>
            <w:r>
              <w:rPr>
                <w:rFonts w:ascii="Times New Roman"/>
                <w:sz w:val="18"/>
              </w:rPr>
              <w:t>00</w:t>
            </w:r>
          </w:p>
        </w:tc>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33" w:right="0"/>
              <w:jc w:val="left"/>
              <w:rPr>
                <w:rFonts w:ascii="Times New Roman" w:hAnsi="Times New Roman" w:cs="Times New Roman" w:eastAsia="Times New Roman" w:hint="default"/>
                <w:sz w:val="18"/>
                <w:szCs w:val="18"/>
              </w:rPr>
            </w:pPr>
            <w:r>
              <w:rPr>
                <w:rFonts w:ascii="Times New Roman"/>
                <w:sz w:val="18"/>
              </w:rPr>
              <w:t>147,9</w:t>
            </w:r>
          </w:p>
          <w:p>
            <w:pPr>
              <w:pStyle w:val="TableParagraph"/>
              <w:spacing w:line="240" w:lineRule="auto" w:before="105"/>
              <w:ind w:left="133" w:right="0"/>
              <w:jc w:val="left"/>
              <w:rPr>
                <w:rFonts w:ascii="Times New Roman" w:hAnsi="Times New Roman" w:cs="Times New Roman" w:eastAsia="Times New Roman" w:hint="default"/>
                <w:sz w:val="18"/>
                <w:szCs w:val="18"/>
              </w:rPr>
            </w:pPr>
            <w:r>
              <w:rPr>
                <w:rFonts w:ascii="Times New Roman"/>
                <w:sz w:val="18"/>
              </w:rPr>
              <w:t>68,34</w:t>
            </w:r>
          </w:p>
          <w:p>
            <w:pPr>
              <w:pStyle w:val="TableParagraph"/>
              <w:spacing w:line="240" w:lineRule="auto" w:before="105"/>
              <w:ind w:left="223" w:right="0"/>
              <w:jc w:val="left"/>
              <w:rPr>
                <w:rFonts w:ascii="Times New Roman" w:hAnsi="Times New Roman" w:cs="Times New Roman" w:eastAsia="Times New Roman" w:hint="default"/>
                <w:sz w:val="18"/>
                <w:szCs w:val="18"/>
              </w:rPr>
            </w:pPr>
            <w:r>
              <w:rPr>
                <w:rFonts w:ascii="Times New Roman"/>
                <w:sz w:val="18"/>
              </w:rPr>
              <w:t>9.67</w:t>
            </w:r>
          </w:p>
        </w:tc>
      </w:tr>
      <w:tr>
        <w:trPr>
          <w:trHeight w:val="401"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0"/>
              <w:ind w:left="102" w:right="0"/>
              <w:jc w:val="left"/>
              <w:rPr>
                <w:rFonts w:ascii="宋体" w:hAnsi="宋体" w:cs="宋体" w:eastAsia="宋体" w:hint="default"/>
                <w:sz w:val="18"/>
                <w:szCs w:val="18"/>
              </w:rPr>
            </w:pPr>
            <w:r>
              <w:rPr>
                <w:rFonts w:ascii="宋体" w:hAnsi="宋体" w:cs="宋体" w:eastAsia="宋体" w:hint="default"/>
                <w:sz w:val="18"/>
                <w:szCs w:val="18"/>
              </w:rPr>
              <w:t>（二</w:t>
            </w:r>
            <w:r>
              <w:rPr>
                <w:rFonts w:ascii="宋体" w:hAnsi="宋体" w:cs="宋体" w:eastAsia="宋体" w:hint="default"/>
                <w:spacing w:val="-85"/>
                <w:sz w:val="18"/>
                <w:szCs w:val="18"/>
              </w:rPr>
              <w:t>）</w:t>
            </w:r>
            <w:r>
              <w:rPr>
                <w:rFonts w:ascii="宋体" w:hAnsi="宋体" w:cs="宋体" w:eastAsia="宋体" w:hint="default"/>
                <w:sz w:val="18"/>
                <w:szCs w:val="18"/>
              </w:rPr>
              <w:t>所有者</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49" w:right="0"/>
              <w:jc w:val="left"/>
              <w:rPr>
                <w:rFonts w:ascii="Times New Roman" w:hAnsi="Times New Roman" w:cs="Times New Roman" w:eastAsia="Times New Roman" w:hint="default"/>
                <w:sz w:val="18"/>
                <w:szCs w:val="18"/>
              </w:rPr>
            </w:pPr>
            <w:r>
              <w:rPr>
                <w:rFonts w:ascii="Times New Roman"/>
                <w:sz w:val="18"/>
              </w:rPr>
              <w:t>46,0</w:t>
            </w: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69" w:right="0"/>
              <w:jc w:val="left"/>
              <w:rPr>
                <w:rFonts w:ascii="Times New Roman" w:hAnsi="Times New Roman" w:cs="Times New Roman" w:eastAsia="Times New Roman" w:hint="default"/>
                <w:sz w:val="18"/>
                <w:szCs w:val="18"/>
              </w:rPr>
            </w:pPr>
            <w:r>
              <w:rPr>
                <w:rFonts w:ascii="Times New Roman"/>
                <w:sz w:val="18"/>
              </w:rPr>
              <w:t>-46,</w:t>
            </w: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64" w:right="0"/>
              <w:jc w:val="left"/>
              <w:rPr>
                <w:rFonts w:ascii="Times New Roman" w:hAnsi="Times New Roman" w:cs="Times New Roman" w:eastAsia="Times New Roman" w:hint="default"/>
                <w:sz w:val="18"/>
                <w:szCs w:val="18"/>
              </w:rPr>
            </w:pPr>
            <w:r>
              <w:rPr>
                <w:rFonts w:ascii="Times New Roman"/>
                <w:sz w:val="18"/>
              </w:rPr>
              <w:t>-46,0</w:t>
            </w:r>
          </w:p>
        </w:tc>
      </w:tr>
    </w:tbl>
    <w:p>
      <w:pPr>
        <w:spacing w:after="0" w:line="240" w:lineRule="auto"/>
        <w:jc w:val="left"/>
        <w:rPr>
          <w:rFonts w:ascii="Times New Roman" w:hAnsi="Times New Roman" w:cs="Times New Roman" w:eastAsia="Times New Roman" w:hint="default"/>
          <w:sz w:val="18"/>
          <w:szCs w:val="18"/>
        </w:rPr>
        <w:sectPr>
          <w:pgSz w:w="11910" w:h="16840"/>
          <w:pgMar w:header="906" w:footer="1018" w:top="1100" w:bottom="1200" w:left="1020" w:right="0"/>
        </w:sectPr>
      </w:pPr>
    </w:p>
    <w:p>
      <w:pPr>
        <w:spacing w:line="240" w:lineRule="auto" w:before="0"/>
        <w:rPr>
          <w:rFonts w:ascii="Times New Roman" w:hAnsi="Times New Roman" w:cs="Times New Roman" w:eastAsia="Times New Roman" w:hint="default"/>
          <w:sz w:val="29"/>
          <w:szCs w:val="29"/>
        </w:rPr>
      </w:pPr>
    </w:p>
    <w:tbl>
      <w:tblPr>
        <w:tblW w:w="0" w:type="auto"/>
        <w:jc w:val="left"/>
        <w:tblInd w:w="109" w:type="dxa"/>
        <w:tblLayout w:type="fixed"/>
        <w:tblCellMar>
          <w:top w:w="0" w:type="dxa"/>
          <w:left w:w="0" w:type="dxa"/>
          <w:bottom w:w="0" w:type="dxa"/>
          <w:right w:w="0" w:type="dxa"/>
        </w:tblCellMar>
        <w:tblLook w:val="01E0"/>
      </w:tblPr>
      <w:tblGrid>
        <w:gridCol w:w="1212"/>
        <w:gridCol w:w="490"/>
        <w:gridCol w:w="449"/>
        <w:gridCol w:w="449"/>
        <w:gridCol w:w="491"/>
        <w:gridCol w:w="576"/>
        <w:gridCol w:w="577"/>
        <w:gridCol w:w="577"/>
        <w:gridCol w:w="577"/>
        <w:gridCol w:w="576"/>
        <w:gridCol w:w="577"/>
        <w:gridCol w:w="589"/>
        <w:gridCol w:w="567"/>
        <w:gridCol w:w="567"/>
        <w:gridCol w:w="643"/>
        <w:gridCol w:w="651"/>
      </w:tblGrid>
      <w:tr>
        <w:trPr>
          <w:trHeight w:val="986"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10"/>
              <w:ind w:left="102" w:right="197"/>
              <w:jc w:val="left"/>
              <w:rPr>
                <w:rFonts w:ascii="宋体" w:hAnsi="宋体" w:cs="宋体" w:eastAsia="宋体" w:hint="default"/>
                <w:sz w:val="18"/>
                <w:szCs w:val="18"/>
              </w:rPr>
            </w:pPr>
            <w:r>
              <w:rPr>
                <w:rFonts w:ascii="宋体" w:hAnsi="宋体" w:cs="宋体" w:eastAsia="宋体" w:hint="default"/>
                <w:sz w:val="18"/>
                <w:szCs w:val="18"/>
              </w:rPr>
              <w:t>投入和减少 资本</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49" w:right="0"/>
              <w:jc w:val="left"/>
              <w:rPr>
                <w:rFonts w:ascii="Times New Roman" w:hAnsi="Times New Roman" w:cs="Times New Roman" w:eastAsia="Times New Roman" w:hint="default"/>
                <w:sz w:val="18"/>
                <w:szCs w:val="18"/>
              </w:rPr>
            </w:pPr>
            <w:r>
              <w:rPr>
                <w:rFonts w:ascii="Times New Roman"/>
                <w:sz w:val="18"/>
              </w:rPr>
              <w:t>10,4</w:t>
            </w:r>
          </w:p>
          <w:p>
            <w:pPr>
              <w:pStyle w:val="TableParagraph"/>
              <w:spacing w:line="240" w:lineRule="auto" w:before="105"/>
              <w:ind w:left="149" w:right="0"/>
              <w:jc w:val="left"/>
              <w:rPr>
                <w:rFonts w:ascii="Times New Roman" w:hAnsi="Times New Roman" w:cs="Times New Roman" w:eastAsia="Times New Roman" w:hint="default"/>
                <w:sz w:val="18"/>
                <w:szCs w:val="18"/>
              </w:rPr>
            </w:pPr>
            <w:r>
              <w:rPr>
                <w:rFonts w:ascii="Times New Roman"/>
                <w:sz w:val="18"/>
              </w:rPr>
              <w:t>28.7</w:t>
            </w:r>
          </w:p>
          <w:p>
            <w:pPr>
              <w:pStyle w:val="TableParagraph"/>
              <w:spacing w:line="240" w:lineRule="auto" w:before="105"/>
              <w:ind w:left="374" w:right="0"/>
              <w:jc w:val="left"/>
              <w:rPr>
                <w:rFonts w:ascii="Times New Roman" w:hAnsi="Times New Roman" w:cs="Times New Roman" w:eastAsia="Times New Roman" w:hint="default"/>
                <w:sz w:val="18"/>
                <w:szCs w:val="18"/>
              </w:rPr>
            </w:pPr>
            <w:r>
              <w:rPr>
                <w:rFonts w:ascii="Times New Roman"/>
                <w:sz w:val="18"/>
              </w:rPr>
              <w:t>6</w:t>
            </w: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4" w:right="0"/>
              <w:jc w:val="center"/>
              <w:rPr>
                <w:rFonts w:ascii="Times New Roman" w:hAnsi="Times New Roman" w:cs="Times New Roman" w:eastAsia="Times New Roman" w:hint="default"/>
                <w:sz w:val="18"/>
                <w:szCs w:val="18"/>
              </w:rPr>
            </w:pPr>
            <w:r>
              <w:rPr>
                <w:rFonts w:ascii="Times New Roman"/>
                <w:sz w:val="18"/>
              </w:rPr>
              <w:t>010,</w:t>
            </w:r>
          </w:p>
          <w:p>
            <w:pPr>
              <w:pStyle w:val="TableParagraph"/>
              <w:spacing w:line="240" w:lineRule="auto" w:before="105"/>
              <w:ind w:left="34" w:right="0"/>
              <w:jc w:val="center"/>
              <w:rPr>
                <w:rFonts w:ascii="Times New Roman" w:hAnsi="Times New Roman" w:cs="Times New Roman" w:eastAsia="Times New Roman" w:hint="default"/>
                <w:sz w:val="18"/>
                <w:szCs w:val="18"/>
              </w:rPr>
            </w:pPr>
            <w:r>
              <w:rPr>
                <w:rFonts w:ascii="Times New Roman"/>
                <w:sz w:val="18"/>
              </w:rPr>
              <w:t>428.</w:t>
            </w:r>
          </w:p>
          <w:p>
            <w:pPr>
              <w:pStyle w:val="TableParagraph"/>
              <w:spacing w:line="240" w:lineRule="auto" w:before="105"/>
              <w:ind w:left="169" w:right="0"/>
              <w:jc w:val="center"/>
              <w:rPr>
                <w:rFonts w:ascii="Times New Roman" w:hAnsi="Times New Roman" w:cs="Times New Roman" w:eastAsia="Times New Roman" w:hint="default"/>
                <w:sz w:val="18"/>
                <w:szCs w:val="18"/>
              </w:rPr>
            </w:pPr>
            <w:r>
              <w:rPr>
                <w:rFonts w:ascii="Times New Roman"/>
                <w:sz w:val="18"/>
              </w:rPr>
              <w:t>76</w:t>
            </w: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33" w:right="0"/>
              <w:jc w:val="left"/>
              <w:rPr>
                <w:rFonts w:ascii="Times New Roman" w:hAnsi="Times New Roman" w:cs="Times New Roman" w:eastAsia="Times New Roman" w:hint="default"/>
                <w:sz w:val="18"/>
                <w:szCs w:val="18"/>
              </w:rPr>
            </w:pPr>
            <w:r>
              <w:rPr>
                <w:rFonts w:ascii="Times New Roman"/>
                <w:sz w:val="18"/>
              </w:rPr>
              <w:t>10,42</w:t>
            </w:r>
          </w:p>
          <w:p>
            <w:pPr>
              <w:pStyle w:val="TableParagraph"/>
              <w:spacing w:line="240" w:lineRule="auto" w:before="105"/>
              <w:ind w:left="223" w:right="0"/>
              <w:jc w:val="left"/>
              <w:rPr>
                <w:rFonts w:ascii="Times New Roman" w:hAnsi="Times New Roman" w:cs="Times New Roman" w:eastAsia="Times New Roman" w:hint="default"/>
                <w:sz w:val="18"/>
                <w:szCs w:val="18"/>
              </w:rPr>
            </w:pPr>
            <w:r>
              <w:rPr>
                <w:rFonts w:ascii="Times New Roman"/>
                <w:sz w:val="18"/>
              </w:rPr>
              <w:t>8.76</w:t>
            </w:r>
          </w:p>
        </w:tc>
      </w:tr>
      <w:tr>
        <w:trPr>
          <w:trHeight w:val="714"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49"/>
              <w:ind w:left="102" w:right="10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 入的普通股</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9" w:lineRule="auto" w:before="49"/>
              <w:ind w:left="102" w:right="10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 工具持有者 投入资本</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309" w:lineRule="auto"/>
              <w:ind w:left="102" w:right="10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 计入所有者 权益的金额</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9" w:right="0"/>
              <w:jc w:val="left"/>
              <w:rPr>
                <w:rFonts w:ascii="Times New Roman" w:hAnsi="Times New Roman" w:cs="Times New Roman" w:eastAsia="Times New Roman" w:hint="default"/>
                <w:sz w:val="18"/>
                <w:szCs w:val="18"/>
              </w:rPr>
            </w:pPr>
            <w:r>
              <w:rPr>
                <w:rFonts w:ascii="Times New Roman"/>
                <w:sz w:val="18"/>
              </w:rPr>
              <w:t>46,0</w:t>
            </w:r>
          </w:p>
          <w:p>
            <w:pPr>
              <w:pStyle w:val="TableParagraph"/>
              <w:spacing w:line="240" w:lineRule="auto" w:before="105"/>
              <w:ind w:left="149" w:right="0"/>
              <w:jc w:val="left"/>
              <w:rPr>
                <w:rFonts w:ascii="Times New Roman" w:hAnsi="Times New Roman" w:cs="Times New Roman" w:eastAsia="Times New Roman" w:hint="default"/>
                <w:sz w:val="18"/>
                <w:szCs w:val="18"/>
              </w:rPr>
            </w:pPr>
            <w:r>
              <w:rPr>
                <w:rFonts w:ascii="Times New Roman"/>
                <w:sz w:val="18"/>
              </w:rPr>
              <w:t>10,4</w:t>
            </w:r>
          </w:p>
          <w:p>
            <w:pPr>
              <w:pStyle w:val="TableParagraph"/>
              <w:spacing w:line="240" w:lineRule="auto" w:before="105"/>
              <w:ind w:left="149" w:right="0"/>
              <w:jc w:val="left"/>
              <w:rPr>
                <w:rFonts w:ascii="Times New Roman" w:hAnsi="Times New Roman" w:cs="Times New Roman" w:eastAsia="Times New Roman" w:hint="default"/>
                <w:sz w:val="18"/>
                <w:szCs w:val="18"/>
              </w:rPr>
            </w:pPr>
            <w:r>
              <w:rPr>
                <w:rFonts w:ascii="Times New Roman"/>
                <w:sz w:val="18"/>
              </w:rPr>
              <w:t>28.7</w:t>
            </w:r>
          </w:p>
          <w:p>
            <w:pPr>
              <w:pStyle w:val="TableParagraph"/>
              <w:spacing w:line="240" w:lineRule="auto" w:before="105"/>
              <w:ind w:left="374" w:right="0"/>
              <w:jc w:val="left"/>
              <w:rPr>
                <w:rFonts w:ascii="Times New Roman" w:hAnsi="Times New Roman" w:cs="Times New Roman" w:eastAsia="Times New Roman" w:hint="default"/>
                <w:sz w:val="18"/>
                <w:szCs w:val="18"/>
              </w:rPr>
            </w:pPr>
            <w:r>
              <w:rPr>
                <w:rFonts w:ascii="Times New Roman"/>
                <w:sz w:val="18"/>
              </w:rPr>
              <w:t>6</w:t>
            </w: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7" w:right="0"/>
              <w:jc w:val="center"/>
              <w:rPr>
                <w:rFonts w:ascii="Times New Roman" w:hAnsi="Times New Roman" w:cs="Times New Roman" w:eastAsia="Times New Roman" w:hint="default"/>
                <w:sz w:val="18"/>
                <w:szCs w:val="18"/>
              </w:rPr>
            </w:pPr>
            <w:r>
              <w:rPr>
                <w:rFonts w:ascii="Times New Roman"/>
                <w:sz w:val="18"/>
              </w:rPr>
              <w:t>-46,</w:t>
            </w:r>
          </w:p>
          <w:p>
            <w:pPr>
              <w:pStyle w:val="TableParagraph"/>
              <w:spacing w:line="240" w:lineRule="auto" w:before="105"/>
              <w:ind w:left="34" w:right="0"/>
              <w:jc w:val="center"/>
              <w:rPr>
                <w:rFonts w:ascii="Times New Roman" w:hAnsi="Times New Roman" w:cs="Times New Roman" w:eastAsia="Times New Roman" w:hint="default"/>
                <w:sz w:val="18"/>
                <w:szCs w:val="18"/>
              </w:rPr>
            </w:pPr>
            <w:r>
              <w:rPr>
                <w:rFonts w:ascii="Times New Roman"/>
                <w:sz w:val="18"/>
              </w:rPr>
              <w:t>010,</w:t>
            </w:r>
          </w:p>
          <w:p>
            <w:pPr>
              <w:pStyle w:val="TableParagraph"/>
              <w:spacing w:line="240" w:lineRule="auto" w:before="105"/>
              <w:ind w:left="34" w:right="0"/>
              <w:jc w:val="center"/>
              <w:rPr>
                <w:rFonts w:ascii="Times New Roman" w:hAnsi="Times New Roman" w:cs="Times New Roman" w:eastAsia="Times New Roman" w:hint="default"/>
                <w:sz w:val="18"/>
                <w:szCs w:val="18"/>
              </w:rPr>
            </w:pPr>
            <w:r>
              <w:rPr>
                <w:rFonts w:ascii="Times New Roman"/>
                <w:sz w:val="18"/>
              </w:rPr>
              <w:t>428.</w:t>
            </w:r>
          </w:p>
          <w:p>
            <w:pPr>
              <w:pStyle w:val="TableParagraph"/>
              <w:spacing w:line="240" w:lineRule="auto" w:before="105"/>
              <w:ind w:left="169" w:right="0"/>
              <w:jc w:val="center"/>
              <w:rPr>
                <w:rFonts w:ascii="Times New Roman" w:hAnsi="Times New Roman" w:cs="Times New Roman" w:eastAsia="Times New Roman" w:hint="default"/>
                <w:sz w:val="18"/>
                <w:szCs w:val="18"/>
              </w:rPr>
            </w:pPr>
            <w:r>
              <w:rPr>
                <w:rFonts w:ascii="Times New Roman"/>
                <w:sz w:val="18"/>
              </w:rPr>
              <w:t>76</w:t>
            </w: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64" w:right="0"/>
              <w:jc w:val="left"/>
              <w:rPr>
                <w:rFonts w:ascii="Times New Roman" w:hAnsi="Times New Roman" w:cs="Times New Roman" w:eastAsia="Times New Roman" w:hint="default"/>
                <w:sz w:val="18"/>
                <w:szCs w:val="18"/>
              </w:rPr>
            </w:pPr>
            <w:r>
              <w:rPr>
                <w:rFonts w:ascii="Times New Roman"/>
                <w:sz w:val="18"/>
              </w:rPr>
              <w:t>-46,0</w:t>
            </w:r>
          </w:p>
          <w:p>
            <w:pPr>
              <w:pStyle w:val="TableParagraph"/>
              <w:spacing w:line="240" w:lineRule="auto" w:before="105"/>
              <w:ind w:left="133" w:right="0"/>
              <w:jc w:val="left"/>
              <w:rPr>
                <w:rFonts w:ascii="Times New Roman" w:hAnsi="Times New Roman" w:cs="Times New Roman" w:eastAsia="Times New Roman" w:hint="default"/>
                <w:sz w:val="18"/>
                <w:szCs w:val="18"/>
              </w:rPr>
            </w:pPr>
            <w:r>
              <w:rPr>
                <w:rFonts w:ascii="Times New Roman"/>
                <w:sz w:val="18"/>
              </w:rPr>
              <w:t>10,42</w:t>
            </w:r>
          </w:p>
          <w:p>
            <w:pPr>
              <w:pStyle w:val="TableParagraph"/>
              <w:spacing w:line="240" w:lineRule="auto" w:before="105"/>
              <w:ind w:left="223" w:right="0"/>
              <w:jc w:val="left"/>
              <w:rPr>
                <w:rFonts w:ascii="Times New Roman" w:hAnsi="Times New Roman" w:cs="Times New Roman" w:eastAsia="Times New Roman" w:hint="default"/>
                <w:sz w:val="18"/>
                <w:szCs w:val="18"/>
              </w:rPr>
            </w:pPr>
            <w:r>
              <w:rPr>
                <w:rFonts w:ascii="Times New Roman"/>
                <w:sz w:val="18"/>
              </w:rPr>
              <w:t>8.76</w:t>
            </w:r>
          </w:p>
        </w:tc>
      </w:tr>
      <w:tr>
        <w:trPr>
          <w:trHeight w:val="402"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4"/>
              <w:ind w:left="102" w:right="101"/>
              <w:jc w:val="left"/>
              <w:rPr>
                <w:rFonts w:ascii="宋体" w:hAnsi="宋体" w:cs="宋体" w:eastAsia="宋体" w:hint="default"/>
                <w:sz w:val="18"/>
                <w:szCs w:val="18"/>
              </w:rPr>
            </w:pPr>
            <w:r>
              <w:rPr>
                <w:rFonts w:ascii="宋体" w:hAnsi="宋体" w:cs="宋体" w:eastAsia="宋体" w:hint="default"/>
                <w:spacing w:val="-15"/>
                <w:sz w:val="18"/>
                <w:szCs w:val="18"/>
              </w:rPr>
              <w:t>（三）利润分</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配</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8" w:right="0"/>
              <w:jc w:val="left"/>
              <w:rPr>
                <w:rFonts w:ascii="Times New Roman" w:hAnsi="Times New Roman" w:cs="Times New Roman" w:eastAsia="Times New Roman" w:hint="default"/>
                <w:sz w:val="18"/>
                <w:szCs w:val="18"/>
              </w:rPr>
            </w:pPr>
            <w:r>
              <w:rPr>
                <w:rFonts w:ascii="Times New Roman"/>
                <w:sz w:val="18"/>
              </w:rPr>
              <w:t>14,7</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32,0</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89.0</w:t>
            </w:r>
          </w:p>
          <w:p>
            <w:pPr>
              <w:pStyle w:val="TableParagraph"/>
              <w:spacing w:line="240" w:lineRule="auto" w:before="105"/>
              <w:ind w:left="373" w:right="0"/>
              <w:jc w:val="left"/>
              <w:rPr>
                <w:rFonts w:ascii="Times New Roman" w:hAnsi="Times New Roman" w:cs="Times New Roman" w:eastAsia="Times New Roman" w:hint="default"/>
                <w:sz w:val="18"/>
                <w:szCs w:val="18"/>
              </w:rPr>
            </w:pPr>
            <w:r>
              <w:rPr>
                <w:rFonts w:ascii="Times New Roman"/>
                <w:sz w:val="18"/>
              </w:rPr>
              <w:t>8</w:t>
            </w: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9" w:right="0"/>
              <w:jc w:val="center"/>
              <w:rPr>
                <w:rFonts w:ascii="Times New Roman" w:hAnsi="Times New Roman" w:cs="Times New Roman" w:eastAsia="Times New Roman" w:hint="default"/>
                <w:sz w:val="18"/>
                <w:szCs w:val="18"/>
              </w:rPr>
            </w:pPr>
            <w:r>
              <w:rPr>
                <w:rFonts w:ascii="Times New Roman"/>
                <w:sz w:val="18"/>
              </w:rPr>
              <w:t>-14,</w:t>
            </w:r>
          </w:p>
          <w:p>
            <w:pPr>
              <w:pStyle w:val="TableParagraph"/>
              <w:spacing w:line="240" w:lineRule="auto" w:before="105"/>
              <w:ind w:left="56" w:right="0"/>
              <w:jc w:val="center"/>
              <w:rPr>
                <w:rFonts w:ascii="Times New Roman" w:hAnsi="Times New Roman" w:cs="Times New Roman" w:eastAsia="Times New Roman" w:hint="default"/>
                <w:sz w:val="18"/>
                <w:szCs w:val="18"/>
              </w:rPr>
            </w:pPr>
            <w:r>
              <w:rPr>
                <w:rFonts w:ascii="Times New Roman"/>
                <w:sz w:val="18"/>
              </w:rPr>
              <w:t>732,</w:t>
            </w:r>
          </w:p>
          <w:p>
            <w:pPr>
              <w:pStyle w:val="TableParagraph"/>
              <w:spacing w:line="240" w:lineRule="auto" w:before="105"/>
              <w:ind w:left="56" w:right="0"/>
              <w:jc w:val="center"/>
              <w:rPr>
                <w:rFonts w:ascii="Times New Roman" w:hAnsi="Times New Roman" w:cs="Times New Roman" w:eastAsia="Times New Roman" w:hint="default"/>
                <w:sz w:val="18"/>
                <w:szCs w:val="18"/>
              </w:rPr>
            </w:pPr>
            <w:r>
              <w:rPr>
                <w:rFonts w:ascii="Times New Roman"/>
                <w:sz w:val="18"/>
              </w:rPr>
              <w:t>089.</w:t>
            </w:r>
          </w:p>
          <w:p>
            <w:pPr>
              <w:pStyle w:val="TableParagraph"/>
              <w:spacing w:line="240" w:lineRule="auto" w:before="105"/>
              <w:ind w:left="191" w:right="0"/>
              <w:jc w:val="center"/>
              <w:rPr>
                <w:rFonts w:ascii="Times New Roman" w:hAnsi="Times New Roman" w:cs="Times New Roman" w:eastAsia="Times New Roman" w:hint="default"/>
                <w:sz w:val="18"/>
                <w:szCs w:val="18"/>
              </w:rPr>
            </w:pPr>
            <w:r>
              <w:rPr>
                <w:rFonts w:ascii="Times New Roman"/>
                <w:sz w:val="18"/>
              </w:rPr>
              <w:t>08</w:t>
            </w: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0" w:lineRule="auto" w:before="154"/>
              <w:ind w:left="102" w:right="10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 公积</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8" w:right="0"/>
              <w:jc w:val="left"/>
              <w:rPr>
                <w:rFonts w:ascii="Times New Roman" w:hAnsi="Times New Roman" w:cs="Times New Roman" w:eastAsia="Times New Roman" w:hint="default"/>
                <w:sz w:val="18"/>
                <w:szCs w:val="18"/>
              </w:rPr>
            </w:pPr>
            <w:r>
              <w:rPr>
                <w:rFonts w:ascii="Times New Roman"/>
                <w:sz w:val="18"/>
              </w:rPr>
              <w:t>14,7</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32,0</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89.0</w:t>
            </w:r>
          </w:p>
          <w:p>
            <w:pPr>
              <w:pStyle w:val="TableParagraph"/>
              <w:spacing w:line="240" w:lineRule="auto" w:before="105"/>
              <w:ind w:left="373" w:right="0"/>
              <w:jc w:val="left"/>
              <w:rPr>
                <w:rFonts w:ascii="Times New Roman" w:hAnsi="Times New Roman" w:cs="Times New Roman" w:eastAsia="Times New Roman" w:hint="default"/>
                <w:sz w:val="18"/>
                <w:szCs w:val="18"/>
              </w:rPr>
            </w:pPr>
            <w:r>
              <w:rPr>
                <w:rFonts w:ascii="Times New Roman"/>
                <w:sz w:val="18"/>
              </w:rPr>
              <w:t>8</w:t>
            </w: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9" w:right="0"/>
              <w:jc w:val="center"/>
              <w:rPr>
                <w:rFonts w:ascii="Times New Roman" w:hAnsi="Times New Roman" w:cs="Times New Roman" w:eastAsia="Times New Roman" w:hint="default"/>
                <w:sz w:val="18"/>
                <w:szCs w:val="18"/>
              </w:rPr>
            </w:pPr>
            <w:r>
              <w:rPr>
                <w:rFonts w:ascii="Times New Roman"/>
                <w:sz w:val="18"/>
              </w:rPr>
              <w:t>-14,</w:t>
            </w:r>
          </w:p>
          <w:p>
            <w:pPr>
              <w:pStyle w:val="TableParagraph"/>
              <w:spacing w:line="240" w:lineRule="auto" w:before="105"/>
              <w:ind w:left="56" w:right="0"/>
              <w:jc w:val="center"/>
              <w:rPr>
                <w:rFonts w:ascii="Times New Roman" w:hAnsi="Times New Roman" w:cs="Times New Roman" w:eastAsia="Times New Roman" w:hint="default"/>
                <w:sz w:val="18"/>
                <w:szCs w:val="18"/>
              </w:rPr>
            </w:pPr>
            <w:r>
              <w:rPr>
                <w:rFonts w:ascii="Times New Roman"/>
                <w:sz w:val="18"/>
              </w:rPr>
              <w:t>732,</w:t>
            </w:r>
          </w:p>
          <w:p>
            <w:pPr>
              <w:pStyle w:val="TableParagraph"/>
              <w:spacing w:line="240" w:lineRule="auto" w:before="105"/>
              <w:ind w:left="56" w:right="0"/>
              <w:jc w:val="center"/>
              <w:rPr>
                <w:rFonts w:ascii="Times New Roman" w:hAnsi="Times New Roman" w:cs="Times New Roman" w:eastAsia="Times New Roman" w:hint="default"/>
                <w:sz w:val="18"/>
                <w:szCs w:val="18"/>
              </w:rPr>
            </w:pPr>
            <w:r>
              <w:rPr>
                <w:rFonts w:ascii="Times New Roman"/>
                <w:sz w:val="18"/>
              </w:rPr>
              <w:t>089.</w:t>
            </w:r>
          </w:p>
          <w:p>
            <w:pPr>
              <w:pStyle w:val="TableParagraph"/>
              <w:spacing w:line="240" w:lineRule="auto" w:before="105"/>
              <w:ind w:left="191" w:right="0"/>
              <w:jc w:val="center"/>
              <w:rPr>
                <w:rFonts w:ascii="Times New Roman" w:hAnsi="Times New Roman" w:cs="Times New Roman" w:eastAsia="Times New Roman" w:hint="default"/>
                <w:sz w:val="18"/>
                <w:szCs w:val="18"/>
              </w:rPr>
            </w:pPr>
            <w:r>
              <w:rPr>
                <w:rFonts w:ascii="Times New Roman"/>
                <w:sz w:val="18"/>
              </w:rPr>
              <w:t>08</w:t>
            </w: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49"/>
              <w:ind w:left="102" w:right="10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 风险准备</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w:t>
            </w:r>
          </w:p>
          <w:p>
            <w:pPr>
              <w:pStyle w:val="TableParagraph"/>
              <w:spacing w:line="319" w:lineRule="auto" w:before="62"/>
              <w:ind w:left="102" w:right="101"/>
              <w:jc w:val="left"/>
              <w:rPr>
                <w:rFonts w:ascii="宋体" w:hAnsi="宋体" w:cs="宋体" w:eastAsia="宋体" w:hint="default"/>
                <w:sz w:val="18"/>
                <w:szCs w:val="18"/>
              </w:rPr>
            </w:pPr>
            <w:r>
              <w:rPr>
                <w:rFonts w:ascii="宋体" w:hAnsi="宋体" w:cs="宋体" w:eastAsia="宋体" w:hint="default"/>
                <w:spacing w:val="-15"/>
                <w:sz w:val="18"/>
                <w:szCs w:val="18"/>
              </w:rPr>
              <w:t>（或股东）的</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分配</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02" w:right="101"/>
              <w:jc w:val="left"/>
              <w:rPr>
                <w:rFonts w:ascii="宋体" w:hAnsi="宋体" w:cs="宋体" w:eastAsia="宋体" w:hint="default"/>
                <w:sz w:val="18"/>
                <w:szCs w:val="18"/>
              </w:rPr>
            </w:pPr>
            <w:r>
              <w:rPr>
                <w:rFonts w:ascii="宋体" w:hAnsi="宋体" w:cs="宋体" w:eastAsia="宋体" w:hint="default"/>
                <w:spacing w:val="-15"/>
                <w:sz w:val="18"/>
                <w:szCs w:val="18"/>
              </w:rPr>
              <w:t>（四）所有者</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权益内部结 转</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9" w:lineRule="auto" w:before="49"/>
              <w:ind w:left="102" w:right="101"/>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 </w:t>
            </w:r>
            <w:r>
              <w:rPr>
                <w:rFonts w:ascii="宋体" w:hAnsi="宋体" w:cs="宋体" w:eastAsia="宋体" w:hint="default"/>
                <w:spacing w:val="-15"/>
                <w:sz w:val="18"/>
                <w:szCs w:val="18"/>
              </w:rPr>
              <w:t>转增资本（或</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股本）</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9" w:lineRule="auto" w:before="49"/>
              <w:ind w:left="102" w:right="101"/>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 </w:t>
            </w:r>
            <w:r>
              <w:rPr>
                <w:rFonts w:ascii="宋体" w:hAnsi="宋体" w:cs="宋体" w:eastAsia="宋体" w:hint="default"/>
                <w:spacing w:val="-15"/>
                <w:sz w:val="18"/>
                <w:szCs w:val="18"/>
              </w:rPr>
              <w:t>转增资本（或</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股本）</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49"/>
              <w:ind w:left="102" w:right="10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 弥补亏损</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673"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49"/>
              <w:ind w:left="102" w:right="107"/>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 计划变动额</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6" w:footer="1018" w:top="1100" w:bottom="1200" w:left="1020" w:right="0"/>
        </w:sectPr>
      </w:pPr>
    </w:p>
    <w:p>
      <w:pPr>
        <w:spacing w:line="240" w:lineRule="auto" w:before="0"/>
        <w:rPr>
          <w:rFonts w:ascii="Times New Roman" w:hAnsi="Times New Roman" w:cs="Times New Roman" w:eastAsia="Times New Roman" w:hint="default"/>
          <w:sz w:val="29"/>
          <w:szCs w:val="29"/>
        </w:rPr>
      </w:pPr>
    </w:p>
    <w:tbl>
      <w:tblPr>
        <w:tblW w:w="0" w:type="auto"/>
        <w:jc w:val="left"/>
        <w:tblInd w:w="109" w:type="dxa"/>
        <w:tblLayout w:type="fixed"/>
        <w:tblCellMar>
          <w:top w:w="0" w:type="dxa"/>
          <w:left w:w="0" w:type="dxa"/>
          <w:bottom w:w="0" w:type="dxa"/>
          <w:right w:w="0" w:type="dxa"/>
        </w:tblCellMar>
        <w:tblLook w:val="01E0"/>
      </w:tblPr>
      <w:tblGrid>
        <w:gridCol w:w="1212"/>
        <w:gridCol w:w="490"/>
        <w:gridCol w:w="449"/>
        <w:gridCol w:w="449"/>
        <w:gridCol w:w="491"/>
        <w:gridCol w:w="576"/>
        <w:gridCol w:w="577"/>
        <w:gridCol w:w="577"/>
        <w:gridCol w:w="577"/>
        <w:gridCol w:w="576"/>
        <w:gridCol w:w="577"/>
        <w:gridCol w:w="589"/>
        <w:gridCol w:w="567"/>
        <w:gridCol w:w="567"/>
        <w:gridCol w:w="643"/>
        <w:gridCol w:w="651"/>
      </w:tblGrid>
      <w:tr>
        <w:trPr>
          <w:trHeight w:val="674"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10"/>
              <w:ind w:left="102" w:right="197"/>
              <w:jc w:val="left"/>
              <w:rPr>
                <w:rFonts w:ascii="宋体" w:hAnsi="宋体" w:cs="宋体" w:eastAsia="宋体" w:hint="default"/>
                <w:sz w:val="18"/>
                <w:szCs w:val="18"/>
              </w:rPr>
            </w:pPr>
            <w:r>
              <w:rPr>
                <w:rFonts w:ascii="宋体" w:hAnsi="宋体" w:cs="宋体" w:eastAsia="宋体" w:hint="default"/>
                <w:sz w:val="18"/>
                <w:szCs w:val="18"/>
              </w:rPr>
              <w:t>结转留存收 益</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9" w:lineRule="auto" w:before="49"/>
              <w:ind w:left="102" w:right="107"/>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．其他综合 收益结转留 存收益</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49"/>
              <w:ind w:left="102" w:right="101"/>
              <w:jc w:val="left"/>
              <w:rPr>
                <w:rFonts w:ascii="宋体" w:hAnsi="宋体" w:cs="宋体" w:eastAsia="宋体" w:hint="default"/>
                <w:sz w:val="18"/>
                <w:szCs w:val="18"/>
              </w:rPr>
            </w:pPr>
            <w:r>
              <w:rPr>
                <w:rFonts w:ascii="宋体" w:hAnsi="宋体" w:cs="宋体" w:eastAsia="宋体" w:hint="default"/>
                <w:spacing w:val="-15"/>
                <w:sz w:val="18"/>
                <w:szCs w:val="18"/>
              </w:rPr>
              <w:t>（五）专项储</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备</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1650" w:hRule="exact"/>
        </w:trPr>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3"/>
              <w:ind w:left="102" w:right="101"/>
              <w:jc w:val="left"/>
              <w:rPr>
                <w:rFonts w:ascii="宋体" w:hAnsi="宋体" w:cs="宋体" w:eastAsia="宋体" w:hint="default"/>
                <w:sz w:val="18"/>
                <w:szCs w:val="18"/>
              </w:rPr>
            </w:pPr>
            <w:r>
              <w:rPr>
                <w:rFonts w:ascii="宋体" w:hAnsi="宋体" w:cs="宋体" w:eastAsia="宋体" w:hint="default"/>
                <w:spacing w:val="-15"/>
                <w:sz w:val="18"/>
                <w:szCs w:val="18"/>
              </w:rPr>
              <w:t>四、本期期末</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余额</w:t>
            </w: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7" w:right="0"/>
              <w:jc w:val="left"/>
              <w:rPr>
                <w:rFonts w:ascii="Times New Roman" w:hAnsi="Times New Roman" w:cs="Times New Roman" w:eastAsia="Times New Roman" w:hint="default"/>
                <w:sz w:val="18"/>
                <w:szCs w:val="18"/>
              </w:rPr>
            </w:pPr>
            <w:r>
              <w:rPr>
                <w:rFonts w:ascii="Times New Roman"/>
                <w:sz w:val="18"/>
              </w:rPr>
              <w:t>712</w:t>
            </w:r>
          </w:p>
          <w:p>
            <w:pPr>
              <w:pStyle w:val="TableParagraph"/>
              <w:spacing w:line="240" w:lineRule="auto" w:before="105"/>
              <w:ind w:left="152" w:right="0"/>
              <w:jc w:val="left"/>
              <w:rPr>
                <w:rFonts w:ascii="Times New Roman" w:hAnsi="Times New Roman" w:cs="Times New Roman" w:eastAsia="Times New Roman" w:hint="default"/>
                <w:sz w:val="18"/>
                <w:szCs w:val="18"/>
              </w:rPr>
            </w:pPr>
            <w:r>
              <w:rPr>
                <w:rFonts w:ascii="Times New Roman"/>
                <w:sz w:val="18"/>
              </w:rPr>
              <w:t>,02</w:t>
            </w:r>
          </w:p>
          <w:p>
            <w:pPr>
              <w:pStyle w:val="TableParagraph"/>
              <w:spacing w:line="240" w:lineRule="auto" w:before="105"/>
              <w:ind w:left="152" w:right="0"/>
              <w:jc w:val="left"/>
              <w:rPr>
                <w:rFonts w:ascii="Times New Roman" w:hAnsi="Times New Roman" w:cs="Times New Roman" w:eastAsia="Times New Roman" w:hint="default"/>
                <w:sz w:val="18"/>
                <w:szCs w:val="18"/>
              </w:rPr>
            </w:pPr>
            <w:r>
              <w:rPr>
                <w:rFonts w:ascii="Times New Roman"/>
                <w:sz w:val="18"/>
              </w:rPr>
              <w:t>8,8</w:t>
            </w:r>
          </w:p>
          <w:p>
            <w:pPr>
              <w:pStyle w:val="TableParagraph"/>
              <w:spacing w:line="240" w:lineRule="auto" w:before="105"/>
              <w:ind w:left="152" w:right="0"/>
              <w:jc w:val="left"/>
              <w:rPr>
                <w:rFonts w:ascii="Times New Roman" w:hAnsi="Times New Roman" w:cs="Times New Roman" w:eastAsia="Times New Roman" w:hint="default"/>
                <w:sz w:val="18"/>
                <w:szCs w:val="18"/>
              </w:rPr>
            </w:pPr>
            <w:r>
              <w:rPr>
                <w:rFonts w:ascii="Times New Roman"/>
                <w:sz w:val="18"/>
              </w:rPr>
              <w:t>00.</w:t>
            </w:r>
          </w:p>
          <w:p>
            <w:pPr>
              <w:pStyle w:val="TableParagraph"/>
              <w:spacing w:line="240" w:lineRule="auto" w:before="105"/>
              <w:ind w:left="197" w:right="0"/>
              <w:jc w:val="left"/>
              <w:rPr>
                <w:rFonts w:ascii="Times New Roman" w:hAnsi="Times New Roman" w:cs="Times New Roman" w:eastAsia="Times New Roman" w:hint="default"/>
                <w:sz w:val="18"/>
                <w:szCs w:val="18"/>
              </w:rPr>
            </w:pPr>
            <w:r>
              <w:rPr>
                <w:rFonts w:ascii="Times New Roman"/>
                <w:sz w:val="18"/>
              </w:rPr>
              <w:t>00</w:t>
            </w: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74,5</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00,1</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00.8</w:t>
            </w:r>
          </w:p>
          <w:p>
            <w:pPr>
              <w:pStyle w:val="TableParagraph"/>
              <w:spacing w:line="240" w:lineRule="auto" w:before="105"/>
              <w:ind w:left="373" w:right="0"/>
              <w:jc w:val="left"/>
              <w:rPr>
                <w:rFonts w:ascii="Times New Roman" w:hAnsi="Times New Roman" w:cs="Times New Roman" w:eastAsia="Times New Roman" w:hint="default"/>
                <w:sz w:val="18"/>
                <w:szCs w:val="18"/>
              </w:rPr>
            </w:pPr>
            <w:r>
              <w:rPr>
                <w:rFonts w:ascii="Times New Roman"/>
                <w:sz w:val="18"/>
              </w:rPr>
              <w:t>1</w:t>
            </w:r>
          </w:p>
        </w:tc>
        <w:tc>
          <w:tcPr>
            <w:tcW w:w="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49" w:right="0"/>
              <w:jc w:val="left"/>
              <w:rPr>
                <w:rFonts w:ascii="Times New Roman" w:hAnsi="Times New Roman" w:cs="Times New Roman" w:eastAsia="Times New Roman" w:hint="default"/>
                <w:sz w:val="18"/>
                <w:szCs w:val="18"/>
              </w:rPr>
            </w:pPr>
            <w:r>
              <w:rPr>
                <w:rFonts w:ascii="Times New Roman"/>
                <w:sz w:val="18"/>
              </w:rPr>
              <w:t>46,0</w:t>
            </w:r>
          </w:p>
          <w:p>
            <w:pPr>
              <w:pStyle w:val="TableParagraph"/>
              <w:spacing w:line="240" w:lineRule="auto" w:before="105"/>
              <w:ind w:left="149" w:right="0"/>
              <w:jc w:val="left"/>
              <w:rPr>
                <w:rFonts w:ascii="Times New Roman" w:hAnsi="Times New Roman" w:cs="Times New Roman" w:eastAsia="Times New Roman" w:hint="default"/>
                <w:sz w:val="18"/>
                <w:szCs w:val="18"/>
              </w:rPr>
            </w:pPr>
            <w:r>
              <w:rPr>
                <w:rFonts w:ascii="Times New Roman"/>
                <w:sz w:val="18"/>
              </w:rPr>
              <w:t>10,4</w:t>
            </w:r>
          </w:p>
          <w:p>
            <w:pPr>
              <w:pStyle w:val="TableParagraph"/>
              <w:spacing w:line="240" w:lineRule="auto" w:before="105"/>
              <w:ind w:left="149" w:right="0"/>
              <w:jc w:val="left"/>
              <w:rPr>
                <w:rFonts w:ascii="Times New Roman" w:hAnsi="Times New Roman" w:cs="Times New Roman" w:eastAsia="Times New Roman" w:hint="default"/>
                <w:sz w:val="18"/>
                <w:szCs w:val="18"/>
              </w:rPr>
            </w:pPr>
            <w:r>
              <w:rPr>
                <w:rFonts w:ascii="Times New Roman"/>
                <w:sz w:val="18"/>
              </w:rPr>
              <w:t>28.7</w:t>
            </w:r>
          </w:p>
          <w:p>
            <w:pPr>
              <w:pStyle w:val="TableParagraph"/>
              <w:spacing w:line="240" w:lineRule="auto" w:before="105"/>
              <w:ind w:left="374" w:right="0"/>
              <w:jc w:val="left"/>
              <w:rPr>
                <w:rFonts w:ascii="Times New Roman" w:hAnsi="Times New Roman" w:cs="Times New Roman" w:eastAsia="Times New Roman" w:hint="default"/>
                <w:sz w:val="18"/>
                <w:szCs w:val="18"/>
              </w:rPr>
            </w:pPr>
            <w:r>
              <w:rPr>
                <w:rFonts w:ascii="Times New Roman"/>
                <w:sz w:val="18"/>
              </w:rPr>
              <w:t>6</w:t>
            </w:r>
          </w:p>
        </w:tc>
        <w:tc>
          <w:tcPr>
            <w:tcW w:w="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1,35</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8,86</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8.21</w:t>
            </w: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5" w:right="0"/>
              <w:jc w:val="center"/>
              <w:rPr>
                <w:rFonts w:ascii="Times New Roman" w:hAnsi="Times New Roman" w:cs="Times New Roman" w:eastAsia="Times New Roman" w:hint="default"/>
                <w:sz w:val="18"/>
                <w:szCs w:val="18"/>
              </w:rPr>
            </w:pPr>
            <w:r>
              <w:rPr>
                <w:rFonts w:ascii="Times New Roman"/>
                <w:sz w:val="18"/>
              </w:rPr>
              <w:t>207,</w:t>
            </w:r>
          </w:p>
          <w:p>
            <w:pPr>
              <w:pStyle w:val="TableParagraph"/>
              <w:spacing w:line="240" w:lineRule="auto" w:before="105"/>
              <w:ind w:left="45" w:right="0"/>
              <w:jc w:val="center"/>
              <w:rPr>
                <w:rFonts w:ascii="Times New Roman" w:hAnsi="Times New Roman" w:cs="Times New Roman" w:eastAsia="Times New Roman" w:hint="default"/>
                <w:sz w:val="18"/>
                <w:szCs w:val="18"/>
              </w:rPr>
            </w:pPr>
            <w:r>
              <w:rPr>
                <w:rFonts w:ascii="Times New Roman"/>
                <w:sz w:val="18"/>
              </w:rPr>
              <w:t>516,</w:t>
            </w:r>
          </w:p>
          <w:p>
            <w:pPr>
              <w:pStyle w:val="TableParagraph"/>
              <w:spacing w:line="240" w:lineRule="auto" w:before="105"/>
              <w:ind w:left="45" w:right="0"/>
              <w:jc w:val="center"/>
              <w:rPr>
                <w:rFonts w:ascii="Times New Roman" w:hAnsi="Times New Roman" w:cs="Times New Roman" w:eastAsia="Times New Roman" w:hint="default"/>
                <w:sz w:val="18"/>
                <w:szCs w:val="18"/>
              </w:rPr>
            </w:pPr>
            <w:r>
              <w:rPr>
                <w:rFonts w:ascii="Times New Roman"/>
                <w:sz w:val="18"/>
              </w:rPr>
              <w:t>674.</w:t>
            </w:r>
          </w:p>
          <w:p>
            <w:pPr>
              <w:pStyle w:val="TableParagraph"/>
              <w:spacing w:line="240" w:lineRule="auto" w:before="105"/>
              <w:ind w:left="180" w:right="0"/>
              <w:jc w:val="center"/>
              <w:rPr>
                <w:rFonts w:ascii="Times New Roman" w:hAnsi="Times New Roman" w:cs="Times New Roman" w:eastAsia="Times New Roman" w:hint="default"/>
                <w:sz w:val="18"/>
                <w:szCs w:val="18"/>
              </w:rPr>
            </w:pPr>
            <w:r>
              <w:rPr>
                <w:rFonts w:ascii="Times New Roman"/>
                <w:sz w:val="18"/>
              </w:rPr>
              <w:t>80</w:t>
            </w: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6" w:right="0"/>
              <w:jc w:val="center"/>
              <w:rPr>
                <w:rFonts w:ascii="Times New Roman" w:hAnsi="Times New Roman" w:cs="Times New Roman" w:eastAsia="Times New Roman" w:hint="default"/>
                <w:sz w:val="18"/>
                <w:szCs w:val="18"/>
              </w:rPr>
            </w:pPr>
            <w:r>
              <w:rPr>
                <w:rFonts w:ascii="Times New Roman"/>
                <w:sz w:val="18"/>
              </w:rPr>
              <w:t>944,</w:t>
            </w:r>
          </w:p>
          <w:p>
            <w:pPr>
              <w:pStyle w:val="TableParagraph"/>
              <w:spacing w:line="240" w:lineRule="auto" w:before="105"/>
              <w:ind w:left="56" w:right="0"/>
              <w:jc w:val="center"/>
              <w:rPr>
                <w:rFonts w:ascii="Times New Roman" w:hAnsi="Times New Roman" w:cs="Times New Roman" w:eastAsia="Times New Roman" w:hint="default"/>
                <w:sz w:val="18"/>
                <w:szCs w:val="18"/>
              </w:rPr>
            </w:pPr>
            <w:r>
              <w:rPr>
                <w:rFonts w:ascii="Times New Roman"/>
                <w:sz w:val="18"/>
              </w:rPr>
              <w:t>612,</w:t>
            </w:r>
          </w:p>
          <w:p>
            <w:pPr>
              <w:pStyle w:val="TableParagraph"/>
              <w:spacing w:line="240" w:lineRule="auto" w:before="105"/>
              <w:ind w:left="56" w:right="0"/>
              <w:jc w:val="center"/>
              <w:rPr>
                <w:rFonts w:ascii="Times New Roman" w:hAnsi="Times New Roman" w:cs="Times New Roman" w:eastAsia="Times New Roman" w:hint="default"/>
                <w:sz w:val="18"/>
                <w:szCs w:val="18"/>
              </w:rPr>
            </w:pPr>
            <w:r>
              <w:rPr>
                <w:rFonts w:ascii="Times New Roman"/>
                <w:sz w:val="18"/>
              </w:rPr>
              <w:t>685.</w:t>
            </w:r>
          </w:p>
          <w:p>
            <w:pPr>
              <w:pStyle w:val="TableParagraph"/>
              <w:spacing w:line="240" w:lineRule="auto" w:before="105"/>
              <w:ind w:left="191" w:right="0"/>
              <w:jc w:val="center"/>
              <w:rPr>
                <w:rFonts w:ascii="Times New Roman" w:hAnsi="Times New Roman" w:cs="Times New Roman" w:eastAsia="Times New Roman" w:hint="default"/>
                <w:sz w:val="18"/>
                <w:szCs w:val="18"/>
              </w:rPr>
            </w:pPr>
            <w:r>
              <w:rPr>
                <w:rFonts w:ascii="Times New Roman"/>
                <w:sz w:val="18"/>
              </w:rPr>
              <w:t>27</w:t>
            </w: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38" w:right="0"/>
              <w:jc w:val="left"/>
              <w:rPr>
                <w:rFonts w:ascii="Times New Roman" w:hAnsi="Times New Roman" w:cs="Times New Roman" w:eastAsia="Times New Roman" w:hint="default"/>
                <w:sz w:val="18"/>
                <w:szCs w:val="18"/>
              </w:rPr>
            </w:pPr>
            <w:r>
              <w:rPr>
                <w:rFonts w:ascii="Times New Roman"/>
                <w:sz w:val="18"/>
              </w:rPr>
              <w:t>1,89</w:t>
            </w:r>
          </w:p>
          <w:p>
            <w:pPr>
              <w:pStyle w:val="TableParagraph"/>
              <w:spacing w:line="240" w:lineRule="auto" w:before="105"/>
              <w:ind w:left="138" w:right="0"/>
              <w:jc w:val="left"/>
              <w:rPr>
                <w:rFonts w:ascii="Times New Roman" w:hAnsi="Times New Roman" w:cs="Times New Roman" w:eastAsia="Times New Roman" w:hint="default"/>
                <w:sz w:val="18"/>
                <w:szCs w:val="18"/>
              </w:rPr>
            </w:pPr>
            <w:r>
              <w:rPr>
                <w:rFonts w:ascii="Times New Roman"/>
                <w:sz w:val="18"/>
              </w:rPr>
              <w:t>4,00</w:t>
            </w:r>
          </w:p>
          <w:p>
            <w:pPr>
              <w:pStyle w:val="TableParagraph"/>
              <w:spacing w:line="240" w:lineRule="auto" w:before="105"/>
              <w:ind w:left="138" w:right="0"/>
              <w:jc w:val="left"/>
              <w:rPr>
                <w:rFonts w:ascii="Times New Roman" w:hAnsi="Times New Roman" w:cs="Times New Roman" w:eastAsia="Times New Roman" w:hint="default"/>
                <w:sz w:val="18"/>
                <w:szCs w:val="18"/>
              </w:rPr>
            </w:pPr>
            <w:r>
              <w:rPr>
                <w:rFonts w:ascii="Times New Roman"/>
                <w:sz w:val="18"/>
              </w:rPr>
              <w:t>6,70</w:t>
            </w:r>
          </w:p>
          <w:p>
            <w:pPr>
              <w:pStyle w:val="TableParagraph"/>
              <w:spacing w:line="240" w:lineRule="auto" w:before="105"/>
              <w:ind w:left="138" w:right="0"/>
              <w:jc w:val="left"/>
              <w:rPr>
                <w:rFonts w:ascii="Times New Roman" w:hAnsi="Times New Roman" w:cs="Times New Roman" w:eastAsia="Times New Roman" w:hint="default"/>
                <w:sz w:val="18"/>
                <w:szCs w:val="18"/>
              </w:rPr>
            </w:pPr>
            <w:r>
              <w:rPr>
                <w:rFonts w:ascii="Times New Roman"/>
                <w:sz w:val="18"/>
              </w:rPr>
              <w:t>0.33</w:t>
            </w:r>
          </w:p>
        </w:tc>
        <w:tc>
          <w:tcPr>
            <w:tcW w:w="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21" w:right="0"/>
              <w:jc w:val="center"/>
              <w:rPr>
                <w:rFonts w:ascii="Times New Roman" w:hAnsi="Times New Roman" w:cs="Times New Roman" w:eastAsia="Times New Roman" w:hint="default"/>
                <w:sz w:val="18"/>
                <w:szCs w:val="18"/>
              </w:rPr>
            </w:pPr>
            <w:r>
              <w:rPr>
                <w:rFonts w:ascii="Times New Roman"/>
                <w:sz w:val="18"/>
              </w:rPr>
              <w:t>88,71</w:t>
            </w:r>
          </w:p>
          <w:p>
            <w:pPr>
              <w:pStyle w:val="TableParagraph"/>
              <w:spacing w:line="240" w:lineRule="auto" w:before="105"/>
              <w:ind w:left="21" w:right="0"/>
              <w:jc w:val="center"/>
              <w:rPr>
                <w:rFonts w:ascii="Times New Roman" w:hAnsi="Times New Roman" w:cs="Times New Roman" w:eastAsia="Times New Roman" w:hint="default"/>
                <w:sz w:val="18"/>
                <w:szCs w:val="18"/>
              </w:rPr>
            </w:pPr>
            <w:r>
              <w:rPr>
                <w:rFonts w:ascii="Times New Roman"/>
                <w:sz w:val="18"/>
              </w:rPr>
              <w:t>5,750</w:t>
            </w:r>
          </w:p>
          <w:p>
            <w:pPr>
              <w:pStyle w:val="TableParagraph"/>
              <w:spacing w:line="240" w:lineRule="auto" w:before="105"/>
              <w:ind w:left="201" w:right="0"/>
              <w:jc w:val="center"/>
              <w:rPr>
                <w:rFonts w:ascii="Times New Roman" w:hAnsi="Times New Roman" w:cs="Times New Roman" w:eastAsia="Times New Roman" w:hint="default"/>
                <w:sz w:val="18"/>
                <w:szCs w:val="18"/>
              </w:rPr>
            </w:pPr>
            <w:r>
              <w:rPr>
                <w:rFonts w:ascii="Times New Roman"/>
                <w:sz w:val="18"/>
              </w:rPr>
              <w:t>.90</w:t>
            </w:r>
          </w:p>
        </w:tc>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33" w:right="0"/>
              <w:jc w:val="left"/>
              <w:rPr>
                <w:rFonts w:ascii="Times New Roman" w:hAnsi="Times New Roman" w:cs="Times New Roman" w:eastAsia="Times New Roman" w:hint="default"/>
                <w:sz w:val="18"/>
                <w:szCs w:val="18"/>
              </w:rPr>
            </w:pPr>
            <w:r>
              <w:rPr>
                <w:rFonts w:ascii="Times New Roman"/>
                <w:sz w:val="18"/>
              </w:rPr>
              <w:t>1,982</w:t>
            </w:r>
          </w:p>
          <w:p>
            <w:pPr>
              <w:pStyle w:val="TableParagraph"/>
              <w:spacing w:line="240" w:lineRule="auto" w:before="105"/>
              <w:ind w:left="178" w:right="0"/>
              <w:jc w:val="left"/>
              <w:rPr>
                <w:rFonts w:ascii="Times New Roman" w:hAnsi="Times New Roman" w:cs="Times New Roman" w:eastAsia="Times New Roman" w:hint="default"/>
                <w:sz w:val="18"/>
                <w:szCs w:val="18"/>
              </w:rPr>
            </w:pPr>
            <w:r>
              <w:rPr>
                <w:rFonts w:ascii="Times New Roman"/>
                <w:sz w:val="18"/>
              </w:rPr>
              <w:t>,722,</w:t>
            </w:r>
          </w:p>
          <w:p>
            <w:pPr>
              <w:pStyle w:val="TableParagraph"/>
              <w:spacing w:line="240" w:lineRule="auto" w:before="105"/>
              <w:ind w:left="133" w:right="0"/>
              <w:jc w:val="left"/>
              <w:rPr>
                <w:rFonts w:ascii="Times New Roman" w:hAnsi="Times New Roman" w:cs="Times New Roman" w:eastAsia="Times New Roman" w:hint="default"/>
                <w:sz w:val="18"/>
                <w:szCs w:val="18"/>
              </w:rPr>
            </w:pPr>
            <w:r>
              <w:rPr>
                <w:rFonts w:ascii="Times New Roman"/>
                <w:sz w:val="18"/>
              </w:rPr>
              <w:t>451.2</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3</w:t>
            </w:r>
          </w:p>
        </w:tc>
      </w:tr>
    </w:tbl>
    <w:p>
      <w:pPr>
        <w:spacing w:line="240" w:lineRule="auto" w:before="9"/>
        <w:rPr>
          <w:rFonts w:ascii="Times New Roman" w:hAnsi="Times New Roman" w:cs="Times New Roman" w:eastAsia="Times New Roman" w:hint="default"/>
          <w:sz w:val="21"/>
          <w:szCs w:val="21"/>
        </w:rPr>
      </w:pPr>
    </w:p>
    <w:p>
      <w:pPr>
        <w:pStyle w:val="Heading3"/>
        <w:spacing w:line="240" w:lineRule="auto" w:before="35"/>
        <w:ind w:right="0"/>
        <w:jc w:val="left"/>
        <w:rPr>
          <w:b w:val="0"/>
          <w:bCs w:val="0"/>
        </w:rPr>
      </w:pPr>
      <w:r>
        <w:rPr>
          <w:rFonts w:ascii="Times New Roman" w:hAnsi="Times New Roman" w:cs="Times New Roman" w:eastAsia="Times New Roman" w:hint="default"/>
        </w:rPr>
        <w:t>8</w:t>
      </w:r>
      <w:r>
        <w:rPr/>
        <w:t>、母公司所有者权益变动表</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0"/>
        <w:jc w:val="left"/>
      </w:pPr>
      <w:r>
        <w:rPr/>
        <w:t>本期金额</w:t>
      </w:r>
    </w:p>
    <w:p>
      <w:pPr>
        <w:pStyle w:val="BodyText"/>
        <w:spacing w:line="240" w:lineRule="auto" w:before="116"/>
        <w:ind w:left="0" w:right="1132"/>
        <w:jc w:val="right"/>
      </w:pPr>
      <w:r>
        <w:rPr>
          <w:spacing w:val="-1"/>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06"/>
        <w:gridCol w:w="628"/>
        <w:gridCol w:w="604"/>
        <w:gridCol w:w="604"/>
        <w:gridCol w:w="605"/>
        <w:gridCol w:w="726"/>
        <w:gridCol w:w="727"/>
        <w:gridCol w:w="726"/>
        <w:gridCol w:w="727"/>
        <w:gridCol w:w="726"/>
        <w:gridCol w:w="615"/>
        <w:gridCol w:w="710"/>
        <w:gridCol w:w="863"/>
      </w:tblGrid>
      <w:tr>
        <w:trPr>
          <w:trHeight w:val="402" w:hRule="exact"/>
        </w:trPr>
        <w:tc>
          <w:tcPr>
            <w:tcW w:w="1306"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8261" w:type="dxa"/>
            <w:gridSpan w:val="1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年度</w:t>
            </w:r>
          </w:p>
        </w:tc>
      </w:tr>
      <w:tr>
        <w:trPr>
          <w:trHeight w:val="402" w:hRule="exact"/>
        </w:trPr>
        <w:tc>
          <w:tcPr>
            <w:tcW w:w="1306" w:type="dxa"/>
            <w:vMerge/>
            <w:tcBorders>
              <w:left w:val="single" w:sz="4" w:space="0" w:color="000000"/>
              <w:right w:val="single" w:sz="4" w:space="0" w:color="000000"/>
            </w:tcBorders>
            <w:shd w:val="clear" w:color="auto" w:fill="D3D3D3"/>
          </w:tcPr>
          <w:p>
            <w:pPr/>
          </w:p>
        </w:tc>
        <w:tc>
          <w:tcPr>
            <w:tcW w:w="628"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29"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813" w:type="dxa"/>
            <w:gridSpan w:val="3"/>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361"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726"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19"/>
                <w:szCs w:val="19"/>
              </w:rPr>
            </w:pPr>
          </w:p>
          <w:p>
            <w:pPr>
              <w:pStyle w:val="TableParagraph"/>
              <w:spacing w:line="316" w:lineRule="auto"/>
              <w:ind w:left="177" w:right="176"/>
              <w:jc w:val="left"/>
              <w:rPr>
                <w:rFonts w:ascii="宋体" w:hAnsi="宋体" w:cs="宋体" w:eastAsia="宋体" w:hint="default"/>
                <w:sz w:val="18"/>
                <w:szCs w:val="18"/>
              </w:rPr>
            </w:pPr>
            <w:r>
              <w:rPr>
                <w:rFonts w:ascii="宋体" w:hAnsi="宋体" w:cs="宋体" w:eastAsia="宋体" w:hint="default"/>
                <w:sz w:val="18"/>
                <w:szCs w:val="18"/>
              </w:rPr>
              <w:t>资本 公积</w:t>
            </w:r>
          </w:p>
        </w:tc>
        <w:tc>
          <w:tcPr>
            <w:tcW w:w="727"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19"/>
                <w:szCs w:val="19"/>
              </w:rPr>
            </w:pPr>
          </w:p>
          <w:p>
            <w:pPr>
              <w:pStyle w:val="TableParagraph"/>
              <w:spacing w:line="316" w:lineRule="auto"/>
              <w:ind w:left="177" w:right="101" w:hanging="75"/>
              <w:jc w:val="left"/>
              <w:rPr>
                <w:rFonts w:ascii="宋体" w:hAnsi="宋体" w:cs="宋体" w:eastAsia="宋体" w:hint="default"/>
                <w:sz w:val="18"/>
                <w:szCs w:val="18"/>
              </w:rPr>
            </w:pPr>
            <w:r>
              <w:rPr>
                <w:rFonts w:ascii="宋体" w:hAnsi="宋体" w:cs="宋体" w:eastAsia="宋体" w:hint="default"/>
                <w:spacing w:val="-10"/>
                <w:sz w:val="18"/>
                <w:szCs w:val="18"/>
              </w:rPr>
              <w:t>减：库</w:t>
            </w:r>
            <w:r>
              <w:rPr>
                <w:rFonts w:ascii="宋体" w:hAnsi="宋体" w:cs="宋体" w:eastAsia="宋体" w:hint="default"/>
                <w:sz w:val="18"/>
                <w:szCs w:val="18"/>
              </w:rPr>
              <w:t> 存股</w:t>
            </w:r>
          </w:p>
        </w:tc>
        <w:tc>
          <w:tcPr>
            <w:tcW w:w="726" w:type="dxa"/>
            <w:vMerge w:val="restart"/>
            <w:tcBorders>
              <w:top w:val="single" w:sz="4" w:space="0" w:color="000000"/>
              <w:left w:val="single" w:sz="4" w:space="0" w:color="000000"/>
              <w:right w:val="single" w:sz="4" w:space="0" w:color="000000"/>
            </w:tcBorders>
            <w:shd w:val="clear" w:color="auto" w:fill="D3D3D3"/>
          </w:tcPr>
          <w:p>
            <w:pPr>
              <w:pStyle w:val="TableParagraph"/>
              <w:spacing w:line="316" w:lineRule="auto" w:before="95"/>
              <w:ind w:left="178" w:right="176"/>
              <w:jc w:val="both"/>
              <w:rPr>
                <w:rFonts w:ascii="宋体" w:hAnsi="宋体" w:cs="宋体" w:eastAsia="宋体" w:hint="default"/>
                <w:sz w:val="18"/>
                <w:szCs w:val="18"/>
              </w:rPr>
            </w:pPr>
            <w:r>
              <w:rPr>
                <w:rFonts w:ascii="宋体" w:hAnsi="宋体" w:cs="宋体" w:eastAsia="宋体" w:hint="default"/>
                <w:sz w:val="18"/>
                <w:szCs w:val="18"/>
              </w:rPr>
              <w:t>其他 综合 收益</w:t>
            </w:r>
          </w:p>
        </w:tc>
        <w:tc>
          <w:tcPr>
            <w:tcW w:w="727"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19"/>
                <w:szCs w:val="19"/>
              </w:rPr>
            </w:pPr>
          </w:p>
          <w:p>
            <w:pPr>
              <w:pStyle w:val="TableParagraph"/>
              <w:spacing w:line="316" w:lineRule="auto"/>
              <w:ind w:left="178" w:right="177"/>
              <w:jc w:val="left"/>
              <w:rPr>
                <w:rFonts w:ascii="宋体" w:hAnsi="宋体" w:cs="宋体" w:eastAsia="宋体" w:hint="default"/>
                <w:sz w:val="18"/>
                <w:szCs w:val="18"/>
              </w:rPr>
            </w:pPr>
            <w:r>
              <w:rPr>
                <w:rFonts w:ascii="宋体" w:hAnsi="宋体" w:cs="宋体" w:eastAsia="宋体" w:hint="default"/>
                <w:sz w:val="18"/>
                <w:szCs w:val="18"/>
              </w:rPr>
              <w:t>专项 储备</w:t>
            </w:r>
          </w:p>
        </w:tc>
        <w:tc>
          <w:tcPr>
            <w:tcW w:w="726"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19"/>
                <w:szCs w:val="19"/>
              </w:rPr>
            </w:pPr>
          </w:p>
          <w:p>
            <w:pPr>
              <w:pStyle w:val="TableParagraph"/>
              <w:spacing w:line="316" w:lineRule="auto"/>
              <w:ind w:left="178" w:right="176"/>
              <w:jc w:val="left"/>
              <w:rPr>
                <w:rFonts w:ascii="宋体" w:hAnsi="宋体" w:cs="宋体" w:eastAsia="宋体" w:hint="default"/>
                <w:sz w:val="18"/>
                <w:szCs w:val="18"/>
              </w:rPr>
            </w:pPr>
            <w:r>
              <w:rPr>
                <w:rFonts w:ascii="宋体" w:hAnsi="宋体" w:cs="宋体" w:eastAsia="宋体" w:hint="default"/>
                <w:sz w:val="18"/>
                <w:szCs w:val="18"/>
              </w:rPr>
              <w:t>盈余 公积</w:t>
            </w:r>
          </w:p>
        </w:tc>
        <w:tc>
          <w:tcPr>
            <w:tcW w:w="615" w:type="dxa"/>
            <w:vMerge w:val="restart"/>
            <w:tcBorders>
              <w:top w:val="single" w:sz="4" w:space="0" w:color="000000"/>
              <w:left w:val="single" w:sz="4" w:space="0" w:color="000000"/>
              <w:right w:val="single" w:sz="4" w:space="0" w:color="000000"/>
            </w:tcBorders>
            <w:shd w:val="clear" w:color="auto" w:fill="D3D3D3"/>
          </w:tcPr>
          <w:p>
            <w:pPr>
              <w:pStyle w:val="TableParagraph"/>
              <w:spacing w:line="316" w:lineRule="auto" w:before="95"/>
              <w:ind w:left="121" w:right="121"/>
              <w:jc w:val="both"/>
              <w:rPr>
                <w:rFonts w:ascii="宋体" w:hAnsi="宋体" w:cs="宋体" w:eastAsia="宋体" w:hint="default"/>
                <w:sz w:val="18"/>
                <w:szCs w:val="18"/>
              </w:rPr>
            </w:pPr>
            <w:r>
              <w:rPr>
                <w:rFonts w:ascii="宋体" w:hAnsi="宋体" w:cs="宋体" w:eastAsia="宋体" w:hint="default"/>
                <w:sz w:val="18"/>
                <w:szCs w:val="18"/>
              </w:rPr>
              <w:t>未分 配利 润</w:t>
            </w:r>
          </w:p>
        </w:tc>
        <w:tc>
          <w:tcPr>
            <w:tcW w:w="710"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69"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63" w:type="dxa"/>
            <w:vMerge w:val="restart"/>
            <w:tcBorders>
              <w:top w:val="single" w:sz="4" w:space="0" w:color="000000"/>
              <w:left w:val="single" w:sz="4" w:space="0" w:color="000000"/>
              <w:right w:val="single" w:sz="4" w:space="0" w:color="000000"/>
            </w:tcBorders>
            <w:shd w:val="clear" w:color="auto" w:fill="D3D3D3"/>
          </w:tcPr>
          <w:p>
            <w:pPr>
              <w:pStyle w:val="TableParagraph"/>
              <w:spacing w:line="316" w:lineRule="auto" w:before="95"/>
              <w:ind w:left="156" w:right="155"/>
              <w:jc w:val="center"/>
              <w:rPr>
                <w:rFonts w:ascii="宋体" w:hAnsi="宋体" w:cs="宋体" w:eastAsia="宋体" w:hint="default"/>
                <w:sz w:val="18"/>
                <w:szCs w:val="18"/>
              </w:rPr>
            </w:pPr>
            <w:r>
              <w:rPr>
                <w:rFonts w:ascii="宋体" w:hAnsi="宋体" w:cs="宋体" w:eastAsia="宋体" w:hint="default"/>
                <w:sz w:val="18"/>
                <w:szCs w:val="18"/>
              </w:rPr>
              <w:t>所有者 权益合 计</w:t>
            </w:r>
          </w:p>
        </w:tc>
      </w:tr>
      <w:tr>
        <w:trPr>
          <w:trHeight w:val="714" w:hRule="exact"/>
        </w:trPr>
        <w:tc>
          <w:tcPr>
            <w:tcW w:w="1306" w:type="dxa"/>
            <w:vMerge/>
            <w:tcBorders>
              <w:left w:val="single" w:sz="4" w:space="0" w:color="000000"/>
              <w:bottom w:val="single" w:sz="4" w:space="0" w:color="000000"/>
              <w:right w:val="single" w:sz="4" w:space="0" w:color="000000"/>
            </w:tcBorders>
            <w:shd w:val="clear" w:color="auto" w:fill="D3D3D3"/>
          </w:tcPr>
          <w:p>
            <w:pPr/>
          </w:p>
        </w:tc>
        <w:tc>
          <w:tcPr>
            <w:tcW w:w="628" w:type="dxa"/>
            <w:vMerge/>
            <w:tcBorders>
              <w:left w:val="single" w:sz="4" w:space="0" w:color="000000"/>
              <w:bottom w:val="single" w:sz="4" w:space="0" w:color="000000"/>
              <w:right w:val="single" w:sz="4" w:space="0" w:color="000000"/>
            </w:tcBorders>
            <w:shd w:val="clear" w:color="auto" w:fill="D3D3D3"/>
          </w:tcPr>
          <w:p>
            <w:pPr/>
          </w:p>
        </w:tc>
        <w:tc>
          <w:tcPr>
            <w:tcW w:w="60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0"/>
              <w:ind w:left="207" w:right="115" w:hanging="90"/>
              <w:jc w:val="left"/>
              <w:rPr>
                <w:rFonts w:ascii="宋体" w:hAnsi="宋体" w:cs="宋体" w:eastAsia="宋体" w:hint="default"/>
                <w:sz w:val="18"/>
                <w:szCs w:val="18"/>
              </w:rPr>
            </w:pPr>
            <w:r>
              <w:rPr>
                <w:rFonts w:ascii="宋体" w:hAnsi="宋体" w:cs="宋体" w:eastAsia="宋体" w:hint="default"/>
                <w:sz w:val="18"/>
                <w:szCs w:val="18"/>
              </w:rPr>
              <w:t>优先 股</w:t>
            </w:r>
          </w:p>
        </w:tc>
        <w:tc>
          <w:tcPr>
            <w:tcW w:w="60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0"/>
              <w:ind w:left="207" w:right="114" w:hanging="90"/>
              <w:jc w:val="left"/>
              <w:rPr>
                <w:rFonts w:ascii="宋体" w:hAnsi="宋体" w:cs="宋体" w:eastAsia="宋体" w:hint="default"/>
                <w:sz w:val="18"/>
                <w:szCs w:val="18"/>
              </w:rPr>
            </w:pPr>
            <w:r>
              <w:rPr>
                <w:rFonts w:ascii="宋体" w:hAnsi="宋体" w:cs="宋体" w:eastAsia="宋体" w:hint="default"/>
                <w:sz w:val="18"/>
                <w:szCs w:val="18"/>
              </w:rPr>
              <w:t>永续 债</w:t>
            </w:r>
          </w:p>
        </w:tc>
        <w:tc>
          <w:tcPr>
            <w:tcW w:w="60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17"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26" w:type="dxa"/>
            <w:vMerge/>
            <w:tcBorders>
              <w:left w:val="single" w:sz="4" w:space="0" w:color="000000"/>
              <w:bottom w:val="single" w:sz="4" w:space="0" w:color="000000"/>
              <w:right w:val="single" w:sz="4" w:space="0" w:color="000000"/>
            </w:tcBorders>
            <w:shd w:val="clear" w:color="auto" w:fill="D3D3D3"/>
          </w:tcPr>
          <w:p>
            <w:pPr/>
          </w:p>
        </w:tc>
        <w:tc>
          <w:tcPr>
            <w:tcW w:w="727" w:type="dxa"/>
            <w:vMerge/>
            <w:tcBorders>
              <w:left w:val="single" w:sz="4" w:space="0" w:color="000000"/>
              <w:bottom w:val="single" w:sz="4" w:space="0" w:color="000000"/>
              <w:right w:val="single" w:sz="4" w:space="0" w:color="000000"/>
            </w:tcBorders>
            <w:shd w:val="clear" w:color="auto" w:fill="D3D3D3"/>
          </w:tcPr>
          <w:p>
            <w:pPr/>
          </w:p>
        </w:tc>
        <w:tc>
          <w:tcPr>
            <w:tcW w:w="726" w:type="dxa"/>
            <w:vMerge/>
            <w:tcBorders>
              <w:left w:val="single" w:sz="4" w:space="0" w:color="000000"/>
              <w:bottom w:val="single" w:sz="4" w:space="0" w:color="000000"/>
              <w:right w:val="single" w:sz="4" w:space="0" w:color="000000"/>
            </w:tcBorders>
            <w:shd w:val="clear" w:color="auto" w:fill="D3D3D3"/>
          </w:tcPr>
          <w:p>
            <w:pPr/>
          </w:p>
        </w:tc>
        <w:tc>
          <w:tcPr>
            <w:tcW w:w="727" w:type="dxa"/>
            <w:vMerge/>
            <w:tcBorders>
              <w:left w:val="single" w:sz="4" w:space="0" w:color="000000"/>
              <w:bottom w:val="single" w:sz="4" w:space="0" w:color="000000"/>
              <w:right w:val="single" w:sz="4" w:space="0" w:color="000000"/>
            </w:tcBorders>
            <w:shd w:val="clear" w:color="auto" w:fill="D3D3D3"/>
          </w:tcPr>
          <w:p>
            <w:pPr/>
          </w:p>
        </w:tc>
        <w:tc>
          <w:tcPr>
            <w:tcW w:w="726" w:type="dxa"/>
            <w:vMerge/>
            <w:tcBorders>
              <w:left w:val="single" w:sz="4" w:space="0" w:color="000000"/>
              <w:bottom w:val="single" w:sz="4" w:space="0" w:color="000000"/>
              <w:right w:val="single" w:sz="4" w:space="0" w:color="000000"/>
            </w:tcBorders>
            <w:shd w:val="clear" w:color="auto" w:fill="D3D3D3"/>
          </w:tcPr>
          <w:p>
            <w:pPr/>
          </w:p>
        </w:tc>
        <w:tc>
          <w:tcPr>
            <w:tcW w:w="615" w:type="dxa"/>
            <w:vMerge/>
            <w:tcBorders>
              <w:left w:val="single" w:sz="4" w:space="0" w:color="000000"/>
              <w:bottom w:val="single" w:sz="4" w:space="0" w:color="000000"/>
              <w:right w:val="single" w:sz="4" w:space="0" w:color="000000"/>
            </w:tcBorders>
            <w:shd w:val="clear" w:color="auto" w:fill="D3D3D3"/>
          </w:tcPr>
          <w:p>
            <w:pPr/>
          </w:p>
        </w:tc>
        <w:tc>
          <w:tcPr>
            <w:tcW w:w="710" w:type="dxa"/>
            <w:vMerge/>
            <w:tcBorders>
              <w:left w:val="single" w:sz="4" w:space="0" w:color="000000"/>
              <w:bottom w:val="single" w:sz="4" w:space="0" w:color="000000"/>
              <w:right w:val="single" w:sz="4" w:space="0" w:color="000000"/>
            </w:tcBorders>
            <w:shd w:val="clear" w:color="auto" w:fill="D3D3D3"/>
          </w:tcPr>
          <w:p>
            <w:pPr/>
          </w:p>
        </w:tc>
        <w:tc>
          <w:tcPr>
            <w:tcW w:w="863" w:type="dxa"/>
            <w:vMerge/>
            <w:tcBorders>
              <w:left w:val="single" w:sz="4" w:space="0" w:color="000000"/>
              <w:bottom w:val="single" w:sz="4" w:space="0" w:color="000000"/>
              <w:right w:val="single" w:sz="4" w:space="0" w:color="000000"/>
            </w:tcBorders>
            <w:shd w:val="clear" w:color="auto" w:fill="D3D3D3"/>
          </w:tcPr>
          <w:p>
            <w:pPr/>
          </w:p>
        </w:tc>
      </w:tr>
      <w:tr>
        <w:trPr>
          <w:trHeight w:val="1338"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6"/>
              <w:ind w:left="102" w:right="111"/>
              <w:jc w:val="left"/>
              <w:rPr>
                <w:rFonts w:ascii="宋体" w:hAnsi="宋体" w:cs="宋体" w:eastAsia="宋体" w:hint="default"/>
                <w:sz w:val="18"/>
                <w:szCs w:val="18"/>
              </w:rPr>
            </w:pPr>
            <w:r>
              <w:rPr>
                <w:rFonts w:ascii="宋体" w:hAnsi="宋体" w:cs="宋体" w:eastAsia="宋体" w:hint="default"/>
                <w:sz w:val="18"/>
                <w:szCs w:val="18"/>
              </w:rPr>
              <w:t>一、上年期末 余额</w:t>
            </w:r>
          </w:p>
        </w:tc>
        <w:tc>
          <w:tcPr>
            <w:tcW w:w="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10" w:right="0"/>
              <w:jc w:val="left"/>
              <w:rPr>
                <w:rFonts w:ascii="Times New Roman" w:hAnsi="Times New Roman" w:cs="Times New Roman" w:eastAsia="Times New Roman" w:hint="default"/>
                <w:sz w:val="18"/>
                <w:szCs w:val="18"/>
              </w:rPr>
            </w:pPr>
            <w:r>
              <w:rPr>
                <w:rFonts w:ascii="Times New Roman"/>
                <w:sz w:val="18"/>
              </w:rPr>
              <w:t>712,0</w:t>
            </w:r>
          </w:p>
          <w:p>
            <w:pPr>
              <w:pStyle w:val="TableParagraph"/>
              <w:spacing w:line="240" w:lineRule="auto" w:before="105"/>
              <w:ind w:left="110" w:right="0"/>
              <w:jc w:val="left"/>
              <w:rPr>
                <w:rFonts w:ascii="Times New Roman" w:hAnsi="Times New Roman" w:cs="Times New Roman" w:eastAsia="Times New Roman" w:hint="default"/>
                <w:sz w:val="18"/>
                <w:szCs w:val="18"/>
              </w:rPr>
            </w:pPr>
            <w:r>
              <w:rPr>
                <w:rFonts w:ascii="Times New Roman"/>
                <w:sz w:val="18"/>
              </w:rPr>
              <w:t>28,80</w:t>
            </w:r>
          </w:p>
          <w:p>
            <w:pPr>
              <w:pStyle w:val="TableParagraph"/>
              <w:spacing w:line="240" w:lineRule="auto" w:before="105"/>
              <w:ind w:left="200" w:right="0"/>
              <w:jc w:val="left"/>
              <w:rPr>
                <w:rFonts w:ascii="Times New Roman" w:hAnsi="Times New Roman" w:cs="Times New Roman" w:eastAsia="Times New Roman" w:hint="default"/>
                <w:sz w:val="18"/>
                <w:szCs w:val="18"/>
              </w:rPr>
            </w:pPr>
            <w:r>
              <w:rPr>
                <w:rFonts w:ascii="Times New Roman"/>
                <w:sz w:val="18"/>
              </w:rPr>
              <w:t>0.00</w:t>
            </w: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89,303</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,021.5</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6</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46,010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,428.7</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6</w:t>
            </w: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18" w:right="0"/>
              <w:jc w:val="left"/>
              <w:rPr>
                <w:rFonts w:ascii="Times New Roman" w:hAnsi="Times New Roman" w:cs="Times New Roman" w:eastAsia="Times New Roman" w:hint="default"/>
                <w:sz w:val="18"/>
                <w:szCs w:val="18"/>
              </w:rPr>
            </w:pPr>
            <w:r>
              <w:rPr>
                <w:rFonts w:ascii="Times New Roman"/>
                <w:sz w:val="18"/>
              </w:rPr>
              <w:t>207,51</w:t>
            </w:r>
          </w:p>
          <w:p>
            <w:pPr>
              <w:pStyle w:val="TableParagraph"/>
              <w:spacing w:line="240" w:lineRule="auto" w:before="105"/>
              <w:ind w:left="163" w:right="0"/>
              <w:jc w:val="left"/>
              <w:rPr>
                <w:rFonts w:ascii="Times New Roman" w:hAnsi="Times New Roman" w:cs="Times New Roman" w:eastAsia="Times New Roman" w:hint="default"/>
                <w:sz w:val="18"/>
                <w:szCs w:val="18"/>
              </w:rPr>
            </w:pPr>
            <w:r>
              <w:rPr>
                <w:rFonts w:ascii="Times New Roman"/>
                <w:sz w:val="18"/>
              </w:rPr>
              <w:t>6,674.</w:t>
            </w:r>
          </w:p>
          <w:p>
            <w:pPr>
              <w:pStyle w:val="TableParagraph"/>
              <w:spacing w:line="240" w:lineRule="auto" w:before="105"/>
              <w:ind w:left="433" w:right="0"/>
              <w:jc w:val="left"/>
              <w:rPr>
                <w:rFonts w:ascii="Times New Roman" w:hAnsi="Times New Roman" w:cs="Times New Roman" w:eastAsia="Times New Roman" w:hint="default"/>
                <w:sz w:val="18"/>
                <w:szCs w:val="18"/>
              </w:rPr>
            </w:pPr>
            <w:r>
              <w:rPr>
                <w:rFonts w:ascii="Times New Roman"/>
                <w:sz w:val="18"/>
              </w:rPr>
              <w:t>80</w:t>
            </w:r>
          </w:p>
        </w:tc>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4" w:right="0"/>
              <w:jc w:val="center"/>
              <w:rPr>
                <w:rFonts w:ascii="Times New Roman" w:hAnsi="Times New Roman" w:cs="Times New Roman" w:eastAsia="Times New Roman" w:hint="default"/>
                <w:sz w:val="18"/>
                <w:szCs w:val="18"/>
              </w:rPr>
            </w:pPr>
            <w:r>
              <w:rPr>
                <w:rFonts w:ascii="Times New Roman"/>
                <w:sz w:val="18"/>
              </w:rPr>
              <w:t>969,</w:t>
            </w:r>
          </w:p>
          <w:p>
            <w:pPr>
              <w:pStyle w:val="TableParagraph"/>
              <w:spacing w:line="240" w:lineRule="auto" w:before="105"/>
              <w:ind w:left="84" w:right="0"/>
              <w:jc w:val="center"/>
              <w:rPr>
                <w:rFonts w:ascii="Times New Roman" w:hAnsi="Times New Roman" w:cs="Times New Roman" w:eastAsia="Times New Roman" w:hint="default"/>
                <w:sz w:val="18"/>
                <w:szCs w:val="18"/>
              </w:rPr>
            </w:pPr>
            <w:r>
              <w:rPr>
                <w:rFonts w:ascii="Times New Roman"/>
                <w:sz w:val="18"/>
              </w:rPr>
              <w:t>572,</w:t>
            </w:r>
          </w:p>
          <w:p>
            <w:pPr>
              <w:pStyle w:val="TableParagraph"/>
              <w:spacing w:line="240" w:lineRule="auto" w:before="105"/>
              <w:ind w:left="84" w:right="0"/>
              <w:jc w:val="center"/>
              <w:rPr>
                <w:rFonts w:ascii="Times New Roman" w:hAnsi="Times New Roman" w:cs="Times New Roman" w:eastAsia="Times New Roman" w:hint="default"/>
                <w:sz w:val="18"/>
                <w:szCs w:val="18"/>
              </w:rPr>
            </w:pPr>
            <w:r>
              <w:rPr>
                <w:rFonts w:ascii="Times New Roman"/>
                <w:sz w:val="18"/>
              </w:rPr>
              <w:t>072.</w:t>
            </w:r>
          </w:p>
          <w:p>
            <w:pPr>
              <w:pStyle w:val="TableParagraph"/>
              <w:spacing w:line="240" w:lineRule="auto" w:before="105"/>
              <w:ind w:left="219" w:right="0"/>
              <w:jc w:val="center"/>
              <w:rPr>
                <w:rFonts w:ascii="Times New Roman" w:hAnsi="Times New Roman" w:cs="Times New Roman" w:eastAsia="Times New Roman" w:hint="default"/>
                <w:sz w:val="18"/>
                <w:szCs w:val="18"/>
              </w:rPr>
            </w:pPr>
            <w:r>
              <w:rPr>
                <w:rFonts w:ascii="Times New Roman"/>
                <w:sz w:val="18"/>
              </w:rPr>
              <w:t>66</w:t>
            </w: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20" w:right="0"/>
              <w:jc w:val="left"/>
              <w:rPr>
                <w:rFonts w:ascii="Times New Roman" w:hAnsi="Times New Roman" w:cs="Times New Roman" w:eastAsia="Times New Roman" w:hint="default"/>
                <w:sz w:val="18"/>
                <w:szCs w:val="18"/>
              </w:rPr>
            </w:pPr>
            <w:r>
              <w:rPr>
                <w:rFonts w:ascii="Times New Roman"/>
                <w:sz w:val="18"/>
              </w:rPr>
              <w:t>1,932,41</w:t>
            </w:r>
          </w:p>
          <w:p>
            <w:pPr>
              <w:pStyle w:val="TableParagraph"/>
              <w:spacing w:line="240" w:lineRule="auto" w:before="105"/>
              <w:ind w:left="120" w:right="0"/>
              <w:jc w:val="left"/>
              <w:rPr>
                <w:rFonts w:ascii="Times New Roman" w:hAnsi="Times New Roman" w:cs="Times New Roman" w:eastAsia="Times New Roman" w:hint="default"/>
                <w:sz w:val="18"/>
                <w:szCs w:val="18"/>
              </w:rPr>
            </w:pPr>
            <w:r>
              <w:rPr>
                <w:rFonts w:ascii="Times New Roman"/>
                <w:sz w:val="18"/>
              </w:rPr>
              <w:t>0,140.26</w:t>
            </w:r>
          </w:p>
        </w:tc>
      </w:tr>
      <w:tr>
        <w:trPr>
          <w:trHeight w:val="1026"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102" w:right="111" w:firstLine="360"/>
              <w:jc w:val="left"/>
              <w:rPr>
                <w:rFonts w:ascii="宋体" w:hAnsi="宋体" w:cs="宋体" w:eastAsia="宋体" w:hint="default"/>
                <w:sz w:val="18"/>
                <w:szCs w:val="18"/>
              </w:rPr>
            </w:pPr>
            <w:r>
              <w:rPr>
                <w:rFonts w:ascii="宋体" w:hAnsi="宋体" w:cs="宋体" w:eastAsia="宋体" w:hint="default"/>
                <w:sz w:val="18"/>
                <w:szCs w:val="18"/>
              </w:rPr>
              <w:t>加：会计 政策变更</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63" w:right="0"/>
              <w:jc w:val="left"/>
              <w:rPr>
                <w:rFonts w:ascii="Times New Roman" w:hAnsi="Times New Roman" w:cs="Times New Roman" w:eastAsia="Times New Roman" w:hint="default"/>
                <w:sz w:val="18"/>
                <w:szCs w:val="18"/>
              </w:rPr>
            </w:pPr>
            <w:r>
              <w:rPr>
                <w:rFonts w:ascii="Times New Roman"/>
                <w:sz w:val="18"/>
              </w:rPr>
              <w:t>4,677.</w:t>
            </w:r>
          </w:p>
          <w:p>
            <w:pPr>
              <w:pStyle w:val="TableParagraph"/>
              <w:spacing w:line="240" w:lineRule="auto" w:before="105"/>
              <w:ind w:left="433" w:right="0"/>
              <w:jc w:val="left"/>
              <w:rPr>
                <w:rFonts w:ascii="Times New Roman" w:hAnsi="Times New Roman" w:cs="Times New Roman" w:eastAsia="Times New Roman" w:hint="default"/>
                <w:sz w:val="18"/>
                <w:szCs w:val="18"/>
              </w:rPr>
            </w:pPr>
            <w:r>
              <w:rPr>
                <w:rFonts w:ascii="Times New Roman"/>
                <w:sz w:val="18"/>
              </w:rPr>
              <w:t>32</w:t>
            </w:r>
          </w:p>
        </w:tc>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42,0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95.9</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46,773.2</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2</w:t>
            </w:r>
          </w:p>
        </w:tc>
      </w:tr>
      <w:tr>
        <w:trPr>
          <w:trHeight w:val="714"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0"/>
              <w:ind w:left="102" w:right="111" w:firstLine="720"/>
              <w:jc w:val="left"/>
              <w:rPr>
                <w:rFonts w:ascii="宋体" w:hAnsi="宋体" w:cs="宋体" w:eastAsia="宋体" w:hint="default"/>
                <w:sz w:val="18"/>
                <w:szCs w:val="18"/>
              </w:rPr>
            </w:pPr>
            <w:r>
              <w:rPr>
                <w:rFonts w:ascii="宋体" w:hAnsi="宋体" w:cs="宋体" w:eastAsia="宋体" w:hint="default"/>
                <w:sz w:val="18"/>
                <w:szCs w:val="18"/>
              </w:rPr>
              <w:t>前期 差错更正</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8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1337"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6"/>
              <w:ind w:left="102" w:right="111"/>
              <w:jc w:val="left"/>
              <w:rPr>
                <w:rFonts w:ascii="宋体" w:hAnsi="宋体" w:cs="宋体" w:eastAsia="宋体" w:hint="default"/>
                <w:sz w:val="18"/>
                <w:szCs w:val="18"/>
              </w:rPr>
            </w:pPr>
            <w:r>
              <w:rPr>
                <w:rFonts w:ascii="宋体" w:hAnsi="宋体" w:cs="宋体" w:eastAsia="宋体" w:hint="default"/>
                <w:sz w:val="18"/>
                <w:szCs w:val="18"/>
              </w:rPr>
              <w:t>二、本年期初 余额</w:t>
            </w:r>
          </w:p>
        </w:tc>
        <w:tc>
          <w:tcPr>
            <w:tcW w:w="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10" w:right="0"/>
              <w:jc w:val="left"/>
              <w:rPr>
                <w:rFonts w:ascii="Times New Roman" w:hAnsi="Times New Roman" w:cs="Times New Roman" w:eastAsia="Times New Roman" w:hint="default"/>
                <w:sz w:val="18"/>
                <w:szCs w:val="18"/>
              </w:rPr>
            </w:pPr>
            <w:r>
              <w:rPr>
                <w:rFonts w:ascii="Times New Roman"/>
                <w:sz w:val="18"/>
              </w:rPr>
              <w:t>712,0</w:t>
            </w:r>
          </w:p>
          <w:p>
            <w:pPr>
              <w:pStyle w:val="TableParagraph"/>
              <w:spacing w:line="240" w:lineRule="auto" w:before="105"/>
              <w:ind w:left="110" w:right="0"/>
              <w:jc w:val="left"/>
              <w:rPr>
                <w:rFonts w:ascii="Times New Roman" w:hAnsi="Times New Roman" w:cs="Times New Roman" w:eastAsia="Times New Roman" w:hint="default"/>
                <w:sz w:val="18"/>
                <w:szCs w:val="18"/>
              </w:rPr>
            </w:pPr>
            <w:r>
              <w:rPr>
                <w:rFonts w:ascii="Times New Roman"/>
                <w:sz w:val="18"/>
              </w:rPr>
              <w:t>28,80</w:t>
            </w:r>
          </w:p>
          <w:p>
            <w:pPr>
              <w:pStyle w:val="TableParagraph"/>
              <w:spacing w:line="240" w:lineRule="auto" w:before="105"/>
              <w:ind w:left="200" w:right="0"/>
              <w:jc w:val="left"/>
              <w:rPr>
                <w:rFonts w:ascii="Times New Roman" w:hAnsi="Times New Roman" w:cs="Times New Roman" w:eastAsia="Times New Roman" w:hint="default"/>
                <w:sz w:val="18"/>
                <w:szCs w:val="18"/>
              </w:rPr>
            </w:pPr>
            <w:r>
              <w:rPr>
                <w:rFonts w:ascii="Times New Roman"/>
                <w:sz w:val="18"/>
              </w:rPr>
              <w:t>0.00</w:t>
            </w: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89,303</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,021.5</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6</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46,010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,428.7</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6</w:t>
            </w: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18" w:right="0"/>
              <w:jc w:val="left"/>
              <w:rPr>
                <w:rFonts w:ascii="Times New Roman" w:hAnsi="Times New Roman" w:cs="Times New Roman" w:eastAsia="Times New Roman" w:hint="default"/>
                <w:sz w:val="18"/>
                <w:szCs w:val="18"/>
              </w:rPr>
            </w:pPr>
            <w:r>
              <w:rPr>
                <w:rFonts w:ascii="Times New Roman"/>
                <w:sz w:val="18"/>
              </w:rPr>
              <w:t>207,52</w:t>
            </w:r>
          </w:p>
          <w:p>
            <w:pPr>
              <w:pStyle w:val="TableParagraph"/>
              <w:spacing w:line="240" w:lineRule="auto" w:before="105"/>
              <w:ind w:left="163" w:right="0"/>
              <w:jc w:val="left"/>
              <w:rPr>
                <w:rFonts w:ascii="Times New Roman" w:hAnsi="Times New Roman" w:cs="Times New Roman" w:eastAsia="Times New Roman" w:hint="default"/>
                <w:sz w:val="18"/>
                <w:szCs w:val="18"/>
              </w:rPr>
            </w:pPr>
            <w:r>
              <w:rPr>
                <w:rFonts w:ascii="Times New Roman"/>
                <w:sz w:val="18"/>
              </w:rPr>
              <w:t>1,352.</w:t>
            </w:r>
          </w:p>
          <w:p>
            <w:pPr>
              <w:pStyle w:val="TableParagraph"/>
              <w:spacing w:line="240" w:lineRule="auto" w:before="105"/>
              <w:ind w:left="433" w:right="0"/>
              <w:jc w:val="left"/>
              <w:rPr>
                <w:rFonts w:ascii="Times New Roman" w:hAnsi="Times New Roman" w:cs="Times New Roman" w:eastAsia="Times New Roman" w:hint="default"/>
                <w:sz w:val="18"/>
                <w:szCs w:val="18"/>
              </w:rPr>
            </w:pPr>
            <w:r>
              <w:rPr>
                <w:rFonts w:ascii="Times New Roman"/>
                <w:sz w:val="18"/>
              </w:rPr>
              <w:t>12</w:t>
            </w:r>
          </w:p>
        </w:tc>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4" w:right="0"/>
              <w:jc w:val="center"/>
              <w:rPr>
                <w:rFonts w:ascii="Times New Roman" w:hAnsi="Times New Roman" w:cs="Times New Roman" w:eastAsia="Times New Roman" w:hint="default"/>
                <w:sz w:val="18"/>
                <w:szCs w:val="18"/>
              </w:rPr>
            </w:pPr>
            <w:r>
              <w:rPr>
                <w:rFonts w:ascii="Times New Roman"/>
                <w:sz w:val="18"/>
              </w:rPr>
              <w:t>969,</w:t>
            </w:r>
          </w:p>
          <w:p>
            <w:pPr>
              <w:pStyle w:val="TableParagraph"/>
              <w:spacing w:line="240" w:lineRule="auto" w:before="105"/>
              <w:ind w:left="84" w:right="0"/>
              <w:jc w:val="center"/>
              <w:rPr>
                <w:rFonts w:ascii="Times New Roman" w:hAnsi="Times New Roman" w:cs="Times New Roman" w:eastAsia="Times New Roman" w:hint="default"/>
                <w:sz w:val="18"/>
                <w:szCs w:val="18"/>
              </w:rPr>
            </w:pPr>
            <w:r>
              <w:rPr>
                <w:rFonts w:ascii="Times New Roman"/>
                <w:sz w:val="18"/>
              </w:rPr>
              <w:t>614,</w:t>
            </w:r>
          </w:p>
          <w:p>
            <w:pPr>
              <w:pStyle w:val="TableParagraph"/>
              <w:spacing w:line="240" w:lineRule="auto" w:before="105"/>
              <w:ind w:left="84" w:right="0"/>
              <w:jc w:val="center"/>
              <w:rPr>
                <w:rFonts w:ascii="Times New Roman" w:hAnsi="Times New Roman" w:cs="Times New Roman" w:eastAsia="Times New Roman" w:hint="default"/>
                <w:sz w:val="18"/>
                <w:szCs w:val="18"/>
              </w:rPr>
            </w:pPr>
            <w:r>
              <w:rPr>
                <w:rFonts w:ascii="Times New Roman"/>
                <w:sz w:val="18"/>
              </w:rPr>
              <w:t>168.</w:t>
            </w:r>
          </w:p>
          <w:p>
            <w:pPr>
              <w:pStyle w:val="TableParagraph"/>
              <w:spacing w:line="240" w:lineRule="auto" w:before="105"/>
              <w:ind w:left="219" w:right="0"/>
              <w:jc w:val="center"/>
              <w:rPr>
                <w:rFonts w:ascii="Times New Roman" w:hAnsi="Times New Roman" w:cs="Times New Roman" w:eastAsia="Times New Roman" w:hint="default"/>
                <w:sz w:val="18"/>
                <w:szCs w:val="18"/>
              </w:rPr>
            </w:pPr>
            <w:r>
              <w:rPr>
                <w:rFonts w:ascii="Times New Roman"/>
                <w:sz w:val="18"/>
              </w:rPr>
              <w:t>56</w:t>
            </w: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20" w:right="0"/>
              <w:jc w:val="left"/>
              <w:rPr>
                <w:rFonts w:ascii="Times New Roman" w:hAnsi="Times New Roman" w:cs="Times New Roman" w:eastAsia="Times New Roman" w:hint="default"/>
                <w:sz w:val="18"/>
                <w:szCs w:val="18"/>
              </w:rPr>
            </w:pPr>
            <w:r>
              <w:rPr>
                <w:rFonts w:ascii="Times New Roman"/>
                <w:sz w:val="18"/>
              </w:rPr>
              <w:t>1,932,45</w:t>
            </w:r>
          </w:p>
          <w:p>
            <w:pPr>
              <w:pStyle w:val="TableParagraph"/>
              <w:spacing w:line="240" w:lineRule="auto" w:before="105"/>
              <w:ind w:left="120" w:right="0"/>
              <w:jc w:val="left"/>
              <w:rPr>
                <w:rFonts w:ascii="Times New Roman" w:hAnsi="Times New Roman" w:cs="Times New Roman" w:eastAsia="Times New Roman" w:hint="default"/>
                <w:sz w:val="18"/>
                <w:szCs w:val="18"/>
              </w:rPr>
            </w:pPr>
            <w:r>
              <w:rPr>
                <w:rFonts w:ascii="Times New Roman"/>
                <w:sz w:val="18"/>
              </w:rPr>
              <w:t>6,913.48</w:t>
            </w:r>
          </w:p>
        </w:tc>
      </w:tr>
    </w:tbl>
    <w:p>
      <w:pPr>
        <w:spacing w:after="0" w:line="240" w:lineRule="auto"/>
        <w:jc w:val="left"/>
        <w:rPr>
          <w:rFonts w:ascii="Times New Roman" w:hAnsi="Times New Roman" w:cs="Times New Roman" w:eastAsia="Times New Roman" w:hint="default"/>
          <w:sz w:val="18"/>
          <w:szCs w:val="18"/>
        </w:rPr>
        <w:sectPr>
          <w:pgSz w:w="11910" w:h="16840"/>
          <w:pgMar w:header="906" w:footer="1018" w:top="1100" w:bottom="1200" w:left="1020" w:right="0"/>
        </w:sectPr>
      </w:pPr>
    </w:p>
    <w:p>
      <w:pPr>
        <w:spacing w:line="240" w:lineRule="auto" w:before="0"/>
        <w:rPr>
          <w:rFonts w:ascii="Times New Roman" w:hAnsi="Times New Roman" w:cs="Times New Roman" w:eastAsia="Times New Roman" w:hint="default"/>
          <w:sz w:val="29"/>
          <w:szCs w:val="29"/>
        </w:rPr>
      </w:pPr>
    </w:p>
    <w:tbl>
      <w:tblPr>
        <w:tblW w:w="0" w:type="auto"/>
        <w:jc w:val="left"/>
        <w:tblInd w:w="109" w:type="dxa"/>
        <w:tblLayout w:type="fixed"/>
        <w:tblCellMar>
          <w:top w:w="0" w:type="dxa"/>
          <w:left w:w="0" w:type="dxa"/>
          <w:bottom w:w="0" w:type="dxa"/>
          <w:right w:w="0" w:type="dxa"/>
        </w:tblCellMar>
        <w:tblLook w:val="01E0"/>
      </w:tblPr>
      <w:tblGrid>
        <w:gridCol w:w="1306"/>
        <w:gridCol w:w="628"/>
        <w:gridCol w:w="604"/>
        <w:gridCol w:w="604"/>
        <w:gridCol w:w="605"/>
        <w:gridCol w:w="726"/>
        <w:gridCol w:w="727"/>
        <w:gridCol w:w="726"/>
        <w:gridCol w:w="727"/>
        <w:gridCol w:w="726"/>
        <w:gridCol w:w="615"/>
        <w:gridCol w:w="710"/>
        <w:gridCol w:w="863"/>
      </w:tblGrid>
      <w:tr>
        <w:trPr>
          <w:trHeight w:val="1338"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02" w:right="111"/>
              <w:jc w:val="both"/>
              <w:rPr>
                <w:rFonts w:ascii="宋体" w:hAnsi="宋体" w:cs="宋体" w:eastAsia="宋体" w:hint="default"/>
                <w:sz w:val="18"/>
                <w:szCs w:val="18"/>
              </w:rPr>
            </w:pPr>
            <w:r>
              <w:rPr>
                <w:rFonts w:ascii="宋体" w:hAnsi="宋体" w:cs="宋体" w:eastAsia="宋体" w:hint="default"/>
                <w:sz w:val="18"/>
                <w:szCs w:val="18"/>
              </w:rPr>
              <w:t>三、本期增减 变动金额（减 少以“－”号 填列）</w:t>
            </w:r>
          </w:p>
        </w:tc>
        <w:tc>
          <w:tcPr>
            <w:tcW w:w="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40" w:right="0"/>
              <w:jc w:val="left"/>
              <w:rPr>
                <w:rFonts w:ascii="Times New Roman" w:hAnsi="Times New Roman" w:cs="Times New Roman" w:eastAsia="Times New Roman" w:hint="default"/>
                <w:sz w:val="18"/>
                <w:szCs w:val="18"/>
              </w:rPr>
            </w:pPr>
            <w:r>
              <w:rPr>
                <w:rFonts w:ascii="Times New Roman"/>
                <w:sz w:val="18"/>
              </w:rPr>
              <w:t>-15,1</w:t>
            </w:r>
          </w:p>
          <w:p>
            <w:pPr>
              <w:pStyle w:val="TableParagraph"/>
              <w:spacing w:line="240" w:lineRule="auto" w:before="105"/>
              <w:ind w:left="110" w:right="0"/>
              <w:jc w:val="left"/>
              <w:rPr>
                <w:rFonts w:ascii="Times New Roman" w:hAnsi="Times New Roman" w:cs="Times New Roman" w:eastAsia="Times New Roman" w:hint="default"/>
                <w:sz w:val="18"/>
                <w:szCs w:val="18"/>
              </w:rPr>
            </w:pPr>
            <w:r>
              <w:rPr>
                <w:rFonts w:ascii="Times New Roman"/>
                <w:sz w:val="18"/>
              </w:rPr>
              <w:t>07,44</w:t>
            </w:r>
          </w:p>
          <w:p>
            <w:pPr>
              <w:pStyle w:val="TableParagraph"/>
              <w:spacing w:line="240" w:lineRule="auto" w:before="105"/>
              <w:ind w:left="200" w:right="0"/>
              <w:jc w:val="left"/>
              <w:rPr>
                <w:rFonts w:ascii="Times New Roman" w:hAnsi="Times New Roman" w:cs="Times New Roman" w:eastAsia="Times New Roman" w:hint="default"/>
                <w:sz w:val="18"/>
                <w:szCs w:val="18"/>
              </w:rPr>
            </w:pPr>
            <w:r>
              <w:rPr>
                <w:rFonts w:ascii="Times New Roman"/>
                <w:sz w:val="18"/>
              </w:rPr>
              <w:t>6.00</w:t>
            </w: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-73,66</w:t>
            </w:r>
          </w:p>
          <w:p>
            <w:pPr>
              <w:pStyle w:val="TableParagraph"/>
              <w:spacing w:line="240" w:lineRule="auto" w:before="105"/>
              <w:ind w:left="162" w:right="0"/>
              <w:jc w:val="left"/>
              <w:rPr>
                <w:rFonts w:ascii="Times New Roman" w:hAnsi="Times New Roman" w:cs="Times New Roman" w:eastAsia="Times New Roman" w:hint="default"/>
                <w:sz w:val="18"/>
                <w:szCs w:val="18"/>
              </w:rPr>
            </w:pPr>
            <w:r>
              <w:rPr>
                <w:rFonts w:ascii="Times New Roman"/>
                <w:sz w:val="18"/>
              </w:rPr>
              <w:t>6,908.</w:t>
            </w:r>
          </w:p>
          <w:p>
            <w:pPr>
              <w:pStyle w:val="TableParagraph"/>
              <w:spacing w:line="240" w:lineRule="auto" w:before="105"/>
              <w:ind w:left="432" w:right="0"/>
              <w:jc w:val="left"/>
              <w:rPr>
                <w:rFonts w:ascii="Times New Roman" w:hAnsi="Times New Roman" w:cs="Times New Roman" w:eastAsia="Times New Roman" w:hint="default"/>
                <w:sz w:val="18"/>
                <w:szCs w:val="18"/>
              </w:rPr>
            </w:pPr>
            <w:r>
              <w:rPr>
                <w:rFonts w:ascii="Times New Roman"/>
                <w:sz w:val="18"/>
              </w:rPr>
              <w:t>74</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50" w:right="0"/>
              <w:jc w:val="left"/>
              <w:rPr>
                <w:rFonts w:ascii="Times New Roman" w:hAnsi="Times New Roman" w:cs="Times New Roman" w:eastAsia="Times New Roman" w:hint="default"/>
                <w:sz w:val="18"/>
                <w:szCs w:val="18"/>
              </w:rPr>
            </w:pPr>
            <w:r>
              <w:rPr>
                <w:rFonts w:ascii="Times New Roman"/>
                <w:sz w:val="18"/>
              </w:rPr>
              <w:t>-46,01</w:t>
            </w:r>
          </w:p>
          <w:p>
            <w:pPr>
              <w:pStyle w:val="TableParagraph"/>
              <w:spacing w:line="240" w:lineRule="auto" w:before="105"/>
              <w:ind w:left="163" w:right="0"/>
              <w:jc w:val="left"/>
              <w:rPr>
                <w:rFonts w:ascii="Times New Roman" w:hAnsi="Times New Roman" w:cs="Times New Roman" w:eastAsia="Times New Roman" w:hint="default"/>
                <w:sz w:val="18"/>
                <w:szCs w:val="18"/>
              </w:rPr>
            </w:pPr>
            <w:r>
              <w:rPr>
                <w:rFonts w:ascii="Times New Roman"/>
                <w:sz w:val="18"/>
              </w:rPr>
              <w:t>0,428.</w:t>
            </w:r>
          </w:p>
          <w:p>
            <w:pPr>
              <w:pStyle w:val="TableParagraph"/>
              <w:spacing w:line="240" w:lineRule="auto" w:before="105"/>
              <w:ind w:left="433" w:right="0"/>
              <w:jc w:val="left"/>
              <w:rPr>
                <w:rFonts w:ascii="Times New Roman" w:hAnsi="Times New Roman" w:cs="Times New Roman" w:eastAsia="Times New Roman" w:hint="default"/>
                <w:sz w:val="18"/>
                <w:szCs w:val="18"/>
              </w:rPr>
            </w:pPr>
            <w:r>
              <w:rPr>
                <w:rFonts w:ascii="Times New Roman"/>
                <w:sz w:val="18"/>
              </w:rPr>
              <w:t>76</w:t>
            </w: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-510,0</w:t>
            </w:r>
          </w:p>
          <w:p>
            <w:pPr>
              <w:pStyle w:val="TableParagraph"/>
              <w:spacing w:line="240" w:lineRule="auto" w:before="105"/>
              <w:ind w:left="208" w:right="0"/>
              <w:jc w:val="left"/>
              <w:rPr>
                <w:rFonts w:ascii="Times New Roman" w:hAnsi="Times New Roman" w:cs="Times New Roman" w:eastAsia="Times New Roman" w:hint="default"/>
                <w:sz w:val="18"/>
                <w:szCs w:val="18"/>
              </w:rPr>
            </w:pPr>
            <w:r>
              <w:rPr>
                <w:rFonts w:ascii="Times New Roman"/>
                <w:sz w:val="18"/>
              </w:rPr>
              <w:t>42.22</w:t>
            </w:r>
          </w:p>
        </w:tc>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7" w:right="0"/>
              <w:jc w:val="left"/>
              <w:rPr>
                <w:rFonts w:ascii="Times New Roman" w:hAnsi="Times New Roman" w:cs="Times New Roman" w:eastAsia="Times New Roman" w:hint="default"/>
                <w:sz w:val="18"/>
                <w:szCs w:val="18"/>
              </w:rPr>
            </w:pPr>
            <w:r>
              <w:rPr>
                <w:rFonts w:ascii="Times New Roman"/>
                <w:sz w:val="18"/>
              </w:rPr>
              <w:t>87,6</w:t>
            </w:r>
          </w:p>
          <w:p>
            <w:pPr>
              <w:pStyle w:val="TableParagraph"/>
              <w:spacing w:line="240" w:lineRule="auto" w:before="105"/>
              <w:ind w:left="187" w:right="0"/>
              <w:jc w:val="left"/>
              <w:rPr>
                <w:rFonts w:ascii="Times New Roman" w:hAnsi="Times New Roman" w:cs="Times New Roman" w:eastAsia="Times New Roman" w:hint="default"/>
                <w:sz w:val="18"/>
                <w:szCs w:val="18"/>
              </w:rPr>
            </w:pPr>
            <w:r>
              <w:rPr>
                <w:rFonts w:ascii="Times New Roman"/>
                <w:sz w:val="18"/>
              </w:rPr>
              <w:t>15,9</w:t>
            </w:r>
          </w:p>
          <w:p>
            <w:pPr>
              <w:pStyle w:val="TableParagraph"/>
              <w:spacing w:line="240" w:lineRule="auto" w:before="105"/>
              <w:ind w:left="187" w:right="0"/>
              <w:jc w:val="left"/>
              <w:rPr>
                <w:rFonts w:ascii="Times New Roman" w:hAnsi="Times New Roman" w:cs="Times New Roman" w:eastAsia="Times New Roman" w:hint="default"/>
                <w:sz w:val="18"/>
                <w:szCs w:val="18"/>
              </w:rPr>
            </w:pPr>
            <w:r>
              <w:rPr>
                <w:rFonts w:ascii="Times New Roman"/>
                <w:sz w:val="18"/>
              </w:rPr>
              <w:t>52.4</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6</w:t>
            </w: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20" w:right="0"/>
              <w:jc w:val="left"/>
              <w:rPr>
                <w:rFonts w:ascii="Times New Roman" w:hAnsi="Times New Roman" w:cs="Times New Roman" w:eastAsia="Times New Roman" w:hint="default"/>
                <w:sz w:val="18"/>
                <w:szCs w:val="18"/>
              </w:rPr>
            </w:pPr>
            <w:r>
              <w:rPr>
                <w:rFonts w:ascii="Times New Roman"/>
                <w:sz w:val="18"/>
              </w:rPr>
              <w:t>44,341,9</w:t>
            </w:r>
          </w:p>
          <w:p>
            <w:pPr>
              <w:pStyle w:val="TableParagraph"/>
              <w:spacing w:line="240" w:lineRule="auto" w:before="105"/>
              <w:ind w:left="345" w:right="0"/>
              <w:jc w:val="left"/>
              <w:rPr>
                <w:rFonts w:ascii="Times New Roman" w:hAnsi="Times New Roman" w:cs="Times New Roman" w:eastAsia="Times New Roman" w:hint="default"/>
                <w:sz w:val="18"/>
                <w:szCs w:val="18"/>
              </w:rPr>
            </w:pPr>
            <w:r>
              <w:rPr>
                <w:rFonts w:ascii="Times New Roman"/>
                <w:sz w:val="18"/>
              </w:rPr>
              <w:t>84.26</w:t>
            </w:r>
          </w:p>
        </w:tc>
      </w:tr>
      <w:tr>
        <w:trPr>
          <w:trHeight w:val="1338"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5"/>
              <w:ind w:left="102" w:right="111"/>
              <w:jc w:val="left"/>
              <w:rPr>
                <w:rFonts w:ascii="宋体" w:hAnsi="宋体" w:cs="宋体" w:eastAsia="宋体" w:hint="default"/>
                <w:sz w:val="18"/>
                <w:szCs w:val="18"/>
              </w:rPr>
            </w:pPr>
            <w:r>
              <w:rPr>
                <w:rFonts w:ascii="宋体" w:hAnsi="宋体" w:cs="宋体" w:eastAsia="宋体" w:hint="default"/>
                <w:sz w:val="18"/>
                <w:szCs w:val="18"/>
              </w:rPr>
              <w:t>（一）综合收 益总额</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7" w:right="0"/>
              <w:jc w:val="left"/>
              <w:rPr>
                <w:rFonts w:ascii="Times New Roman" w:hAnsi="Times New Roman" w:cs="Times New Roman" w:eastAsia="Times New Roman" w:hint="default"/>
                <w:sz w:val="18"/>
                <w:szCs w:val="18"/>
              </w:rPr>
            </w:pPr>
            <w:r>
              <w:rPr>
                <w:rFonts w:ascii="Times New Roman"/>
                <w:sz w:val="18"/>
              </w:rPr>
              <w:t>97,3</w:t>
            </w:r>
          </w:p>
          <w:p>
            <w:pPr>
              <w:pStyle w:val="TableParagraph"/>
              <w:spacing w:line="240" w:lineRule="auto" w:before="105"/>
              <w:ind w:left="187" w:right="0"/>
              <w:jc w:val="left"/>
              <w:rPr>
                <w:rFonts w:ascii="Times New Roman" w:hAnsi="Times New Roman" w:cs="Times New Roman" w:eastAsia="Times New Roman" w:hint="default"/>
                <w:sz w:val="18"/>
                <w:szCs w:val="18"/>
              </w:rPr>
            </w:pPr>
            <w:r>
              <w:rPr>
                <w:rFonts w:ascii="Times New Roman"/>
                <w:sz w:val="18"/>
              </w:rPr>
              <w:t>51,0</w:t>
            </w:r>
          </w:p>
          <w:p>
            <w:pPr>
              <w:pStyle w:val="TableParagraph"/>
              <w:spacing w:line="240" w:lineRule="auto" w:before="105"/>
              <w:ind w:left="187" w:right="0"/>
              <w:jc w:val="left"/>
              <w:rPr>
                <w:rFonts w:ascii="Times New Roman" w:hAnsi="Times New Roman" w:cs="Times New Roman" w:eastAsia="Times New Roman" w:hint="default"/>
                <w:sz w:val="18"/>
                <w:szCs w:val="18"/>
              </w:rPr>
            </w:pPr>
            <w:r>
              <w:rPr>
                <w:rFonts w:ascii="Times New Roman"/>
                <w:sz w:val="18"/>
              </w:rPr>
              <w:t>58.2</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9</w:t>
            </w: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20" w:right="0"/>
              <w:jc w:val="left"/>
              <w:rPr>
                <w:rFonts w:ascii="Times New Roman" w:hAnsi="Times New Roman" w:cs="Times New Roman" w:eastAsia="Times New Roman" w:hint="default"/>
                <w:sz w:val="18"/>
                <w:szCs w:val="18"/>
              </w:rPr>
            </w:pPr>
            <w:r>
              <w:rPr>
                <w:rFonts w:ascii="Times New Roman"/>
                <w:sz w:val="18"/>
              </w:rPr>
              <w:t>97,351,0</w:t>
            </w:r>
          </w:p>
          <w:p>
            <w:pPr>
              <w:pStyle w:val="TableParagraph"/>
              <w:spacing w:line="240" w:lineRule="auto" w:before="105"/>
              <w:ind w:left="345" w:right="0"/>
              <w:jc w:val="left"/>
              <w:rPr>
                <w:rFonts w:ascii="Times New Roman" w:hAnsi="Times New Roman" w:cs="Times New Roman" w:eastAsia="Times New Roman" w:hint="default"/>
                <w:sz w:val="18"/>
                <w:szCs w:val="18"/>
              </w:rPr>
            </w:pPr>
            <w:r>
              <w:rPr>
                <w:rFonts w:ascii="Times New Roman"/>
                <w:sz w:val="18"/>
              </w:rPr>
              <w:t>58.29</w:t>
            </w:r>
          </w:p>
        </w:tc>
      </w:tr>
      <w:tr>
        <w:trPr>
          <w:trHeight w:val="1026"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02" w:right="111"/>
              <w:jc w:val="both"/>
              <w:rPr>
                <w:rFonts w:ascii="宋体" w:hAnsi="宋体" w:cs="宋体" w:eastAsia="宋体" w:hint="default"/>
                <w:sz w:val="18"/>
                <w:szCs w:val="18"/>
              </w:rPr>
            </w:pPr>
            <w:r>
              <w:rPr>
                <w:rFonts w:ascii="宋体" w:hAnsi="宋体" w:cs="宋体" w:eastAsia="宋体" w:hint="default"/>
                <w:sz w:val="18"/>
                <w:szCs w:val="18"/>
              </w:rPr>
              <w:t>（二）所有者 投入和减少资 本</w:t>
            </w:r>
          </w:p>
        </w:tc>
        <w:tc>
          <w:tcPr>
            <w:tcW w:w="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0" w:right="0"/>
              <w:jc w:val="left"/>
              <w:rPr>
                <w:rFonts w:ascii="Times New Roman" w:hAnsi="Times New Roman" w:cs="Times New Roman" w:eastAsia="Times New Roman" w:hint="default"/>
                <w:sz w:val="18"/>
                <w:szCs w:val="18"/>
              </w:rPr>
            </w:pPr>
            <w:r>
              <w:rPr>
                <w:rFonts w:ascii="Times New Roman"/>
                <w:sz w:val="18"/>
              </w:rPr>
              <w:t>-15,1</w:t>
            </w:r>
          </w:p>
          <w:p>
            <w:pPr>
              <w:pStyle w:val="TableParagraph"/>
              <w:spacing w:line="240" w:lineRule="auto" w:before="105"/>
              <w:ind w:left="110" w:right="0"/>
              <w:jc w:val="left"/>
              <w:rPr>
                <w:rFonts w:ascii="Times New Roman" w:hAnsi="Times New Roman" w:cs="Times New Roman" w:eastAsia="Times New Roman" w:hint="default"/>
                <w:sz w:val="18"/>
                <w:szCs w:val="18"/>
              </w:rPr>
            </w:pPr>
            <w:r>
              <w:rPr>
                <w:rFonts w:ascii="Times New Roman"/>
                <w:sz w:val="18"/>
              </w:rPr>
              <w:t>07,44</w:t>
            </w:r>
          </w:p>
          <w:p>
            <w:pPr>
              <w:pStyle w:val="TableParagraph"/>
              <w:spacing w:line="240" w:lineRule="auto" w:before="105"/>
              <w:ind w:left="200" w:right="0"/>
              <w:jc w:val="left"/>
              <w:rPr>
                <w:rFonts w:ascii="Times New Roman" w:hAnsi="Times New Roman" w:cs="Times New Roman" w:eastAsia="Times New Roman" w:hint="default"/>
                <w:sz w:val="18"/>
                <w:szCs w:val="18"/>
              </w:rPr>
            </w:pPr>
            <w:r>
              <w:rPr>
                <w:rFonts w:ascii="Times New Roman"/>
                <w:sz w:val="18"/>
              </w:rPr>
              <w:t>6.00</w:t>
            </w: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8" w:right="0"/>
              <w:jc w:val="left"/>
              <w:rPr>
                <w:rFonts w:ascii="Times New Roman" w:hAnsi="Times New Roman" w:cs="Times New Roman" w:eastAsia="Times New Roman" w:hint="default"/>
                <w:sz w:val="18"/>
                <w:szCs w:val="18"/>
              </w:rPr>
            </w:pPr>
            <w:r>
              <w:rPr>
                <w:rFonts w:ascii="Times New Roman"/>
                <w:sz w:val="18"/>
              </w:rPr>
              <w:t>-73,66</w:t>
            </w:r>
          </w:p>
          <w:p>
            <w:pPr>
              <w:pStyle w:val="TableParagraph"/>
              <w:spacing w:line="240" w:lineRule="auto" w:before="105"/>
              <w:ind w:left="162" w:right="0"/>
              <w:jc w:val="left"/>
              <w:rPr>
                <w:rFonts w:ascii="Times New Roman" w:hAnsi="Times New Roman" w:cs="Times New Roman" w:eastAsia="Times New Roman" w:hint="default"/>
                <w:sz w:val="18"/>
                <w:szCs w:val="18"/>
              </w:rPr>
            </w:pPr>
            <w:r>
              <w:rPr>
                <w:rFonts w:ascii="Times New Roman"/>
                <w:sz w:val="18"/>
              </w:rPr>
              <w:t>6,908.</w:t>
            </w:r>
          </w:p>
          <w:p>
            <w:pPr>
              <w:pStyle w:val="TableParagraph"/>
              <w:spacing w:line="240" w:lineRule="auto" w:before="105"/>
              <w:ind w:left="432" w:right="0"/>
              <w:jc w:val="left"/>
              <w:rPr>
                <w:rFonts w:ascii="Times New Roman" w:hAnsi="Times New Roman" w:cs="Times New Roman" w:eastAsia="Times New Roman" w:hint="default"/>
                <w:sz w:val="18"/>
                <w:szCs w:val="18"/>
              </w:rPr>
            </w:pPr>
            <w:r>
              <w:rPr>
                <w:rFonts w:ascii="Times New Roman"/>
                <w:sz w:val="18"/>
              </w:rPr>
              <w:t>74</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0" w:right="0"/>
              <w:jc w:val="left"/>
              <w:rPr>
                <w:rFonts w:ascii="Times New Roman" w:hAnsi="Times New Roman" w:cs="Times New Roman" w:eastAsia="Times New Roman" w:hint="default"/>
                <w:sz w:val="18"/>
                <w:szCs w:val="18"/>
              </w:rPr>
            </w:pPr>
            <w:r>
              <w:rPr>
                <w:rFonts w:ascii="Times New Roman"/>
                <w:sz w:val="18"/>
              </w:rPr>
              <w:t>-46,01</w:t>
            </w:r>
          </w:p>
          <w:p>
            <w:pPr>
              <w:pStyle w:val="TableParagraph"/>
              <w:spacing w:line="240" w:lineRule="auto" w:before="105"/>
              <w:ind w:left="163" w:right="0"/>
              <w:jc w:val="left"/>
              <w:rPr>
                <w:rFonts w:ascii="Times New Roman" w:hAnsi="Times New Roman" w:cs="Times New Roman" w:eastAsia="Times New Roman" w:hint="default"/>
                <w:sz w:val="18"/>
                <w:szCs w:val="18"/>
              </w:rPr>
            </w:pPr>
            <w:r>
              <w:rPr>
                <w:rFonts w:ascii="Times New Roman"/>
                <w:sz w:val="18"/>
              </w:rPr>
              <w:t>0,428.</w:t>
            </w:r>
          </w:p>
          <w:p>
            <w:pPr>
              <w:pStyle w:val="TableParagraph"/>
              <w:spacing w:line="240" w:lineRule="auto" w:before="105"/>
              <w:ind w:left="433" w:right="0"/>
              <w:jc w:val="left"/>
              <w:rPr>
                <w:rFonts w:ascii="Times New Roman" w:hAnsi="Times New Roman" w:cs="Times New Roman" w:eastAsia="Times New Roman" w:hint="default"/>
                <w:sz w:val="18"/>
                <w:szCs w:val="18"/>
              </w:rPr>
            </w:pPr>
            <w:r>
              <w:rPr>
                <w:rFonts w:ascii="Times New Roman"/>
                <w:sz w:val="18"/>
              </w:rPr>
              <w:t>76</w:t>
            </w: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8" w:right="0"/>
              <w:jc w:val="left"/>
              <w:rPr>
                <w:rFonts w:ascii="Times New Roman" w:hAnsi="Times New Roman" w:cs="Times New Roman" w:eastAsia="Times New Roman" w:hint="default"/>
                <w:sz w:val="18"/>
                <w:szCs w:val="18"/>
              </w:rPr>
            </w:pPr>
            <w:r>
              <w:rPr>
                <w:rFonts w:ascii="Times New Roman"/>
                <w:sz w:val="18"/>
              </w:rPr>
              <w:t>-10,24</w:t>
            </w:r>
          </w:p>
          <w:p>
            <w:pPr>
              <w:pStyle w:val="TableParagraph"/>
              <w:spacing w:line="240" w:lineRule="auto" w:before="105"/>
              <w:ind w:left="163" w:right="0"/>
              <w:jc w:val="left"/>
              <w:rPr>
                <w:rFonts w:ascii="Times New Roman" w:hAnsi="Times New Roman" w:cs="Times New Roman" w:eastAsia="Times New Roman" w:hint="default"/>
                <w:sz w:val="18"/>
                <w:szCs w:val="18"/>
              </w:rPr>
            </w:pPr>
            <w:r>
              <w:rPr>
                <w:rFonts w:ascii="Times New Roman"/>
                <w:sz w:val="18"/>
              </w:rPr>
              <w:t>5,148.</w:t>
            </w:r>
          </w:p>
          <w:p>
            <w:pPr>
              <w:pStyle w:val="TableParagraph"/>
              <w:spacing w:line="240" w:lineRule="auto" w:before="105"/>
              <w:ind w:left="433" w:right="0"/>
              <w:jc w:val="left"/>
              <w:rPr>
                <w:rFonts w:ascii="Times New Roman" w:hAnsi="Times New Roman" w:cs="Times New Roman" w:eastAsia="Times New Roman" w:hint="default"/>
                <w:sz w:val="18"/>
                <w:szCs w:val="18"/>
              </w:rPr>
            </w:pPr>
            <w:r>
              <w:rPr>
                <w:rFonts w:ascii="Times New Roman"/>
                <w:sz w:val="18"/>
              </w:rPr>
              <w:t>05</w:t>
            </w: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8" w:right="0"/>
              <w:jc w:val="center"/>
              <w:rPr>
                <w:rFonts w:ascii="Times New Roman" w:hAnsi="Times New Roman" w:cs="Times New Roman" w:eastAsia="Times New Roman" w:hint="default"/>
                <w:sz w:val="18"/>
                <w:szCs w:val="18"/>
              </w:rPr>
            </w:pPr>
            <w:r>
              <w:rPr>
                <w:rFonts w:ascii="Times New Roman"/>
                <w:sz w:val="18"/>
              </w:rPr>
              <w:t>-53,009,</w:t>
            </w:r>
          </w:p>
          <w:p>
            <w:pPr>
              <w:pStyle w:val="TableParagraph"/>
              <w:spacing w:line="240" w:lineRule="auto" w:before="105"/>
              <w:ind w:left="151" w:right="0"/>
              <w:jc w:val="center"/>
              <w:rPr>
                <w:rFonts w:ascii="Times New Roman" w:hAnsi="Times New Roman" w:cs="Times New Roman" w:eastAsia="Times New Roman" w:hint="default"/>
                <w:sz w:val="18"/>
                <w:szCs w:val="18"/>
              </w:rPr>
            </w:pPr>
            <w:r>
              <w:rPr>
                <w:rFonts w:ascii="Times New Roman"/>
                <w:sz w:val="18"/>
              </w:rPr>
              <w:t>074.03</w:t>
            </w:r>
          </w:p>
        </w:tc>
      </w:tr>
      <w:tr>
        <w:trPr>
          <w:trHeight w:val="714"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0"/>
              <w:ind w:left="102" w:right="101"/>
              <w:jc w:val="left"/>
              <w:rPr>
                <w:rFonts w:ascii="宋体" w:hAnsi="宋体" w:cs="宋体" w:eastAsia="宋体" w:hint="default"/>
                <w:sz w:val="18"/>
                <w:szCs w:val="18"/>
              </w:rPr>
            </w:pPr>
            <w:r>
              <w:rPr>
                <w:rFonts w:ascii="Times New Roman" w:hAnsi="Times New Roman" w:cs="Times New Roman" w:eastAsia="Times New Roman" w:hint="default"/>
                <w:spacing w:val="-12"/>
                <w:sz w:val="18"/>
                <w:szCs w:val="18"/>
              </w:rPr>
              <w:t>1</w:t>
            </w:r>
            <w:r>
              <w:rPr>
                <w:rFonts w:ascii="宋体" w:hAnsi="宋体" w:cs="宋体" w:eastAsia="宋体" w:hint="default"/>
                <w:spacing w:val="-12"/>
                <w:sz w:val="18"/>
                <w:szCs w:val="18"/>
              </w:rPr>
              <w:t>．所有者投入</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的普通股</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9" w:lineRule="auto" w:before="50"/>
              <w:ind w:left="102" w:right="101"/>
              <w:jc w:val="both"/>
              <w:rPr>
                <w:rFonts w:ascii="宋体" w:hAnsi="宋体" w:cs="宋体" w:eastAsia="宋体" w:hint="default"/>
                <w:sz w:val="18"/>
                <w:szCs w:val="18"/>
              </w:rPr>
            </w:pPr>
            <w:r>
              <w:rPr>
                <w:rFonts w:ascii="Times New Roman" w:hAnsi="Times New Roman" w:cs="Times New Roman" w:eastAsia="Times New Roman" w:hint="default"/>
                <w:spacing w:val="-12"/>
                <w:sz w:val="18"/>
                <w:szCs w:val="18"/>
              </w:rPr>
              <w:t>2</w:t>
            </w:r>
            <w:r>
              <w:rPr>
                <w:rFonts w:ascii="宋体" w:hAnsi="宋体" w:cs="宋体" w:eastAsia="宋体" w:hint="default"/>
                <w:spacing w:val="-12"/>
                <w:sz w:val="18"/>
                <w:szCs w:val="18"/>
              </w:rPr>
              <w:t>．其他权益工</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具持有者投入 资本</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9" w:lineRule="auto" w:before="50"/>
              <w:ind w:left="102" w:right="101"/>
              <w:jc w:val="both"/>
              <w:rPr>
                <w:rFonts w:ascii="宋体" w:hAnsi="宋体" w:cs="宋体" w:eastAsia="宋体" w:hint="default"/>
                <w:sz w:val="18"/>
                <w:szCs w:val="18"/>
              </w:rPr>
            </w:pPr>
            <w:r>
              <w:rPr>
                <w:rFonts w:ascii="Times New Roman" w:hAnsi="Times New Roman" w:cs="Times New Roman" w:eastAsia="Times New Roman" w:hint="default"/>
                <w:spacing w:val="-12"/>
                <w:sz w:val="18"/>
                <w:szCs w:val="18"/>
              </w:rPr>
              <w:t>3</w:t>
            </w:r>
            <w:r>
              <w:rPr>
                <w:rFonts w:ascii="宋体" w:hAnsi="宋体" w:cs="宋体" w:eastAsia="宋体" w:hint="default"/>
                <w:spacing w:val="-12"/>
                <w:sz w:val="18"/>
                <w:szCs w:val="18"/>
              </w:rPr>
              <w:t>．股份支付计</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入所有者权益 的金额</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5"/>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0" w:right="0"/>
              <w:jc w:val="left"/>
              <w:rPr>
                <w:rFonts w:ascii="Times New Roman" w:hAnsi="Times New Roman" w:cs="Times New Roman" w:eastAsia="Times New Roman" w:hint="default"/>
                <w:sz w:val="18"/>
                <w:szCs w:val="18"/>
              </w:rPr>
            </w:pPr>
            <w:r>
              <w:rPr>
                <w:rFonts w:ascii="Times New Roman"/>
                <w:sz w:val="18"/>
              </w:rPr>
              <w:t>-15,1</w:t>
            </w:r>
          </w:p>
          <w:p>
            <w:pPr>
              <w:pStyle w:val="TableParagraph"/>
              <w:spacing w:line="240" w:lineRule="auto" w:before="105"/>
              <w:ind w:left="110" w:right="0"/>
              <w:jc w:val="left"/>
              <w:rPr>
                <w:rFonts w:ascii="Times New Roman" w:hAnsi="Times New Roman" w:cs="Times New Roman" w:eastAsia="Times New Roman" w:hint="default"/>
                <w:sz w:val="18"/>
                <w:szCs w:val="18"/>
              </w:rPr>
            </w:pPr>
            <w:r>
              <w:rPr>
                <w:rFonts w:ascii="Times New Roman"/>
                <w:sz w:val="18"/>
              </w:rPr>
              <w:t>07,44</w:t>
            </w:r>
          </w:p>
          <w:p>
            <w:pPr>
              <w:pStyle w:val="TableParagraph"/>
              <w:spacing w:line="240" w:lineRule="auto" w:before="105"/>
              <w:ind w:left="200" w:right="0"/>
              <w:jc w:val="left"/>
              <w:rPr>
                <w:rFonts w:ascii="Times New Roman" w:hAnsi="Times New Roman" w:cs="Times New Roman" w:eastAsia="Times New Roman" w:hint="default"/>
                <w:sz w:val="18"/>
                <w:szCs w:val="18"/>
              </w:rPr>
            </w:pPr>
            <w:r>
              <w:rPr>
                <w:rFonts w:ascii="Times New Roman"/>
                <w:sz w:val="18"/>
              </w:rPr>
              <w:t>6.00</w:t>
            </w: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8" w:right="0"/>
              <w:jc w:val="left"/>
              <w:rPr>
                <w:rFonts w:ascii="Times New Roman" w:hAnsi="Times New Roman" w:cs="Times New Roman" w:eastAsia="Times New Roman" w:hint="default"/>
                <w:sz w:val="18"/>
                <w:szCs w:val="18"/>
              </w:rPr>
            </w:pPr>
            <w:r>
              <w:rPr>
                <w:rFonts w:ascii="Times New Roman"/>
                <w:sz w:val="18"/>
              </w:rPr>
              <w:t>-73,66</w:t>
            </w:r>
          </w:p>
          <w:p>
            <w:pPr>
              <w:pStyle w:val="TableParagraph"/>
              <w:spacing w:line="240" w:lineRule="auto" w:before="105"/>
              <w:ind w:left="162" w:right="0"/>
              <w:jc w:val="left"/>
              <w:rPr>
                <w:rFonts w:ascii="Times New Roman" w:hAnsi="Times New Roman" w:cs="Times New Roman" w:eastAsia="Times New Roman" w:hint="default"/>
                <w:sz w:val="18"/>
                <w:szCs w:val="18"/>
              </w:rPr>
            </w:pPr>
            <w:r>
              <w:rPr>
                <w:rFonts w:ascii="Times New Roman"/>
                <w:sz w:val="18"/>
              </w:rPr>
              <w:t>6,908.</w:t>
            </w:r>
          </w:p>
          <w:p>
            <w:pPr>
              <w:pStyle w:val="TableParagraph"/>
              <w:spacing w:line="240" w:lineRule="auto" w:before="105"/>
              <w:ind w:left="432" w:right="0"/>
              <w:jc w:val="left"/>
              <w:rPr>
                <w:rFonts w:ascii="Times New Roman" w:hAnsi="Times New Roman" w:cs="Times New Roman" w:eastAsia="Times New Roman" w:hint="default"/>
                <w:sz w:val="18"/>
                <w:szCs w:val="18"/>
              </w:rPr>
            </w:pPr>
            <w:r>
              <w:rPr>
                <w:rFonts w:ascii="Times New Roman"/>
                <w:sz w:val="18"/>
              </w:rPr>
              <w:t>74</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0" w:right="0"/>
              <w:jc w:val="left"/>
              <w:rPr>
                <w:rFonts w:ascii="Times New Roman" w:hAnsi="Times New Roman" w:cs="Times New Roman" w:eastAsia="Times New Roman" w:hint="default"/>
                <w:sz w:val="18"/>
                <w:szCs w:val="18"/>
              </w:rPr>
            </w:pPr>
            <w:r>
              <w:rPr>
                <w:rFonts w:ascii="Times New Roman"/>
                <w:sz w:val="18"/>
              </w:rPr>
              <w:t>-46,01</w:t>
            </w:r>
          </w:p>
          <w:p>
            <w:pPr>
              <w:pStyle w:val="TableParagraph"/>
              <w:spacing w:line="240" w:lineRule="auto" w:before="105"/>
              <w:ind w:left="163" w:right="0"/>
              <w:jc w:val="left"/>
              <w:rPr>
                <w:rFonts w:ascii="Times New Roman" w:hAnsi="Times New Roman" w:cs="Times New Roman" w:eastAsia="Times New Roman" w:hint="default"/>
                <w:sz w:val="18"/>
                <w:szCs w:val="18"/>
              </w:rPr>
            </w:pPr>
            <w:r>
              <w:rPr>
                <w:rFonts w:ascii="Times New Roman"/>
                <w:sz w:val="18"/>
              </w:rPr>
              <w:t>0,428.</w:t>
            </w:r>
          </w:p>
          <w:p>
            <w:pPr>
              <w:pStyle w:val="TableParagraph"/>
              <w:spacing w:line="240" w:lineRule="auto" w:before="105"/>
              <w:ind w:left="433" w:right="0"/>
              <w:jc w:val="left"/>
              <w:rPr>
                <w:rFonts w:ascii="Times New Roman" w:hAnsi="Times New Roman" w:cs="Times New Roman" w:eastAsia="Times New Roman" w:hint="default"/>
                <w:sz w:val="18"/>
                <w:szCs w:val="18"/>
              </w:rPr>
            </w:pPr>
            <w:r>
              <w:rPr>
                <w:rFonts w:ascii="Times New Roman"/>
                <w:sz w:val="18"/>
              </w:rPr>
              <w:t>76</w:t>
            </w: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8" w:right="0"/>
              <w:jc w:val="left"/>
              <w:rPr>
                <w:rFonts w:ascii="Times New Roman" w:hAnsi="Times New Roman" w:cs="Times New Roman" w:eastAsia="Times New Roman" w:hint="default"/>
                <w:sz w:val="18"/>
                <w:szCs w:val="18"/>
              </w:rPr>
            </w:pPr>
            <w:r>
              <w:rPr>
                <w:rFonts w:ascii="Times New Roman"/>
                <w:sz w:val="18"/>
              </w:rPr>
              <w:t>-10,24</w:t>
            </w:r>
          </w:p>
          <w:p>
            <w:pPr>
              <w:pStyle w:val="TableParagraph"/>
              <w:spacing w:line="240" w:lineRule="auto" w:before="105"/>
              <w:ind w:left="163" w:right="0"/>
              <w:jc w:val="left"/>
              <w:rPr>
                <w:rFonts w:ascii="Times New Roman" w:hAnsi="Times New Roman" w:cs="Times New Roman" w:eastAsia="Times New Roman" w:hint="default"/>
                <w:sz w:val="18"/>
                <w:szCs w:val="18"/>
              </w:rPr>
            </w:pPr>
            <w:r>
              <w:rPr>
                <w:rFonts w:ascii="Times New Roman"/>
                <w:sz w:val="18"/>
              </w:rPr>
              <w:t>5,148.</w:t>
            </w:r>
          </w:p>
          <w:p>
            <w:pPr>
              <w:pStyle w:val="TableParagraph"/>
              <w:spacing w:line="240" w:lineRule="auto" w:before="105"/>
              <w:ind w:left="433" w:right="0"/>
              <w:jc w:val="left"/>
              <w:rPr>
                <w:rFonts w:ascii="Times New Roman" w:hAnsi="Times New Roman" w:cs="Times New Roman" w:eastAsia="Times New Roman" w:hint="default"/>
                <w:sz w:val="18"/>
                <w:szCs w:val="18"/>
              </w:rPr>
            </w:pPr>
            <w:r>
              <w:rPr>
                <w:rFonts w:ascii="Times New Roman"/>
                <w:sz w:val="18"/>
              </w:rPr>
              <w:t>05</w:t>
            </w: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8" w:right="0"/>
              <w:jc w:val="center"/>
              <w:rPr>
                <w:rFonts w:ascii="Times New Roman" w:hAnsi="Times New Roman" w:cs="Times New Roman" w:eastAsia="Times New Roman" w:hint="default"/>
                <w:sz w:val="18"/>
                <w:szCs w:val="18"/>
              </w:rPr>
            </w:pPr>
            <w:r>
              <w:rPr>
                <w:rFonts w:ascii="Times New Roman"/>
                <w:sz w:val="18"/>
              </w:rPr>
              <w:t>-53,009,</w:t>
            </w:r>
          </w:p>
          <w:p>
            <w:pPr>
              <w:pStyle w:val="TableParagraph"/>
              <w:spacing w:line="240" w:lineRule="auto" w:before="105"/>
              <w:ind w:left="151" w:right="0"/>
              <w:jc w:val="center"/>
              <w:rPr>
                <w:rFonts w:ascii="Times New Roman" w:hAnsi="Times New Roman" w:cs="Times New Roman" w:eastAsia="Times New Roman" w:hint="default"/>
                <w:sz w:val="18"/>
                <w:szCs w:val="18"/>
              </w:rPr>
            </w:pPr>
            <w:r>
              <w:rPr>
                <w:rFonts w:ascii="Times New Roman"/>
                <w:sz w:val="18"/>
              </w:rPr>
              <w:t>074.03</w:t>
            </w:r>
          </w:p>
        </w:tc>
      </w:tr>
      <w:tr>
        <w:trPr>
          <w:trHeight w:val="1026"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316" w:lineRule="auto"/>
              <w:ind w:left="102" w:right="111"/>
              <w:jc w:val="left"/>
              <w:rPr>
                <w:rFonts w:ascii="宋体" w:hAnsi="宋体" w:cs="宋体" w:eastAsia="宋体" w:hint="default"/>
                <w:sz w:val="18"/>
                <w:szCs w:val="18"/>
              </w:rPr>
            </w:pPr>
            <w:r>
              <w:rPr>
                <w:rFonts w:ascii="宋体" w:hAnsi="宋体" w:cs="宋体" w:eastAsia="宋体" w:hint="default"/>
                <w:sz w:val="18"/>
                <w:szCs w:val="18"/>
              </w:rPr>
              <w:t>（三）利润分 配</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63" w:right="0"/>
              <w:jc w:val="left"/>
              <w:rPr>
                <w:rFonts w:ascii="Times New Roman" w:hAnsi="Times New Roman" w:cs="Times New Roman" w:eastAsia="Times New Roman" w:hint="default"/>
                <w:sz w:val="18"/>
                <w:szCs w:val="18"/>
              </w:rPr>
            </w:pPr>
            <w:r>
              <w:rPr>
                <w:rFonts w:ascii="Times New Roman"/>
                <w:sz w:val="18"/>
              </w:rPr>
              <w:t>9,735,</w:t>
            </w:r>
          </w:p>
          <w:p>
            <w:pPr>
              <w:pStyle w:val="TableParagraph"/>
              <w:spacing w:line="240" w:lineRule="auto" w:before="105"/>
              <w:ind w:left="118" w:right="0"/>
              <w:jc w:val="left"/>
              <w:rPr>
                <w:rFonts w:ascii="Times New Roman" w:hAnsi="Times New Roman" w:cs="Times New Roman" w:eastAsia="Times New Roman" w:hint="default"/>
                <w:sz w:val="18"/>
                <w:szCs w:val="18"/>
              </w:rPr>
            </w:pPr>
            <w:r>
              <w:rPr>
                <w:rFonts w:ascii="Times New Roman"/>
                <w:sz w:val="18"/>
              </w:rPr>
              <w:t>105.83</w:t>
            </w:r>
          </w:p>
        </w:tc>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7" w:right="0"/>
              <w:jc w:val="left"/>
              <w:rPr>
                <w:rFonts w:ascii="Times New Roman" w:hAnsi="Times New Roman" w:cs="Times New Roman" w:eastAsia="Times New Roman" w:hint="default"/>
                <w:sz w:val="18"/>
                <w:szCs w:val="18"/>
              </w:rPr>
            </w:pPr>
            <w:r>
              <w:rPr>
                <w:rFonts w:ascii="Times New Roman"/>
                <w:sz w:val="18"/>
              </w:rPr>
              <w:t>-9,73</w:t>
            </w:r>
          </w:p>
          <w:p>
            <w:pPr>
              <w:pStyle w:val="TableParagraph"/>
              <w:spacing w:line="240" w:lineRule="auto" w:before="105"/>
              <w:ind w:left="187" w:right="0"/>
              <w:jc w:val="left"/>
              <w:rPr>
                <w:rFonts w:ascii="Times New Roman" w:hAnsi="Times New Roman" w:cs="Times New Roman" w:eastAsia="Times New Roman" w:hint="default"/>
                <w:sz w:val="18"/>
                <w:szCs w:val="18"/>
              </w:rPr>
            </w:pPr>
            <w:r>
              <w:rPr>
                <w:rFonts w:ascii="Times New Roman"/>
                <w:sz w:val="18"/>
              </w:rPr>
              <w:t>5,10</w:t>
            </w:r>
          </w:p>
          <w:p>
            <w:pPr>
              <w:pStyle w:val="TableParagraph"/>
              <w:spacing w:line="240" w:lineRule="auto" w:before="105"/>
              <w:ind w:left="187" w:right="0"/>
              <w:jc w:val="left"/>
              <w:rPr>
                <w:rFonts w:ascii="Times New Roman" w:hAnsi="Times New Roman" w:cs="Times New Roman" w:eastAsia="Times New Roman" w:hint="default"/>
                <w:sz w:val="18"/>
                <w:szCs w:val="18"/>
              </w:rPr>
            </w:pPr>
            <w:r>
              <w:rPr>
                <w:rFonts w:ascii="Times New Roman"/>
                <w:sz w:val="18"/>
              </w:rPr>
              <w:t>5.83</w:t>
            </w: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300" w:lineRule="auto"/>
              <w:ind w:left="102" w:right="101"/>
              <w:jc w:val="left"/>
              <w:rPr>
                <w:rFonts w:ascii="宋体" w:hAnsi="宋体" w:cs="宋体" w:eastAsia="宋体" w:hint="default"/>
                <w:sz w:val="18"/>
                <w:szCs w:val="18"/>
              </w:rPr>
            </w:pPr>
            <w:r>
              <w:rPr>
                <w:rFonts w:ascii="Times New Roman" w:hAnsi="Times New Roman" w:cs="Times New Roman" w:eastAsia="Times New Roman" w:hint="default"/>
                <w:spacing w:val="-12"/>
                <w:sz w:val="18"/>
                <w:szCs w:val="18"/>
              </w:rPr>
              <w:t>1</w:t>
            </w:r>
            <w:r>
              <w:rPr>
                <w:rFonts w:ascii="宋体" w:hAnsi="宋体" w:cs="宋体" w:eastAsia="宋体" w:hint="default"/>
                <w:spacing w:val="-12"/>
                <w:sz w:val="18"/>
                <w:szCs w:val="18"/>
              </w:rPr>
              <w:t>．提取盈余公</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积</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63" w:right="0"/>
              <w:jc w:val="left"/>
              <w:rPr>
                <w:rFonts w:ascii="Times New Roman" w:hAnsi="Times New Roman" w:cs="Times New Roman" w:eastAsia="Times New Roman" w:hint="default"/>
                <w:sz w:val="18"/>
                <w:szCs w:val="18"/>
              </w:rPr>
            </w:pPr>
            <w:r>
              <w:rPr>
                <w:rFonts w:ascii="Times New Roman"/>
                <w:sz w:val="18"/>
              </w:rPr>
              <w:t>9,735,</w:t>
            </w:r>
          </w:p>
          <w:p>
            <w:pPr>
              <w:pStyle w:val="TableParagraph"/>
              <w:spacing w:line="240" w:lineRule="auto" w:before="105"/>
              <w:ind w:left="118" w:right="0"/>
              <w:jc w:val="left"/>
              <w:rPr>
                <w:rFonts w:ascii="Times New Roman" w:hAnsi="Times New Roman" w:cs="Times New Roman" w:eastAsia="Times New Roman" w:hint="default"/>
                <w:sz w:val="18"/>
                <w:szCs w:val="18"/>
              </w:rPr>
            </w:pPr>
            <w:r>
              <w:rPr>
                <w:rFonts w:ascii="Times New Roman"/>
                <w:sz w:val="18"/>
              </w:rPr>
              <w:t>105.83</w:t>
            </w:r>
          </w:p>
        </w:tc>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7" w:right="0"/>
              <w:jc w:val="left"/>
              <w:rPr>
                <w:rFonts w:ascii="Times New Roman" w:hAnsi="Times New Roman" w:cs="Times New Roman" w:eastAsia="Times New Roman" w:hint="default"/>
                <w:sz w:val="18"/>
                <w:szCs w:val="18"/>
              </w:rPr>
            </w:pPr>
            <w:r>
              <w:rPr>
                <w:rFonts w:ascii="Times New Roman"/>
                <w:sz w:val="18"/>
              </w:rPr>
              <w:t>-9,73</w:t>
            </w:r>
          </w:p>
          <w:p>
            <w:pPr>
              <w:pStyle w:val="TableParagraph"/>
              <w:spacing w:line="240" w:lineRule="auto" w:before="105"/>
              <w:ind w:left="187" w:right="0"/>
              <w:jc w:val="left"/>
              <w:rPr>
                <w:rFonts w:ascii="Times New Roman" w:hAnsi="Times New Roman" w:cs="Times New Roman" w:eastAsia="Times New Roman" w:hint="default"/>
                <w:sz w:val="18"/>
                <w:szCs w:val="18"/>
              </w:rPr>
            </w:pPr>
            <w:r>
              <w:rPr>
                <w:rFonts w:ascii="Times New Roman"/>
                <w:sz w:val="18"/>
              </w:rPr>
              <w:t>5,10</w:t>
            </w:r>
          </w:p>
          <w:p>
            <w:pPr>
              <w:pStyle w:val="TableParagraph"/>
              <w:spacing w:line="240" w:lineRule="auto" w:before="105"/>
              <w:ind w:left="187" w:right="0"/>
              <w:jc w:val="left"/>
              <w:rPr>
                <w:rFonts w:ascii="Times New Roman" w:hAnsi="Times New Roman" w:cs="Times New Roman" w:eastAsia="Times New Roman" w:hint="default"/>
                <w:sz w:val="18"/>
                <w:szCs w:val="18"/>
              </w:rPr>
            </w:pPr>
            <w:r>
              <w:rPr>
                <w:rFonts w:ascii="Times New Roman"/>
                <w:sz w:val="18"/>
              </w:rPr>
              <w:t>5.83</w:t>
            </w: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．对所有者</w:t>
            </w:r>
          </w:p>
          <w:p>
            <w:pPr>
              <w:pStyle w:val="TableParagraph"/>
              <w:spacing w:line="319" w:lineRule="auto" w:before="62"/>
              <w:ind w:left="102" w:right="112"/>
              <w:jc w:val="left"/>
              <w:rPr>
                <w:rFonts w:ascii="宋体" w:hAnsi="宋体" w:cs="宋体" w:eastAsia="宋体" w:hint="default"/>
                <w:sz w:val="18"/>
                <w:szCs w:val="18"/>
              </w:rPr>
            </w:pPr>
            <w:r>
              <w:rPr>
                <w:rFonts w:ascii="宋体" w:hAnsi="宋体" w:cs="宋体" w:eastAsia="宋体" w:hint="default"/>
                <w:sz w:val="18"/>
                <w:szCs w:val="18"/>
              </w:rPr>
              <w:t>（或股东）的 分配</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0"/>
              <w:ind w:left="102" w:right="111"/>
              <w:jc w:val="left"/>
              <w:rPr>
                <w:rFonts w:ascii="宋体" w:hAnsi="宋体" w:cs="宋体" w:eastAsia="宋体" w:hint="default"/>
                <w:sz w:val="18"/>
                <w:szCs w:val="18"/>
              </w:rPr>
            </w:pPr>
            <w:r>
              <w:rPr>
                <w:rFonts w:ascii="宋体" w:hAnsi="宋体" w:cs="宋体" w:eastAsia="宋体" w:hint="default"/>
                <w:sz w:val="18"/>
                <w:szCs w:val="18"/>
              </w:rPr>
              <w:t>（四）所有者 权益内部结转</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9" w:lineRule="auto" w:before="50"/>
              <w:ind w:left="102" w:right="101"/>
              <w:jc w:val="both"/>
              <w:rPr>
                <w:rFonts w:ascii="宋体" w:hAnsi="宋体" w:cs="宋体" w:eastAsia="宋体" w:hint="default"/>
                <w:sz w:val="18"/>
                <w:szCs w:val="18"/>
              </w:rPr>
            </w:pPr>
            <w:r>
              <w:rPr>
                <w:rFonts w:ascii="Times New Roman" w:hAnsi="Times New Roman" w:cs="Times New Roman" w:eastAsia="Times New Roman" w:hint="default"/>
                <w:spacing w:val="-12"/>
                <w:sz w:val="18"/>
                <w:szCs w:val="18"/>
              </w:rPr>
              <w:t>1</w:t>
            </w:r>
            <w:r>
              <w:rPr>
                <w:rFonts w:ascii="宋体" w:hAnsi="宋体" w:cs="宋体" w:eastAsia="宋体" w:hint="default"/>
                <w:spacing w:val="-12"/>
                <w:sz w:val="18"/>
                <w:szCs w:val="18"/>
              </w:rPr>
              <w:t>．资本公积转</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增资本（或股</w:t>
            </w:r>
            <w:r>
              <w:rPr>
                <w:rFonts w:ascii="宋体" w:hAnsi="宋体" w:cs="宋体" w:eastAsia="宋体" w:hint="default"/>
                <w:sz w:val="18"/>
                <w:szCs w:val="18"/>
              </w:rPr>
              <w:t> 本）</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9" w:lineRule="auto" w:before="50"/>
              <w:ind w:left="102" w:right="101"/>
              <w:jc w:val="both"/>
              <w:rPr>
                <w:rFonts w:ascii="宋体" w:hAnsi="宋体" w:cs="宋体" w:eastAsia="宋体" w:hint="default"/>
                <w:sz w:val="18"/>
                <w:szCs w:val="18"/>
              </w:rPr>
            </w:pPr>
            <w:r>
              <w:rPr>
                <w:rFonts w:ascii="Times New Roman" w:hAnsi="Times New Roman" w:cs="Times New Roman" w:eastAsia="Times New Roman" w:hint="default"/>
                <w:spacing w:val="-12"/>
                <w:sz w:val="18"/>
                <w:szCs w:val="18"/>
              </w:rPr>
              <w:t>2</w:t>
            </w:r>
            <w:r>
              <w:rPr>
                <w:rFonts w:ascii="宋体" w:hAnsi="宋体" w:cs="宋体" w:eastAsia="宋体" w:hint="default"/>
                <w:spacing w:val="-12"/>
                <w:sz w:val="18"/>
                <w:szCs w:val="18"/>
              </w:rPr>
              <w:t>．盈余公积转</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增资本（或股</w:t>
            </w:r>
            <w:r>
              <w:rPr>
                <w:rFonts w:ascii="宋体" w:hAnsi="宋体" w:cs="宋体" w:eastAsia="宋体" w:hint="default"/>
                <w:sz w:val="18"/>
                <w:szCs w:val="18"/>
              </w:rPr>
              <w:t> 本）</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6" w:footer="1018" w:top="1100" w:bottom="1200" w:left="1020" w:right="0"/>
        </w:sectPr>
      </w:pPr>
    </w:p>
    <w:p>
      <w:pPr>
        <w:spacing w:line="240" w:lineRule="auto" w:before="0"/>
        <w:rPr>
          <w:rFonts w:ascii="Times New Roman" w:hAnsi="Times New Roman" w:cs="Times New Roman" w:eastAsia="Times New Roman" w:hint="default"/>
          <w:sz w:val="29"/>
          <w:szCs w:val="29"/>
        </w:rPr>
      </w:pPr>
    </w:p>
    <w:tbl>
      <w:tblPr>
        <w:tblW w:w="0" w:type="auto"/>
        <w:jc w:val="left"/>
        <w:tblInd w:w="109" w:type="dxa"/>
        <w:tblLayout w:type="fixed"/>
        <w:tblCellMar>
          <w:top w:w="0" w:type="dxa"/>
          <w:left w:w="0" w:type="dxa"/>
          <w:bottom w:w="0" w:type="dxa"/>
          <w:right w:w="0" w:type="dxa"/>
        </w:tblCellMar>
        <w:tblLook w:val="01E0"/>
      </w:tblPr>
      <w:tblGrid>
        <w:gridCol w:w="1306"/>
        <w:gridCol w:w="628"/>
        <w:gridCol w:w="604"/>
        <w:gridCol w:w="604"/>
        <w:gridCol w:w="605"/>
        <w:gridCol w:w="726"/>
        <w:gridCol w:w="727"/>
        <w:gridCol w:w="726"/>
        <w:gridCol w:w="727"/>
        <w:gridCol w:w="726"/>
        <w:gridCol w:w="615"/>
        <w:gridCol w:w="710"/>
        <w:gridCol w:w="863"/>
      </w:tblGrid>
      <w:tr>
        <w:trPr>
          <w:trHeight w:val="714"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0"/>
              <w:ind w:left="102" w:right="101"/>
              <w:jc w:val="left"/>
              <w:rPr>
                <w:rFonts w:ascii="宋体" w:hAnsi="宋体" w:cs="宋体" w:eastAsia="宋体" w:hint="default"/>
                <w:sz w:val="18"/>
                <w:szCs w:val="18"/>
              </w:rPr>
            </w:pPr>
            <w:r>
              <w:rPr>
                <w:rFonts w:ascii="Times New Roman" w:hAnsi="Times New Roman" w:cs="Times New Roman" w:eastAsia="Times New Roman" w:hint="default"/>
                <w:spacing w:val="-12"/>
                <w:sz w:val="18"/>
                <w:szCs w:val="18"/>
              </w:rPr>
              <w:t>3</w:t>
            </w:r>
            <w:r>
              <w:rPr>
                <w:rFonts w:ascii="宋体" w:hAnsi="宋体" w:cs="宋体" w:eastAsia="宋体" w:hint="default"/>
                <w:spacing w:val="-12"/>
                <w:sz w:val="18"/>
                <w:szCs w:val="18"/>
              </w:rPr>
              <w:t>．盈余公积弥</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补亏损</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9" w:lineRule="auto" w:before="50"/>
              <w:ind w:left="102" w:right="101"/>
              <w:jc w:val="both"/>
              <w:rPr>
                <w:rFonts w:ascii="宋体" w:hAnsi="宋体" w:cs="宋体" w:eastAsia="宋体" w:hint="default"/>
                <w:sz w:val="18"/>
                <w:szCs w:val="18"/>
              </w:rPr>
            </w:pPr>
            <w:r>
              <w:rPr>
                <w:rFonts w:ascii="Times New Roman" w:hAnsi="Times New Roman" w:cs="Times New Roman" w:eastAsia="Times New Roman" w:hint="default"/>
                <w:spacing w:val="-12"/>
                <w:sz w:val="18"/>
                <w:szCs w:val="18"/>
              </w:rPr>
              <w:t>4</w:t>
            </w:r>
            <w:r>
              <w:rPr>
                <w:rFonts w:ascii="宋体" w:hAnsi="宋体" w:cs="宋体" w:eastAsia="宋体" w:hint="default"/>
                <w:spacing w:val="-12"/>
                <w:sz w:val="18"/>
                <w:szCs w:val="18"/>
              </w:rPr>
              <w:t>．设定受益计</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划变动额结转 留存收益</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9" w:lineRule="auto" w:before="50"/>
              <w:ind w:left="102" w:right="101"/>
              <w:jc w:val="both"/>
              <w:rPr>
                <w:rFonts w:ascii="宋体" w:hAnsi="宋体" w:cs="宋体" w:eastAsia="宋体" w:hint="default"/>
                <w:sz w:val="18"/>
                <w:szCs w:val="18"/>
              </w:rPr>
            </w:pPr>
            <w:r>
              <w:rPr>
                <w:rFonts w:ascii="Times New Roman" w:hAnsi="Times New Roman" w:cs="Times New Roman" w:eastAsia="Times New Roman" w:hint="default"/>
                <w:spacing w:val="-12"/>
                <w:sz w:val="18"/>
                <w:szCs w:val="18"/>
              </w:rPr>
              <w:t>5</w:t>
            </w:r>
            <w:r>
              <w:rPr>
                <w:rFonts w:ascii="宋体" w:hAnsi="宋体" w:cs="宋体" w:eastAsia="宋体" w:hint="default"/>
                <w:spacing w:val="-12"/>
                <w:sz w:val="18"/>
                <w:szCs w:val="18"/>
              </w:rPr>
              <w:t>．其他综合收</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益结转留存收 益</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02" w:right="111"/>
              <w:jc w:val="left"/>
              <w:rPr>
                <w:rFonts w:ascii="宋体" w:hAnsi="宋体" w:cs="宋体" w:eastAsia="宋体" w:hint="default"/>
                <w:sz w:val="18"/>
                <w:szCs w:val="18"/>
              </w:rPr>
            </w:pPr>
            <w:r>
              <w:rPr>
                <w:rFonts w:ascii="宋体" w:hAnsi="宋体" w:cs="宋体" w:eastAsia="宋体" w:hint="default"/>
                <w:sz w:val="18"/>
                <w:szCs w:val="18"/>
              </w:rPr>
              <w:t>（五）专项储 备</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13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5"/>
              <w:ind w:left="102" w:right="111"/>
              <w:jc w:val="left"/>
              <w:rPr>
                <w:rFonts w:ascii="宋体" w:hAnsi="宋体" w:cs="宋体" w:eastAsia="宋体" w:hint="default"/>
                <w:sz w:val="18"/>
                <w:szCs w:val="18"/>
              </w:rPr>
            </w:pPr>
            <w:r>
              <w:rPr>
                <w:rFonts w:ascii="宋体" w:hAnsi="宋体" w:cs="宋体" w:eastAsia="宋体" w:hint="default"/>
                <w:sz w:val="18"/>
                <w:szCs w:val="18"/>
              </w:rPr>
              <w:t>四、本期期末 余额</w:t>
            </w:r>
          </w:p>
        </w:tc>
        <w:tc>
          <w:tcPr>
            <w:tcW w:w="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10" w:right="0"/>
              <w:jc w:val="left"/>
              <w:rPr>
                <w:rFonts w:ascii="Times New Roman" w:hAnsi="Times New Roman" w:cs="Times New Roman" w:eastAsia="Times New Roman" w:hint="default"/>
                <w:sz w:val="18"/>
                <w:szCs w:val="18"/>
              </w:rPr>
            </w:pPr>
            <w:r>
              <w:rPr>
                <w:rFonts w:ascii="Times New Roman"/>
                <w:sz w:val="18"/>
              </w:rPr>
              <w:t>696,9</w:t>
            </w:r>
          </w:p>
          <w:p>
            <w:pPr>
              <w:pStyle w:val="TableParagraph"/>
              <w:spacing w:line="240" w:lineRule="auto" w:before="105"/>
              <w:ind w:left="110" w:right="0"/>
              <w:jc w:val="left"/>
              <w:rPr>
                <w:rFonts w:ascii="Times New Roman" w:hAnsi="Times New Roman" w:cs="Times New Roman" w:eastAsia="Times New Roman" w:hint="default"/>
                <w:sz w:val="18"/>
                <w:szCs w:val="18"/>
              </w:rPr>
            </w:pPr>
            <w:r>
              <w:rPr>
                <w:rFonts w:ascii="Times New Roman"/>
                <w:sz w:val="18"/>
              </w:rPr>
              <w:t>21,35</w:t>
            </w:r>
          </w:p>
          <w:p>
            <w:pPr>
              <w:pStyle w:val="TableParagraph"/>
              <w:spacing w:line="240" w:lineRule="auto" w:before="105"/>
              <w:ind w:left="200" w:right="0"/>
              <w:jc w:val="left"/>
              <w:rPr>
                <w:rFonts w:ascii="Times New Roman" w:hAnsi="Times New Roman" w:cs="Times New Roman" w:eastAsia="Times New Roman" w:hint="default"/>
                <w:sz w:val="18"/>
                <w:szCs w:val="18"/>
              </w:rPr>
            </w:pPr>
            <w:r>
              <w:rPr>
                <w:rFonts w:ascii="Times New Roman"/>
                <w:sz w:val="18"/>
              </w:rPr>
              <w:t>4.00</w:t>
            </w: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15,636</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2"/>
                <w:sz w:val="18"/>
              </w:rPr>
              <w:t>,112.8</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2</w:t>
            </w: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24" w:right="0"/>
              <w:jc w:val="left"/>
              <w:rPr>
                <w:rFonts w:ascii="Times New Roman" w:hAnsi="Times New Roman" w:cs="Times New Roman" w:eastAsia="Times New Roman" w:hint="default"/>
                <w:sz w:val="18"/>
                <w:szCs w:val="18"/>
              </w:rPr>
            </w:pPr>
            <w:r>
              <w:rPr>
                <w:rFonts w:ascii="Times New Roman"/>
                <w:sz w:val="18"/>
              </w:rPr>
              <w:t>207,01</w:t>
            </w:r>
          </w:p>
          <w:p>
            <w:pPr>
              <w:pStyle w:val="TableParagraph"/>
              <w:spacing w:line="240" w:lineRule="auto" w:before="105"/>
              <w:ind w:left="163" w:right="0"/>
              <w:jc w:val="left"/>
              <w:rPr>
                <w:rFonts w:ascii="Times New Roman" w:hAnsi="Times New Roman" w:cs="Times New Roman" w:eastAsia="Times New Roman" w:hint="default"/>
                <w:sz w:val="18"/>
                <w:szCs w:val="18"/>
              </w:rPr>
            </w:pPr>
            <w:r>
              <w:rPr>
                <w:rFonts w:ascii="Times New Roman"/>
                <w:sz w:val="18"/>
              </w:rPr>
              <w:t>1,309.</w:t>
            </w:r>
          </w:p>
          <w:p>
            <w:pPr>
              <w:pStyle w:val="TableParagraph"/>
              <w:spacing w:line="240" w:lineRule="auto" w:before="105"/>
              <w:ind w:left="433" w:right="0"/>
              <w:jc w:val="left"/>
              <w:rPr>
                <w:rFonts w:ascii="Times New Roman" w:hAnsi="Times New Roman" w:cs="Times New Roman" w:eastAsia="Times New Roman" w:hint="default"/>
                <w:sz w:val="18"/>
                <w:szCs w:val="18"/>
              </w:rPr>
            </w:pPr>
            <w:r>
              <w:rPr>
                <w:rFonts w:ascii="Times New Roman"/>
                <w:sz w:val="18"/>
              </w:rPr>
              <w:t>90</w:t>
            </w:r>
          </w:p>
        </w:tc>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7" w:right="0"/>
              <w:jc w:val="left"/>
              <w:rPr>
                <w:rFonts w:ascii="Times New Roman" w:hAnsi="Times New Roman" w:cs="Times New Roman" w:eastAsia="Times New Roman" w:hint="default"/>
                <w:sz w:val="18"/>
                <w:szCs w:val="18"/>
              </w:rPr>
            </w:pPr>
            <w:r>
              <w:rPr>
                <w:rFonts w:ascii="Times New Roman"/>
                <w:sz w:val="18"/>
              </w:rPr>
              <w:t>1,05</w:t>
            </w:r>
          </w:p>
          <w:p>
            <w:pPr>
              <w:pStyle w:val="TableParagraph"/>
              <w:spacing w:line="240" w:lineRule="auto" w:before="105"/>
              <w:ind w:left="187" w:right="0"/>
              <w:jc w:val="left"/>
              <w:rPr>
                <w:rFonts w:ascii="Times New Roman" w:hAnsi="Times New Roman" w:cs="Times New Roman" w:eastAsia="Times New Roman" w:hint="default"/>
                <w:sz w:val="18"/>
                <w:szCs w:val="18"/>
              </w:rPr>
            </w:pPr>
            <w:r>
              <w:rPr>
                <w:rFonts w:ascii="Times New Roman"/>
                <w:sz w:val="18"/>
              </w:rPr>
              <w:t>7,23</w:t>
            </w:r>
          </w:p>
          <w:p>
            <w:pPr>
              <w:pStyle w:val="TableParagraph"/>
              <w:spacing w:line="240" w:lineRule="auto" w:before="105"/>
              <w:ind w:left="187" w:right="0"/>
              <w:jc w:val="left"/>
              <w:rPr>
                <w:rFonts w:ascii="Times New Roman" w:hAnsi="Times New Roman" w:cs="Times New Roman" w:eastAsia="Times New Roman" w:hint="default"/>
                <w:sz w:val="18"/>
                <w:szCs w:val="18"/>
              </w:rPr>
            </w:pPr>
            <w:r>
              <w:rPr>
                <w:rFonts w:ascii="Times New Roman"/>
                <w:sz w:val="18"/>
              </w:rPr>
              <w:t>0,12</w:t>
            </w:r>
          </w:p>
          <w:p>
            <w:pPr>
              <w:pStyle w:val="TableParagraph"/>
              <w:spacing w:line="240" w:lineRule="auto" w:before="105"/>
              <w:ind w:left="187" w:right="0"/>
              <w:jc w:val="left"/>
              <w:rPr>
                <w:rFonts w:ascii="Times New Roman" w:hAnsi="Times New Roman" w:cs="Times New Roman" w:eastAsia="Times New Roman" w:hint="default"/>
                <w:sz w:val="18"/>
                <w:szCs w:val="18"/>
              </w:rPr>
            </w:pPr>
            <w:r>
              <w:rPr>
                <w:rFonts w:ascii="Times New Roman"/>
                <w:sz w:val="18"/>
              </w:rPr>
              <w:t>1.02</w:t>
            </w: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20" w:right="0"/>
              <w:jc w:val="left"/>
              <w:rPr>
                <w:rFonts w:ascii="Times New Roman" w:hAnsi="Times New Roman" w:cs="Times New Roman" w:eastAsia="Times New Roman" w:hint="default"/>
                <w:sz w:val="18"/>
                <w:szCs w:val="18"/>
              </w:rPr>
            </w:pPr>
            <w:r>
              <w:rPr>
                <w:rFonts w:ascii="Times New Roman"/>
                <w:sz w:val="18"/>
              </w:rPr>
              <w:t>1,976,79</w:t>
            </w:r>
          </w:p>
          <w:p>
            <w:pPr>
              <w:pStyle w:val="TableParagraph"/>
              <w:spacing w:line="240" w:lineRule="auto" w:before="105"/>
              <w:ind w:left="120" w:right="0"/>
              <w:jc w:val="left"/>
              <w:rPr>
                <w:rFonts w:ascii="Times New Roman" w:hAnsi="Times New Roman" w:cs="Times New Roman" w:eastAsia="Times New Roman" w:hint="default"/>
                <w:sz w:val="18"/>
                <w:szCs w:val="18"/>
              </w:rPr>
            </w:pPr>
            <w:r>
              <w:rPr>
                <w:rFonts w:ascii="Times New Roman"/>
                <w:sz w:val="18"/>
              </w:rPr>
              <w:t>8,897.74</w:t>
            </w:r>
          </w:p>
        </w:tc>
      </w:tr>
    </w:tbl>
    <w:p>
      <w:pPr>
        <w:pStyle w:val="BodyText"/>
        <w:spacing w:line="240" w:lineRule="auto" w:before="50"/>
        <w:ind w:right="0"/>
        <w:jc w:val="left"/>
      </w:pPr>
      <w:r>
        <w:rPr/>
        <w:t>上期金额</w:t>
      </w:r>
    </w:p>
    <w:p>
      <w:pPr>
        <w:pStyle w:val="BodyText"/>
        <w:spacing w:line="240" w:lineRule="auto" w:before="116"/>
        <w:ind w:left="0" w:right="1132"/>
        <w:jc w:val="right"/>
      </w:pPr>
      <w:r>
        <w:rPr>
          <w:spacing w:val="-1"/>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231"/>
        <w:gridCol w:w="594"/>
        <w:gridCol w:w="572"/>
        <w:gridCol w:w="572"/>
        <w:gridCol w:w="572"/>
        <w:gridCol w:w="685"/>
        <w:gridCol w:w="686"/>
        <w:gridCol w:w="685"/>
        <w:gridCol w:w="781"/>
        <w:gridCol w:w="665"/>
        <w:gridCol w:w="798"/>
        <w:gridCol w:w="797"/>
        <w:gridCol w:w="930"/>
      </w:tblGrid>
      <w:tr>
        <w:trPr>
          <w:trHeight w:val="402" w:hRule="exact"/>
        </w:trPr>
        <w:tc>
          <w:tcPr>
            <w:tcW w:w="1231"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8337" w:type="dxa"/>
            <w:gridSpan w:val="1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年年度</w:t>
            </w:r>
          </w:p>
        </w:tc>
      </w:tr>
      <w:tr>
        <w:trPr>
          <w:trHeight w:val="402" w:hRule="exact"/>
        </w:trPr>
        <w:tc>
          <w:tcPr>
            <w:tcW w:w="1231" w:type="dxa"/>
            <w:vMerge/>
            <w:tcBorders>
              <w:left w:val="single" w:sz="4" w:space="0" w:color="000000"/>
              <w:right w:val="single" w:sz="4" w:space="0" w:color="000000"/>
            </w:tcBorders>
            <w:shd w:val="clear" w:color="auto" w:fill="D3D3D3"/>
          </w:tcPr>
          <w:p>
            <w:pPr/>
          </w:p>
        </w:tc>
        <w:tc>
          <w:tcPr>
            <w:tcW w:w="594"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5"/>
                <w:szCs w:val="25"/>
              </w:rPr>
            </w:pPr>
          </w:p>
          <w:p>
            <w:pPr>
              <w:pStyle w:val="TableParagraph"/>
              <w:spacing w:line="240" w:lineRule="auto"/>
              <w:ind w:left="112"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716" w:type="dxa"/>
            <w:gridSpan w:val="3"/>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313"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685"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319" w:lineRule="auto"/>
              <w:ind w:left="157" w:right="156"/>
              <w:jc w:val="left"/>
              <w:rPr>
                <w:rFonts w:ascii="宋体" w:hAnsi="宋体" w:cs="宋体" w:eastAsia="宋体" w:hint="default"/>
                <w:sz w:val="18"/>
                <w:szCs w:val="18"/>
              </w:rPr>
            </w:pPr>
            <w:r>
              <w:rPr>
                <w:rFonts w:ascii="宋体" w:hAnsi="宋体" w:cs="宋体" w:eastAsia="宋体" w:hint="default"/>
                <w:sz w:val="18"/>
                <w:szCs w:val="18"/>
              </w:rPr>
              <w:t>资本 公积</w:t>
            </w:r>
          </w:p>
        </w:tc>
        <w:tc>
          <w:tcPr>
            <w:tcW w:w="686"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319" w:lineRule="auto"/>
              <w:ind w:left="157" w:right="101" w:hanging="55"/>
              <w:jc w:val="left"/>
              <w:rPr>
                <w:rFonts w:ascii="宋体" w:hAnsi="宋体" w:cs="宋体" w:eastAsia="宋体" w:hint="default"/>
                <w:sz w:val="18"/>
                <w:szCs w:val="18"/>
              </w:rPr>
            </w:pPr>
            <w:r>
              <w:rPr>
                <w:rFonts w:ascii="宋体" w:hAnsi="宋体" w:cs="宋体" w:eastAsia="宋体" w:hint="default"/>
                <w:spacing w:val="-24"/>
                <w:sz w:val="18"/>
                <w:szCs w:val="18"/>
              </w:rPr>
              <w:t>减：库</w:t>
            </w:r>
            <w:r>
              <w:rPr>
                <w:rFonts w:ascii="宋体" w:hAnsi="宋体" w:cs="宋体" w:eastAsia="宋体" w:hint="default"/>
                <w:sz w:val="18"/>
                <w:szCs w:val="18"/>
              </w:rPr>
              <w:t> 存股</w:t>
            </w:r>
          </w:p>
        </w:tc>
        <w:tc>
          <w:tcPr>
            <w:tcW w:w="685"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19"/>
                <w:szCs w:val="19"/>
              </w:rPr>
            </w:pPr>
          </w:p>
          <w:p>
            <w:pPr>
              <w:pStyle w:val="TableParagraph"/>
              <w:spacing w:line="316" w:lineRule="auto"/>
              <w:ind w:left="157" w:right="156"/>
              <w:jc w:val="both"/>
              <w:rPr>
                <w:rFonts w:ascii="宋体" w:hAnsi="宋体" w:cs="宋体" w:eastAsia="宋体" w:hint="default"/>
                <w:sz w:val="18"/>
                <w:szCs w:val="18"/>
              </w:rPr>
            </w:pPr>
            <w:r>
              <w:rPr>
                <w:rFonts w:ascii="宋体" w:hAnsi="宋体" w:cs="宋体" w:eastAsia="宋体" w:hint="default"/>
                <w:sz w:val="18"/>
                <w:szCs w:val="18"/>
              </w:rPr>
              <w:t>其他 综合 收益</w:t>
            </w:r>
          </w:p>
        </w:tc>
        <w:tc>
          <w:tcPr>
            <w:tcW w:w="781"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319" w:lineRule="auto"/>
              <w:ind w:left="295" w:right="114" w:hanging="180"/>
              <w:jc w:val="left"/>
              <w:rPr>
                <w:rFonts w:ascii="宋体" w:hAnsi="宋体" w:cs="宋体" w:eastAsia="宋体" w:hint="default"/>
                <w:sz w:val="18"/>
                <w:szCs w:val="18"/>
              </w:rPr>
            </w:pPr>
            <w:r>
              <w:rPr>
                <w:rFonts w:ascii="宋体" w:hAnsi="宋体" w:cs="宋体" w:eastAsia="宋体" w:hint="default"/>
                <w:sz w:val="18"/>
                <w:szCs w:val="18"/>
              </w:rPr>
              <w:t>专项储 备</w:t>
            </w:r>
          </w:p>
        </w:tc>
        <w:tc>
          <w:tcPr>
            <w:tcW w:w="665"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319" w:lineRule="auto"/>
              <w:ind w:left="147" w:right="146"/>
              <w:jc w:val="left"/>
              <w:rPr>
                <w:rFonts w:ascii="宋体" w:hAnsi="宋体" w:cs="宋体" w:eastAsia="宋体" w:hint="default"/>
                <w:sz w:val="18"/>
                <w:szCs w:val="18"/>
              </w:rPr>
            </w:pPr>
            <w:r>
              <w:rPr>
                <w:rFonts w:ascii="宋体" w:hAnsi="宋体" w:cs="宋体" w:eastAsia="宋体" w:hint="default"/>
                <w:sz w:val="18"/>
                <w:szCs w:val="18"/>
              </w:rPr>
              <w:t>盈余 公积</w:t>
            </w:r>
          </w:p>
        </w:tc>
        <w:tc>
          <w:tcPr>
            <w:tcW w:w="798"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319" w:lineRule="auto"/>
              <w:ind w:left="214" w:right="122" w:hanging="90"/>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797"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5"/>
                <w:szCs w:val="25"/>
              </w:rPr>
            </w:pPr>
          </w:p>
          <w:p>
            <w:pPr>
              <w:pStyle w:val="TableParagraph"/>
              <w:spacing w:line="240" w:lineRule="auto"/>
              <w:ind w:left="21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930"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19"/>
                <w:szCs w:val="19"/>
              </w:rPr>
            </w:pPr>
          </w:p>
          <w:p>
            <w:pPr>
              <w:pStyle w:val="TableParagraph"/>
              <w:spacing w:line="316" w:lineRule="auto"/>
              <w:ind w:left="190" w:right="188"/>
              <w:jc w:val="center"/>
              <w:rPr>
                <w:rFonts w:ascii="宋体" w:hAnsi="宋体" w:cs="宋体" w:eastAsia="宋体" w:hint="default"/>
                <w:sz w:val="18"/>
                <w:szCs w:val="18"/>
              </w:rPr>
            </w:pPr>
            <w:r>
              <w:rPr>
                <w:rFonts w:ascii="宋体" w:hAnsi="宋体" w:cs="宋体" w:eastAsia="宋体" w:hint="default"/>
                <w:sz w:val="18"/>
                <w:szCs w:val="18"/>
              </w:rPr>
              <w:t>所有者 权益合 计</w:t>
            </w:r>
          </w:p>
        </w:tc>
      </w:tr>
      <w:tr>
        <w:trPr>
          <w:trHeight w:val="1026" w:hRule="exact"/>
        </w:trPr>
        <w:tc>
          <w:tcPr>
            <w:tcW w:w="1231" w:type="dxa"/>
            <w:vMerge/>
            <w:tcBorders>
              <w:left w:val="single" w:sz="4" w:space="0" w:color="000000"/>
              <w:bottom w:val="single" w:sz="4" w:space="0" w:color="000000"/>
              <w:right w:val="single" w:sz="4" w:space="0" w:color="000000"/>
            </w:tcBorders>
            <w:shd w:val="clear" w:color="auto" w:fill="D3D3D3"/>
          </w:tcPr>
          <w:p>
            <w:pPr/>
          </w:p>
        </w:tc>
        <w:tc>
          <w:tcPr>
            <w:tcW w:w="594" w:type="dxa"/>
            <w:vMerge/>
            <w:tcBorders>
              <w:left w:val="single" w:sz="4" w:space="0" w:color="000000"/>
              <w:bottom w:val="single" w:sz="4" w:space="0" w:color="000000"/>
              <w:right w:val="single" w:sz="4" w:space="0" w:color="000000"/>
            </w:tcBorders>
            <w:shd w:val="clear" w:color="auto" w:fill="D3D3D3"/>
          </w:tcPr>
          <w:p>
            <w:pPr/>
          </w:p>
        </w:tc>
        <w:tc>
          <w:tcPr>
            <w:tcW w:w="57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91" w:right="189"/>
              <w:jc w:val="both"/>
              <w:rPr>
                <w:rFonts w:ascii="宋体" w:hAnsi="宋体" w:cs="宋体" w:eastAsia="宋体" w:hint="default"/>
                <w:sz w:val="18"/>
                <w:szCs w:val="18"/>
              </w:rPr>
            </w:pPr>
            <w:r>
              <w:rPr>
                <w:rFonts w:ascii="宋体" w:hAnsi="宋体" w:cs="宋体" w:eastAsia="宋体" w:hint="default"/>
                <w:sz w:val="18"/>
                <w:szCs w:val="18"/>
              </w:rPr>
              <w:t>优 先 股</w:t>
            </w:r>
          </w:p>
        </w:tc>
        <w:tc>
          <w:tcPr>
            <w:tcW w:w="57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90" w:right="189"/>
              <w:jc w:val="both"/>
              <w:rPr>
                <w:rFonts w:ascii="宋体" w:hAnsi="宋体" w:cs="宋体" w:eastAsia="宋体" w:hint="default"/>
                <w:sz w:val="18"/>
                <w:szCs w:val="18"/>
              </w:rPr>
            </w:pPr>
            <w:r>
              <w:rPr>
                <w:rFonts w:ascii="宋体" w:hAnsi="宋体" w:cs="宋体" w:eastAsia="宋体" w:hint="default"/>
                <w:sz w:val="18"/>
                <w:szCs w:val="18"/>
              </w:rPr>
              <w:t>永 续 债</w:t>
            </w:r>
          </w:p>
        </w:tc>
        <w:tc>
          <w:tcPr>
            <w:tcW w:w="57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190" w:right="189"/>
              <w:jc w:val="center"/>
              <w:rPr>
                <w:rFonts w:ascii="宋体" w:hAnsi="宋体" w:cs="宋体" w:eastAsia="宋体" w:hint="default"/>
                <w:sz w:val="18"/>
                <w:szCs w:val="18"/>
              </w:rPr>
            </w:pPr>
            <w:r>
              <w:rPr>
                <w:rFonts w:ascii="宋体" w:hAnsi="宋体" w:cs="宋体" w:eastAsia="宋体" w:hint="default"/>
                <w:sz w:val="18"/>
                <w:szCs w:val="18"/>
              </w:rPr>
              <w:t>其 他</w:t>
            </w:r>
          </w:p>
        </w:tc>
        <w:tc>
          <w:tcPr>
            <w:tcW w:w="685" w:type="dxa"/>
            <w:vMerge/>
            <w:tcBorders>
              <w:left w:val="single" w:sz="4" w:space="0" w:color="000000"/>
              <w:bottom w:val="single" w:sz="4" w:space="0" w:color="000000"/>
              <w:right w:val="single" w:sz="4" w:space="0" w:color="000000"/>
            </w:tcBorders>
            <w:shd w:val="clear" w:color="auto" w:fill="D3D3D3"/>
          </w:tcPr>
          <w:p>
            <w:pPr/>
          </w:p>
        </w:tc>
        <w:tc>
          <w:tcPr>
            <w:tcW w:w="686" w:type="dxa"/>
            <w:vMerge/>
            <w:tcBorders>
              <w:left w:val="single" w:sz="4" w:space="0" w:color="000000"/>
              <w:bottom w:val="single" w:sz="4" w:space="0" w:color="000000"/>
              <w:right w:val="single" w:sz="4" w:space="0" w:color="000000"/>
            </w:tcBorders>
            <w:shd w:val="clear" w:color="auto" w:fill="D3D3D3"/>
          </w:tcPr>
          <w:p>
            <w:pPr/>
          </w:p>
        </w:tc>
        <w:tc>
          <w:tcPr>
            <w:tcW w:w="685" w:type="dxa"/>
            <w:vMerge/>
            <w:tcBorders>
              <w:left w:val="single" w:sz="4" w:space="0" w:color="000000"/>
              <w:bottom w:val="single" w:sz="4" w:space="0" w:color="000000"/>
              <w:right w:val="single" w:sz="4" w:space="0" w:color="000000"/>
            </w:tcBorders>
            <w:shd w:val="clear" w:color="auto" w:fill="D3D3D3"/>
          </w:tcPr>
          <w:p>
            <w:pPr/>
          </w:p>
        </w:tc>
        <w:tc>
          <w:tcPr>
            <w:tcW w:w="781" w:type="dxa"/>
            <w:vMerge/>
            <w:tcBorders>
              <w:left w:val="single" w:sz="4" w:space="0" w:color="000000"/>
              <w:bottom w:val="single" w:sz="4" w:space="0" w:color="000000"/>
              <w:right w:val="single" w:sz="4" w:space="0" w:color="000000"/>
            </w:tcBorders>
            <w:shd w:val="clear" w:color="auto" w:fill="D3D3D3"/>
          </w:tcPr>
          <w:p>
            <w:pPr/>
          </w:p>
        </w:tc>
        <w:tc>
          <w:tcPr>
            <w:tcW w:w="665" w:type="dxa"/>
            <w:vMerge/>
            <w:tcBorders>
              <w:left w:val="single" w:sz="4" w:space="0" w:color="000000"/>
              <w:bottom w:val="single" w:sz="4" w:space="0" w:color="000000"/>
              <w:right w:val="single" w:sz="4" w:space="0" w:color="000000"/>
            </w:tcBorders>
            <w:shd w:val="clear" w:color="auto" w:fill="D3D3D3"/>
          </w:tcPr>
          <w:p>
            <w:pPr/>
          </w:p>
        </w:tc>
        <w:tc>
          <w:tcPr>
            <w:tcW w:w="798" w:type="dxa"/>
            <w:vMerge/>
            <w:tcBorders>
              <w:left w:val="single" w:sz="4" w:space="0" w:color="000000"/>
              <w:bottom w:val="single" w:sz="4" w:space="0" w:color="000000"/>
              <w:right w:val="single" w:sz="4" w:space="0" w:color="000000"/>
            </w:tcBorders>
            <w:shd w:val="clear" w:color="auto" w:fill="D3D3D3"/>
          </w:tcPr>
          <w:p>
            <w:pPr/>
          </w:p>
        </w:tc>
        <w:tc>
          <w:tcPr>
            <w:tcW w:w="797" w:type="dxa"/>
            <w:vMerge/>
            <w:tcBorders>
              <w:left w:val="single" w:sz="4" w:space="0" w:color="000000"/>
              <w:bottom w:val="single" w:sz="4" w:space="0" w:color="000000"/>
              <w:right w:val="single" w:sz="4" w:space="0" w:color="000000"/>
            </w:tcBorders>
            <w:shd w:val="clear" w:color="auto" w:fill="D3D3D3"/>
          </w:tcPr>
          <w:p>
            <w:pPr/>
          </w:p>
        </w:tc>
        <w:tc>
          <w:tcPr>
            <w:tcW w:w="930" w:type="dxa"/>
            <w:vMerge/>
            <w:tcBorders>
              <w:left w:val="single" w:sz="4" w:space="0" w:color="000000"/>
              <w:bottom w:val="single" w:sz="4" w:space="0" w:color="000000"/>
              <w:right w:val="single" w:sz="4" w:space="0" w:color="000000"/>
            </w:tcBorders>
            <w:shd w:val="clear" w:color="auto" w:fill="D3D3D3"/>
          </w:tcPr>
          <w:p>
            <w:pPr/>
          </w:p>
        </w:tc>
      </w:tr>
      <w:tr>
        <w:trPr>
          <w:trHeight w:val="1338"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6"/>
              <w:ind w:left="102" w:right="101"/>
              <w:jc w:val="left"/>
              <w:rPr>
                <w:rFonts w:ascii="宋体" w:hAnsi="宋体" w:cs="宋体" w:eastAsia="宋体" w:hint="default"/>
                <w:sz w:val="18"/>
                <w:szCs w:val="18"/>
              </w:rPr>
            </w:pPr>
            <w:r>
              <w:rPr>
                <w:rFonts w:ascii="宋体" w:hAnsi="宋体" w:cs="宋体" w:eastAsia="宋体" w:hint="default"/>
                <w:spacing w:val="-11"/>
                <w:sz w:val="18"/>
                <w:szCs w:val="18"/>
              </w:rPr>
              <w:t>一、上年期末</w:t>
            </w:r>
            <w:r>
              <w:rPr>
                <w:rFonts w:ascii="宋体" w:hAnsi="宋体" w:cs="宋体" w:eastAsia="宋体" w:hint="default"/>
                <w:sz w:val="18"/>
                <w:szCs w:val="18"/>
              </w:rPr>
              <w:t> 余额</w:t>
            </w:r>
          </w:p>
        </w:tc>
        <w:tc>
          <w:tcPr>
            <w:tcW w:w="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3" w:right="0"/>
              <w:jc w:val="center"/>
              <w:rPr>
                <w:rFonts w:ascii="Times New Roman" w:hAnsi="Times New Roman" w:cs="Times New Roman" w:eastAsia="Times New Roman" w:hint="default"/>
                <w:sz w:val="18"/>
                <w:szCs w:val="18"/>
              </w:rPr>
            </w:pPr>
            <w:r>
              <w:rPr>
                <w:rFonts w:ascii="Times New Roman"/>
                <w:sz w:val="18"/>
              </w:rPr>
              <w:t>712,</w:t>
            </w:r>
          </w:p>
          <w:p>
            <w:pPr>
              <w:pStyle w:val="TableParagraph"/>
              <w:spacing w:line="240" w:lineRule="auto" w:before="105"/>
              <w:ind w:left="63" w:right="0"/>
              <w:jc w:val="center"/>
              <w:rPr>
                <w:rFonts w:ascii="Times New Roman" w:hAnsi="Times New Roman" w:cs="Times New Roman" w:eastAsia="Times New Roman" w:hint="default"/>
                <w:sz w:val="18"/>
                <w:szCs w:val="18"/>
              </w:rPr>
            </w:pPr>
            <w:r>
              <w:rPr>
                <w:rFonts w:ascii="Times New Roman"/>
                <w:sz w:val="18"/>
              </w:rPr>
              <w:t>028,</w:t>
            </w:r>
          </w:p>
          <w:p>
            <w:pPr>
              <w:pStyle w:val="TableParagraph"/>
              <w:spacing w:line="240" w:lineRule="auto" w:before="105"/>
              <w:ind w:left="63" w:right="0"/>
              <w:jc w:val="center"/>
              <w:rPr>
                <w:rFonts w:ascii="Times New Roman" w:hAnsi="Times New Roman" w:cs="Times New Roman" w:eastAsia="Times New Roman" w:hint="default"/>
                <w:sz w:val="18"/>
                <w:szCs w:val="18"/>
              </w:rPr>
            </w:pPr>
            <w:r>
              <w:rPr>
                <w:rFonts w:ascii="Times New Roman"/>
                <w:sz w:val="18"/>
              </w:rPr>
              <w:t>800.</w:t>
            </w:r>
          </w:p>
          <w:p>
            <w:pPr>
              <w:pStyle w:val="TableParagraph"/>
              <w:spacing w:line="240" w:lineRule="auto" w:before="105"/>
              <w:ind w:left="198" w:right="0"/>
              <w:jc w:val="center"/>
              <w:rPr>
                <w:rFonts w:ascii="Times New Roman" w:hAnsi="Times New Roman" w:cs="Times New Roman" w:eastAsia="Times New Roman" w:hint="default"/>
                <w:sz w:val="18"/>
                <w:szCs w:val="18"/>
              </w:rPr>
            </w:pPr>
            <w:r>
              <w:rPr>
                <w:rFonts w:ascii="Times New Roman"/>
                <w:sz w:val="18"/>
              </w:rPr>
              <w:t>00</w:t>
            </w: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67" w:right="0"/>
              <w:jc w:val="left"/>
              <w:rPr>
                <w:rFonts w:ascii="Times New Roman" w:hAnsi="Times New Roman" w:cs="Times New Roman" w:eastAsia="Times New Roman" w:hint="default"/>
                <w:sz w:val="18"/>
                <w:szCs w:val="18"/>
              </w:rPr>
            </w:pPr>
            <w:r>
              <w:rPr>
                <w:rFonts w:ascii="Times New Roman"/>
                <w:sz w:val="18"/>
              </w:rPr>
              <w:t>89,30</w:t>
            </w:r>
          </w:p>
          <w:p>
            <w:pPr>
              <w:pStyle w:val="TableParagraph"/>
              <w:spacing w:line="240" w:lineRule="auto" w:before="105"/>
              <w:ind w:left="122" w:right="0"/>
              <w:jc w:val="left"/>
              <w:rPr>
                <w:rFonts w:ascii="Times New Roman" w:hAnsi="Times New Roman" w:cs="Times New Roman" w:eastAsia="Times New Roman" w:hint="default"/>
                <w:sz w:val="18"/>
                <w:szCs w:val="18"/>
              </w:rPr>
            </w:pPr>
            <w:r>
              <w:rPr>
                <w:rFonts w:ascii="Times New Roman"/>
                <w:sz w:val="18"/>
              </w:rPr>
              <w:t>3,021.</w:t>
            </w:r>
          </w:p>
          <w:p>
            <w:pPr>
              <w:pStyle w:val="TableParagraph"/>
              <w:spacing w:line="240" w:lineRule="auto" w:before="105"/>
              <w:ind w:left="392" w:right="0"/>
              <w:jc w:val="left"/>
              <w:rPr>
                <w:rFonts w:ascii="Times New Roman" w:hAnsi="Times New Roman" w:cs="Times New Roman" w:eastAsia="Times New Roman" w:hint="default"/>
                <w:sz w:val="18"/>
                <w:szCs w:val="18"/>
              </w:rPr>
            </w:pPr>
            <w:r>
              <w:rPr>
                <w:rFonts w:ascii="Times New Roman"/>
                <w:sz w:val="18"/>
              </w:rPr>
              <w:t>56</w:t>
            </w: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7" w:right="0"/>
              <w:jc w:val="left"/>
              <w:rPr>
                <w:rFonts w:ascii="Times New Roman" w:hAnsi="Times New Roman" w:cs="Times New Roman" w:eastAsia="Times New Roman" w:hint="default"/>
                <w:sz w:val="18"/>
                <w:szCs w:val="18"/>
              </w:rPr>
            </w:pPr>
            <w:r>
              <w:rPr>
                <w:rFonts w:ascii="Times New Roman"/>
                <w:sz w:val="18"/>
              </w:rPr>
              <w:t>192,7</w:t>
            </w:r>
          </w:p>
          <w:p>
            <w:pPr>
              <w:pStyle w:val="TableParagraph"/>
              <w:spacing w:line="240" w:lineRule="auto" w:before="105"/>
              <w:ind w:left="147" w:right="0"/>
              <w:jc w:val="left"/>
              <w:rPr>
                <w:rFonts w:ascii="Times New Roman" w:hAnsi="Times New Roman" w:cs="Times New Roman" w:eastAsia="Times New Roman" w:hint="default"/>
                <w:sz w:val="18"/>
                <w:szCs w:val="18"/>
              </w:rPr>
            </w:pPr>
            <w:r>
              <w:rPr>
                <w:rFonts w:ascii="Times New Roman"/>
                <w:sz w:val="18"/>
              </w:rPr>
              <w:t>84,58</w:t>
            </w:r>
          </w:p>
          <w:p>
            <w:pPr>
              <w:pStyle w:val="TableParagraph"/>
              <w:spacing w:line="240" w:lineRule="auto" w:before="105"/>
              <w:ind w:left="237" w:right="0"/>
              <w:jc w:val="left"/>
              <w:rPr>
                <w:rFonts w:ascii="Times New Roman" w:hAnsi="Times New Roman" w:cs="Times New Roman" w:eastAsia="Times New Roman" w:hint="default"/>
                <w:sz w:val="18"/>
                <w:szCs w:val="18"/>
              </w:rPr>
            </w:pPr>
            <w:r>
              <w:rPr>
                <w:rFonts w:ascii="Times New Roman"/>
                <w:sz w:val="18"/>
              </w:rPr>
              <w:t>5.72</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836,98</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3,270.9</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1</w:t>
            </w: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87" w:right="0"/>
              <w:jc w:val="left"/>
              <w:rPr>
                <w:rFonts w:ascii="Times New Roman" w:hAnsi="Times New Roman" w:cs="Times New Roman" w:eastAsia="Times New Roman" w:hint="default"/>
                <w:sz w:val="18"/>
                <w:szCs w:val="18"/>
              </w:rPr>
            </w:pPr>
            <w:r>
              <w:rPr>
                <w:rFonts w:ascii="Times New Roman"/>
                <w:sz w:val="18"/>
              </w:rPr>
              <w:t>1,831,09</w:t>
            </w:r>
          </w:p>
          <w:p>
            <w:pPr>
              <w:pStyle w:val="TableParagraph"/>
              <w:spacing w:line="240" w:lineRule="auto" w:before="105"/>
              <w:ind w:left="187" w:right="0"/>
              <w:jc w:val="left"/>
              <w:rPr>
                <w:rFonts w:ascii="Times New Roman" w:hAnsi="Times New Roman" w:cs="Times New Roman" w:eastAsia="Times New Roman" w:hint="default"/>
                <w:sz w:val="18"/>
                <w:szCs w:val="18"/>
              </w:rPr>
            </w:pPr>
            <w:r>
              <w:rPr>
                <w:rFonts w:ascii="Times New Roman"/>
                <w:sz w:val="18"/>
              </w:rPr>
              <w:t>9,678.19</w:t>
            </w:r>
          </w:p>
        </w:tc>
      </w:tr>
      <w:tr>
        <w:trPr>
          <w:trHeight w:val="714"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02" w:right="101" w:firstLine="360"/>
              <w:jc w:val="left"/>
              <w:rPr>
                <w:rFonts w:ascii="宋体" w:hAnsi="宋体" w:cs="宋体" w:eastAsia="宋体" w:hint="default"/>
                <w:sz w:val="18"/>
                <w:szCs w:val="18"/>
              </w:rPr>
            </w:pPr>
            <w:r>
              <w:rPr>
                <w:rFonts w:ascii="宋体" w:hAnsi="宋体" w:cs="宋体" w:eastAsia="宋体" w:hint="default"/>
                <w:spacing w:val="-17"/>
                <w:sz w:val="18"/>
                <w:szCs w:val="18"/>
              </w:rPr>
              <w:t>加：会计</w:t>
            </w:r>
            <w:r>
              <w:rPr>
                <w:rFonts w:ascii="宋体" w:hAnsi="宋体" w:cs="宋体" w:eastAsia="宋体" w:hint="default"/>
                <w:sz w:val="18"/>
                <w:szCs w:val="18"/>
              </w:rPr>
              <w:t> 政策变更</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0"/>
              <w:ind w:left="102" w:right="216" w:firstLine="720"/>
              <w:jc w:val="left"/>
              <w:rPr>
                <w:rFonts w:ascii="宋体" w:hAnsi="宋体" w:cs="宋体" w:eastAsia="宋体" w:hint="default"/>
                <w:sz w:val="18"/>
                <w:szCs w:val="18"/>
              </w:rPr>
            </w:pPr>
            <w:r>
              <w:rPr>
                <w:rFonts w:ascii="宋体" w:hAnsi="宋体" w:cs="宋体" w:eastAsia="宋体" w:hint="default"/>
                <w:sz w:val="18"/>
                <w:szCs w:val="18"/>
              </w:rPr>
              <w:t>前 期差错更正</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216"/>
              <w:jc w:val="right"/>
              <w:rPr>
                <w:rFonts w:ascii="宋体" w:hAnsi="宋体" w:cs="宋体" w:eastAsia="宋体" w:hint="default"/>
                <w:sz w:val="18"/>
                <w:szCs w:val="18"/>
              </w:rPr>
            </w:pPr>
            <w:r>
              <w:rPr>
                <w:rFonts w:ascii="宋体" w:hAnsi="宋体" w:cs="宋体" w:eastAsia="宋体" w:hint="default"/>
                <w:sz w:val="18"/>
                <w:szCs w:val="18"/>
              </w:rPr>
              <w:t>其</w:t>
            </w:r>
          </w:p>
          <w:p>
            <w:pPr>
              <w:pStyle w:val="TableParagraph"/>
              <w:spacing w:line="240" w:lineRule="auto" w:before="76"/>
              <w:ind w:left="102" w:right="0"/>
              <w:jc w:val="left"/>
              <w:rPr>
                <w:rFonts w:ascii="宋体" w:hAnsi="宋体" w:cs="宋体" w:eastAsia="宋体" w:hint="default"/>
                <w:sz w:val="18"/>
                <w:szCs w:val="18"/>
              </w:rPr>
            </w:pPr>
            <w:r>
              <w:rPr>
                <w:rFonts w:ascii="宋体" w:hAnsi="宋体" w:cs="宋体" w:eastAsia="宋体" w:hint="default"/>
                <w:sz w:val="18"/>
                <w:szCs w:val="18"/>
              </w:rPr>
              <w:t>他</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1337"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6"/>
              <w:ind w:left="102" w:right="101"/>
              <w:jc w:val="left"/>
              <w:rPr>
                <w:rFonts w:ascii="宋体" w:hAnsi="宋体" w:cs="宋体" w:eastAsia="宋体" w:hint="default"/>
                <w:sz w:val="18"/>
                <w:szCs w:val="18"/>
              </w:rPr>
            </w:pPr>
            <w:r>
              <w:rPr>
                <w:rFonts w:ascii="宋体" w:hAnsi="宋体" w:cs="宋体" w:eastAsia="宋体" w:hint="default"/>
                <w:spacing w:val="-11"/>
                <w:sz w:val="18"/>
                <w:szCs w:val="18"/>
              </w:rPr>
              <w:t>二、本年期初</w:t>
            </w:r>
            <w:r>
              <w:rPr>
                <w:rFonts w:ascii="宋体" w:hAnsi="宋体" w:cs="宋体" w:eastAsia="宋体" w:hint="default"/>
                <w:sz w:val="18"/>
                <w:szCs w:val="18"/>
              </w:rPr>
              <w:t> 余额</w:t>
            </w:r>
          </w:p>
        </w:tc>
        <w:tc>
          <w:tcPr>
            <w:tcW w:w="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3" w:right="0"/>
              <w:jc w:val="center"/>
              <w:rPr>
                <w:rFonts w:ascii="Times New Roman" w:hAnsi="Times New Roman" w:cs="Times New Roman" w:eastAsia="Times New Roman" w:hint="default"/>
                <w:sz w:val="18"/>
                <w:szCs w:val="18"/>
              </w:rPr>
            </w:pPr>
            <w:r>
              <w:rPr>
                <w:rFonts w:ascii="Times New Roman"/>
                <w:sz w:val="18"/>
              </w:rPr>
              <w:t>712,</w:t>
            </w:r>
          </w:p>
          <w:p>
            <w:pPr>
              <w:pStyle w:val="TableParagraph"/>
              <w:spacing w:line="240" w:lineRule="auto" w:before="105"/>
              <w:ind w:left="63" w:right="0"/>
              <w:jc w:val="center"/>
              <w:rPr>
                <w:rFonts w:ascii="Times New Roman" w:hAnsi="Times New Roman" w:cs="Times New Roman" w:eastAsia="Times New Roman" w:hint="default"/>
                <w:sz w:val="18"/>
                <w:szCs w:val="18"/>
              </w:rPr>
            </w:pPr>
            <w:r>
              <w:rPr>
                <w:rFonts w:ascii="Times New Roman"/>
                <w:sz w:val="18"/>
              </w:rPr>
              <w:t>028,</w:t>
            </w:r>
          </w:p>
          <w:p>
            <w:pPr>
              <w:pStyle w:val="TableParagraph"/>
              <w:spacing w:line="240" w:lineRule="auto" w:before="105"/>
              <w:ind w:left="63" w:right="0"/>
              <w:jc w:val="center"/>
              <w:rPr>
                <w:rFonts w:ascii="Times New Roman" w:hAnsi="Times New Roman" w:cs="Times New Roman" w:eastAsia="Times New Roman" w:hint="default"/>
                <w:sz w:val="18"/>
                <w:szCs w:val="18"/>
              </w:rPr>
            </w:pPr>
            <w:r>
              <w:rPr>
                <w:rFonts w:ascii="Times New Roman"/>
                <w:sz w:val="18"/>
              </w:rPr>
              <w:t>800.</w:t>
            </w:r>
          </w:p>
          <w:p>
            <w:pPr>
              <w:pStyle w:val="TableParagraph"/>
              <w:spacing w:line="240" w:lineRule="auto" w:before="105"/>
              <w:ind w:left="198" w:right="0"/>
              <w:jc w:val="center"/>
              <w:rPr>
                <w:rFonts w:ascii="Times New Roman" w:hAnsi="Times New Roman" w:cs="Times New Roman" w:eastAsia="Times New Roman" w:hint="default"/>
                <w:sz w:val="18"/>
                <w:szCs w:val="18"/>
              </w:rPr>
            </w:pPr>
            <w:r>
              <w:rPr>
                <w:rFonts w:ascii="Times New Roman"/>
                <w:sz w:val="18"/>
              </w:rPr>
              <w:t>00</w:t>
            </w: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67" w:right="0"/>
              <w:jc w:val="left"/>
              <w:rPr>
                <w:rFonts w:ascii="Times New Roman" w:hAnsi="Times New Roman" w:cs="Times New Roman" w:eastAsia="Times New Roman" w:hint="default"/>
                <w:sz w:val="18"/>
                <w:szCs w:val="18"/>
              </w:rPr>
            </w:pPr>
            <w:r>
              <w:rPr>
                <w:rFonts w:ascii="Times New Roman"/>
                <w:sz w:val="18"/>
              </w:rPr>
              <w:t>89,30</w:t>
            </w:r>
          </w:p>
          <w:p>
            <w:pPr>
              <w:pStyle w:val="TableParagraph"/>
              <w:spacing w:line="240" w:lineRule="auto" w:before="105"/>
              <w:ind w:left="122" w:right="0"/>
              <w:jc w:val="left"/>
              <w:rPr>
                <w:rFonts w:ascii="Times New Roman" w:hAnsi="Times New Roman" w:cs="Times New Roman" w:eastAsia="Times New Roman" w:hint="default"/>
                <w:sz w:val="18"/>
                <w:szCs w:val="18"/>
              </w:rPr>
            </w:pPr>
            <w:r>
              <w:rPr>
                <w:rFonts w:ascii="Times New Roman"/>
                <w:sz w:val="18"/>
              </w:rPr>
              <w:t>3,021.</w:t>
            </w:r>
          </w:p>
          <w:p>
            <w:pPr>
              <w:pStyle w:val="TableParagraph"/>
              <w:spacing w:line="240" w:lineRule="auto" w:before="105"/>
              <w:ind w:left="392" w:right="0"/>
              <w:jc w:val="left"/>
              <w:rPr>
                <w:rFonts w:ascii="Times New Roman" w:hAnsi="Times New Roman" w:cs="Times New Roman" w:eastAsia="Times New Roman" w:hint="default"/>
                <w:sz w:val="18"/>
                <w:szCs w:val="18"/>
              </w:rPr>
            </w:pPr>
            <w:r>
              <w:rPr>
                <w:rFonts w:ascii="Times New Roman"/>
                <w:sz w:val="18"/>
              </w:rPr>
              <w:t>56</w:t>
            </w: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7" w:right="0"/>
              <w:jc w:val="left"/>
              <w:rPr>
                <w:rFonts w:ascii="Times New Roman" w:hAnsi="Times New Roman" w:cs="Times New Roman" w:eastAsia="Times New Roman" w:hint="default"/>
                <w:sz w:val="18"/>
                <w:szCs w:val="18"/>
              </w:rPr>
            </w:pPr>
            <w:r>
              <w:rPr>
                <w:rFonts w:ascii="Times New Roman"/>
                <w:sz w:val="18"/>
              </w:rPr>
              <w:t>192,7</w:t>
            </w:r>
          </w:p>
          <w:p>
            <w:pPr>
              <w:pStyle w:val="TableParagraph"/>
              <w:spacing w:line="240" w:lineRule="auto" w:before="105"/>
              <w:ind w:left="147" w:right="0"/>
              <w:jc w:val="left"/>
              <w:rPr>
                <w:rFonts w:ascii="Times New Roman" w:hAnsi="Times New Roman" w:cs="Times New Roman" w:eastAsia="Times New Roman" w:hint="default"/>
                <w:sz w:val="18"/>
                <w:szCs w:val="18"/>
              </w:rPr>
            </w:pPr>
            <w:r>
              <w:rPr>
                <w:rFonts w:ascii="Times New Roman"/>
                <w:sz w:val="18"/>
              </w:rPr>
              <w:t>84,58</w:t>
            </w:r>
          </w:p>
          <w:p>
            <w:pPr>
              <w:pStyle w:val="TableParagraph"/>
              <w:spacing w:line="240" w:lineRule="auto" w:before="105"/>
              <w:ind w:left="237" w:right="0"/>
              <w:jc w:val="left"/>
              <w:rPr>
                <w:rFonts w:ascii="Times New Roman" w:hAnsi="Times New Roman" w:cs="Times New Roman" w:eastAsia="Times New Roman" w:hint="default"/>
                <w:sz w:val="18"/>
                <w:szCs w:val="18"/>
              </w:rPr>
            </w:pPr>
            <w:r>
              <w:rPr>
                <w:rFonts w:ascii="Times New Roman"/>
                <w:sz w:val="18"/>
              </w:rPr>
              <w:t>5.72</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836,98</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3,270.9</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1</w:t>
            </w: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87" w:right="0"/>
              <w:jc w:val="left"/>
              <w:rPr>
                <w:rFonts w:ascii="Times New Roman" w:hAnsi="Times New Roman" w:cs="Times New Roman" w:eastAsia="Times New Roman" w:hint="default"/>
                <w:sz w:val="18"/>
                <w:szCs w:val="18"/>
              </w:rPr>
            </w:pPr>
            <w:r>
              <w:rPr>
                <w:rFonts w:ascii="Times New Roman"/>
                <w:sz w:val="18"/>
              </w:rPr>
              <w:t>1,831,09</w:t>
            </w:r>
          </w:p>
          <w:p>
            <w:pPr>
              <w:pStyle w:val="TableParagraph"/>
              <w:spacing w:line="240" w:lineRule="auto" w:before="105"/>
              <w:ind w:left="187" w:right="0"/>
              <w:jc w:val="left"/>
              <w:rPr>
                <w:rFonts w:ascii="Times New Roman" w:hAnsi="Times New Roman" w:cs="Times New Roman" w:eastAsia="Times New Roman" w:hint="default"/>
                <w:sz w:val="18"/>
                <w:szCs w:val="18"/>
              </w:rPr>
            </w:pPr>
            <w:r>
              <w:rPr>
                <w:rFonts w:ascii="Times New Roman"/>
                <w:sz w:val="18"/>
              </w:rPr>
              <w:t>9,678.19</w:t>
            </w:r>
          </w:p>
        </w:tc>
      </w:tr>
    </w:tbl>
    <w:p>
      <w:pPr>
        <w:spacing w:after="0" w:line="240" w:lineRule="auto"/>
        <w:jc w:val="left"/>
        <w:rPr>
          <w:rFonts w:ascii="Times New Roman" w:hAnsi="Times New Roman" w:cs="Times New Roman" w:eastAsia="Times New Roman" w:hint="default"/>
          <w:sz w:val="18"/>
          <w:szCs w:val="18"/>
        </w:rPr>
        <w:sectPr>
          <w:pgSz w:w="11910" w:h="16840"/>
          <w:pgMar w:header="906" w:footer="1018" w:top="1100" w:bottom="1200" w:left="1020" w:right="0"/>
        </w:sectPr>
      </w:pPr>
    </w:p>
    <w:p>
      <w:pPr>
        <w:spacing w:line="240" w:lineRule="auto" w:before="0"/>
        <w:rPr>
          <w:rFonts w:ascii="Times New Roman" w:hAnsi="Times New Roman" w:cs="Times New Roman" w:eastAsia="Times New Roman" w:hint="default"/>
          <w:sz w:val="29"/>
          <w:szCs w:val="29"/>
        </w:rPr>
      </w:pPr>
    </w:p>
    <w:tbl>
      <w:tblPr>
        <w:tblW w:w="0" w:type="auto"/>
        <w:jc w:val="left"/>
        <w:tblInd w:w="109" w:type="dxa"/>
        <w:tblLayout w:type="fixed"/>
        <w:tblCellMar>
          <w:top w:w="0" w:type="dxa"/>
          <w:left w:w="0" w:type="dxa"/>
          <w:bottom w:w="0" w:type="dxa"/>
          <w:right w:w="0" w:type="dxa"/>
        </w:tblCellMar>
        <w:tblLook w:val="01E0"/>
      </w:tblPr>
      <w:tblGrid>
        <w:gridCol w:w="1231"/>
        <w:gridCol w:w="594"/>
        <w:gridCol w:w="572"/>
        <w:gridCol w:w="572"/>
        <w:gridCol w:w="572"/>
        <w:gridCol w:w="685"/>
        <w:gridCol w:w="686"/>
        <w:gridCol w:w="685"/>
        <w:gridCol w:w="781"/>
        <w:gridCol w:w="665"/>
        <w:gridCol w:w="798"/>
        <w:gridCol w:w="797"/>
        <w:gridCol w:w="930"/>
      </w:tblGrid>
      <w:tr>
        <w:trPr>
          <w:trHeight w:val="1338"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02" w:right="101"/>
              <w:jc w:val="both"/>
              <w:rPr>
                <w:rFonts w:ascii="宋体" w:hAnsi="宋体" w:cs="宋体" w:eastAsia="宋体" w:hint="default"/>
                <w:sz w:val="18"/>
                <w:szCs w:val="18"/>
              </w:rPr>
            </w:pPr>
            <w:r>
              <w:rPr>
                <w:rFonts w:ascii="宋体" w:hAnsi="宋体" w:cs="宋体" w:eastAsia="宋体" w:hint="default"/>
                <w:spacing w:val="-11"/>
                <w:sz w:val="18"/>
                <w:szCs w:val="18"/>
              </w:rPr>
              <w:t>三、本期增减</w:t>
            </w:r>
            <w:r>
              <w:rPr>
                <w:rFonts w:ascii="宋体" w:hAnsi="宋体" w:cs="宋体" w:eastAsia="宋体" w:hint="default"/>
                <w:sz w:val="18"/>
                <w:szCs w:val="18"/>
              </w:rPr>
              <w:t> </w:t>
            </w:r>
            <w:r>
              <w:rPr>
                <w:rFonts w:ascii="宋体" w:hAnsi="宋体" w:cs="宋体" w:eastAsia="宋体" w:hint="default"/>
                <w:spacing w:val="-11"/>
                <w:sz w:val="18"/>
                <w:szCs w:val="18"/>
              </w:rPr>
              <w:t>变动金额（减</w:t>
            </w:r>
            <w:r>
              <w:rPr>
                <w:rFonts w:ascii="宋体" w:hAnsi="宋体" w:cs="宋体" w:eastAsia="宋体" w:hint="default"/>
                <w:sz w:val="18"/>
                <w:szCs w:val="18"/>
              </w:rPr>
              <w:t> </w:t>
            </w:r>
            <w:r>
              <w:rPr>
                <w:rFonts w:ascii="宋体" w:hAnsi="宋体" w:cs="宋体" w:eastAsia="宋体" w:hint="default"/>
                <w:spacing w:val="-11"/>
                <w:sz w:val="18"/>
                <w:szCs w:val="18"/>
              </w:rPr>
              <w:t>少以“－”号</w:t>
            </w:r>
            <w:r>
              <w:rPr>
                <w:rFonts w:ascii="宋体" w:hAnsi="宋体" w:cs="宋体" w:eastAsia="宋体" w:hint="default"/>
                <w:sz w:val="18"/>
                <w:szCs w:val="18"/>
              </w:rPr>
              <w:t> 填列）</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68" w:right="0"/>
              <w:jc w:val="left"/>
              <w:rPr>
                <w:rFonts w:ascii="Times New Roman" w:hAnsi="Times New Roman" w:cs="Times New Roman" w:eastAsia="Times New Roman" w:hint="default"/>
                <w:sz w:val="18"/>
                <w:szCs w:val="18"/>
              </w:rPr>
            </w:pPr>
            <w:r>
              <w:rPr>
                <w:rFonts w:ascii="Times New Roman"/>
                <w:sz w:val="18"/>
              </w:rPr>
              <w:t>46,01</w:t>
            </w:r>
          </w:p>
          <w:p>
            <w:pPr>
              <w:pStyle w:val="TableParagraph"/>
              <w:spacing w:line="240" w:lineRule="auto" w:before="105"/>
              <w:ind w:left="123" w:right="0"/>
              <w:jc w:val="left"/>
              <w:rPr>
                <w:rFonts w:ascii="Times New Roman" w:hAnsi="Times New Roman" w:cs="Times New Roman" w:eastAsia="Times New Roman" w:hint="default"/>
                <w:sz w:val="18"/>
                <w:szCs w:val="18"/>
              </w:rPr>
            </w:pPr>
            <w:r>
              <w:rPr>
                <w:rFonts w:ascii="Times New Roman"/>
                <w:sz w:val="18"/>
              </w:rPr>
              <w:t>0,428.</w:t>
            </w:r>
          </w:p>
          <w:p>
            <w:pPr>
              <w:pStyle w:val="TableParagraph"/>
              <w:spacing w:line="240" w:lineRule="auto" w:before="105"/>
              <w:ind w:left="393" w:right="0"/>
              <w:jc w:val="left"/>
              <w:rPr>
                <w:rFonts w:ascii="Times New Roman" w:hAnsi="Times New Roman" w:cs="Times New Roman" w:eastAsia="Times New Roman" w:hint="default"/>
                <w:sz w:val="18"/>
                <w:szCs w:val="18"/>
              </w:rPr>
            </w:pPr>
            <w:r>
              <w:rPr>
                <w:rFonts w:ascii="Times New Roman"/>
                <w:sz w:val="18"/>
              </w:rPr>
              <w:t>76</w:t>
            </w: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3" w:right="0"/>
              <w:jc w:val="center"/>
              <w:rPr>
                <w:rFonts w:ascii="Times New Roman" w:hAnsi="Times New Roman" w:cs="Times New Roman" w:eastAsia="Times New Roman" w:hint="default"/>
                <w:sz w:val="18"/>
                <w:szCs w:val="18"/>
              </w:rPr>
            </w:pPr>
            <w:r>
              <w:rPr>
                <w:rFonts w:ascii="Times New Roman"/>
                <w:sz w:val="18"/>
              </w:rPr>
              <w:t>14,73</w:t>
            </w:r>
          </w:p>
          <w:p>
            <w:pPr>
              <w:pStyle w:val="TableParagraph"/>
              <w:spacing w:line="240" w:lineRule="auto" w:before="105"/>
              <w:ind w:left="43" w:right="0"/>
              <w:jc w:val="center"/>
              <w:rPr>
                <w:rFonts w:ascii="Times New Roman" w:hAnsi="Times New Roman" w:cs="Times New Roman" w:eastAsia="Times New Roman" w:hint="default"/>
                <w:sz w:val="18"/>
                <w:szCs w:val="18"/>
              </w:rPr>
            </w:pPr>
            <w:r>
              <w:rPr>
                <w:rFonts w:ascii="Times New Roman"/>
                <w:sz w:val="18"/>
              </w:rPr>
              <w:t>2,089</w:t>
            </w:r>
          </w:p>
          <w:p>
            <w:pPr>
              <w:pStyle w:val="TableParagraph"/>
              <w:spacing w:line="240" w:lineRule="auto" w:before="105"/>
              <w:ind w:left="223" w:right="0"/>
              <w:jc w:val="center"/>
              <w:rPr>
                <w:rFonts w:ascii="Times New Roman" w:hAnsi="Times New Roman" w:cs="Times New Roman" w:eastAsia="Times New Roman" w:hint="default"/>
                <w:sz w:val="18"/>
                <w:szCs w:val="18"/>
              </w:rPr>
            </w:pPr>
            <w:r>
              <w:rPr>
                <w:rFonts w:ascii="Times New Roman"/>
                <w:sz w:val="18"/>
              </w:rPr>
              <w:t>.08</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132,58</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8,801.7</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5</w:t>
            </w: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83" w:right="0"/>
              <w:jc w:val="center"/>
              <w:rPr>
                <w:rFonts w:ascii="Times New Roman" w:hAnsi="Times New Roman" w:cs="Times New Roman" w:eastAsia="Times New Roman" w:hint="default"/>
                <w:sz w:val="18"/>
                <w:szCs w:val="18"/>
              </w:rPr>
            </w:pPr>
            <w:r>
              <w:rPr>
                <w:rFonts w:ascii="Times New Roman"/>
                <w:sz w:val="18"/>
              </w:rPr>
              <w:t>101,310,</w:t>
            </w:r>
          </w:p>
          <w:p>
            <w:pPr>
              <w:pStyle w:val="TableParagraph"/>
              <w:spacing w:line="240" w:lineRule="auto" w:before="105"/>
              <w:ind w:left="218" w:right="0"/>
              <w:jc w:val="center"/>
              <w:rPr>
                <w:rFonts w:ascii="Times New Roman" w:hAnsi="Times New Roman" w:cs="Times New Roman" w:eastAsia="Times New Roman" w:hint="default"/>
                <w:sz w:val="18"/>
                <w:szCs w:val="18"/>
              </w:rPr>
            </w:pPr>
            <w:r>
              <w:rPr>
                <w:rFonts w:ascii="Times New Roman"/>
                <w:sz w:val="18"/>
              </w:rPr>
              <w:t>462.07</w:t>
            </w:r>
          </w:p>
        </w:tc>
      </w:tr>
      <w:tr>
        <w:trPr>
          <w:trHeight w:val="1026"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316" w:lineRule="auto"/>
              <w:ind w:left="102" w:right="101"/>
              <w:jc w:val="left"/>
              <w:rPr>
                <w:rFonts w:ascii="宋体" w:hAnsi="宋体" w:cs="宋体" w:eastAsia="宋体" w:hint="default"/>
                <w:sz w:val="18"/>
                <w:szCs w:val="18"/>
              </w:rPr>
            </w:pPr>
            <w:r>
              <w:rPr>
                <w:rFonts w:ascii="宋体" w:hAnsi="宋体" w:cs="宋体" w:eastAsia="宋体" w:hint="default"/>
                <w:spacing w:val="-11"/>
                <w:sz w:val="18"/>
                <w:szCs w:val="18"/>
              </w:rPr>
              <w:t>（一）综合收</w:t>
            </w:r>
            <w:r>
              <w:rPr>
                <w:rFonts w:ascii="宋体" w:hAnsi="宋体" w:cs="宋体" w:eastAsia="宋体" w:hint="default"/>
                <w:sz w:val="18"/>
                <w:szCs w:val="18"/>
              </w:rPr>
              <w:t> 益总额</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147,32</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0,890.8</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3</w:t>
            </w: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83" w:right="0"/>
              <w:jc w:val="center"/>
              <w:rPr>
                <w:rFonts w:ascii="Times New Roman" w:hAnsi="Times New Roman" w:cs="Times New Roman" w:eastAsia="Times New Roman" w:hint="default"/>
                <w:sz w:val="18"/>
                <w:szCs w:val="18"/>
              </w:rPr>
            </w:pPr>
            <w:r>
              <w:rPr>
                <w:rFonts w:ascii="Times New Roman"/>
                <w:sz w:val="18"/>
              </w:rPr>
              <w:t>147,320,</w:t>
            </w:r>
          </w:p>
          <w:p>
            <w:pPr>
              <w:pStyle w:val="TableParagraph"/>
              <w:spacing w:line="240" w:lineRule="auto" w:before="105"/>
              <w:ind w:left="218" w:right="0"/>
              <w:jc w:val="center"/>
              <w:rPr>
                <w:rFonts w:ascii="Times New Roman" w:hAnsi="Times New Roman" w:cs="Times New Roman" w:eastAsia="Times New Roman" w:hint="default"/>
                <w:sz w:val="18"/>
                <w:szCs w:val="18"/>
              </w:rPr>
            </w:pPr>
            <w:r>
              <w:rPr>
                <w:rFonts w:ascii="Times New Roman"/>
                <w:sz w:val="18"/>
              </w:rPr>
              <w:t>890.83</w:t>
            </w:r>
          </w:p>
        </w:tc>
      </w:tr>
      <w:tr>
        <w:trPr>
          <w:trHeight w:val="1026"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02" w:right="101"/>
              <w:jc w:val="left"/>
              <w:rPr>
                <w:rFonts w:ascii="宋体" w:hAnsi="宋体" w:cs="宋体" w:eastAsia="宋体" w:hint="default"/>
                <w:sz w:val="18"/>
                <w:szCs w:val="18"/>
              </w:rPr>
            </w:pPr>
            <w:r>
              <w:rPr>
                <w:rFonts w:ascii="宋体" w:hAnsi="宋体" w:cs="宋体" w:eastAsia="宋体" w:hint="default"/>
                <w:spacing w:val="-11"/>
                <w:sz w:val="18"/>
                <w:szCs w:val="18"/>
              </w:rPr>
              <w:t>（二）所有者</w:t>
            </w:r>
            <w:r>
              <w:rPr>
                <w:rFonts w:ascii="宋体" w:hAnsi="宋体" w:cs="宋体" w:eastAsia="宋体" w:hint="default"/>
                <w:sz w:val="18"/>
                <w:szCs w:val="18"/>
              </w:rPr>
              <w:t> 投入和减少 资本</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68" w:right="0"/>
              <w:jc w:val="left"/>
              <w:rPr>
                <w:rFonts w:ascii="Times New Roman" w:hAnsi="Times New Roman" w:cs="Times New Roman" w:eastAsia="Times New Roman" w:hint="default"/>
                <w:sz w:val="18"/>
                <w:szCs w:val="18"/>
              </w:rPr>
            </w:pPr>
            <w:r>
              <w:rPr>
                <w:rFonts w:ascii="Times New Roman"/>
                <w:sz w:val="18"/>
              </w:rPr>
              <w:t>46,01</w:t>
            </w:r>
          </w:p>
          <w:p>
            <w:pPr>
              <w:pStyle w:val="TableParagraph"/>
              <w:spacing w:line="240" w:lineRule="auto" w:before="105"/>
              <w:ind w:left="123" w:right="0"/>
              <w:jc w:val="left"/>
              <w:rPr>
                <w:rFonts w:ascii="Times New Roman" w:hAnsi="Times New Roman" w:cs="Times New Roman" w:eastAsia="Times New Roman" w:hint="default"/>
                <w:sz w:val="18"/>
                <w:szCs w:val="18"/>
              </w:rPr>
            </w:pPr>
            <w:r>
              <w:rPr>
                <w:rFonts w:ascii="Times New Roman"/>
                <w:sz w:val="18"/>
              </w:rPr>
              <w:t>0,428.</w:t>
            </w:r>
          </w:p>
          <w:p>
            <w:pPr>
              <w:pStyle w:val="TableParagraph"/>
              <w:spacing w:line="240" w:lineRule="auto" w:before="105"/>
              <w:ind w:left="393" w:right="0"/>
              <w:jc w:val="left"/>
              <w:rPr>
                <w:rFonts w:ascii="Times New Roman" w:hAnsi="Times New Roman" w:cs="Times New Roman" w:eastAsia="Times New Roman" w:hint="default"/>
                <w:sz w:val="18"/>
                <w:szCs w:val="18"/>
              </w:rPr>
            </w:pPr>
            <w:r>
              <w:rPr>
                <w:rFonts w:ascii="Times New Roman"/>
                <w:sz w:val="18"/>
              </w:rPr>
              <w:t>76</w:t>
            </w: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28" w:right="0"/>
              <w:jc w:val="left"/>
              <w:rPr>
                <w:rFonts w:ascii="Times New Roman" w:hAnsi="Times New Roman" w:cs="Times New Roman" w:eastAsia="Times New Roman" w:hint="default"/>
                <w:sz w:val="18"/>
                <w:szCs w:val="18"/>
              </w:rPr>
            </w:pPr>
            <w:r>
              <w:rPr>
                <w:rFonts w:ascii="Times New Roman"/>
                <w:sz w:val="18"/>
              </w:rPr>
              <w:t>-46,010,4</w:t>
            </w:r>
          </w:p>
          <w:p>
            <w:pPr>
              <w:pStyle w:val="TableParagraph"/>
              <w:spacing w:line="240" w:lineRule="auto" w:before="105"/>
              <w:ind w:left="412" w:right="0"/>
              <w:jc w:val="left"/>
              <w:rPr>
                <w:rFonts w:ascii="Times New Roman" w:hAnsi="Times New Roman" w:cs="Times New Roman" w:eastAsia="Times New Roman" w:hint="default"/>
                <w:sz w:val="18"/>
                <w:szCs w:val="18"/>
              </w:rPr>
            </w:pPr>
            <w:r>
              <w:rPr>
                <w:rFonts w:ascii="Times New Roman"/>
                <w:sz w:val="18"/>
              </w:rPr>
              <w:t>28.76</w:t>
            </w:r>
          </w:p>
        </w:tc>
      </w:tr>
      <w:tr>
        <w:trPr>
          <w:trHeight w:val="714"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0"/>
              <w:ind w:left="102" w:right="126"/>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 入的普通股</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9" w:lineRule="auto" w:before="50"/>
              <w:ind w:left="102" w:right="126"/>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 工具持有者 投入资本</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9" w:lineRule="auto" w:before="50"/>
              <w:ind w:left="102" w:right="126"/>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 计入所有者 权益的金额</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5"/>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68" w:right="0"/>
              <w:jc w:val="left"/>
              <w:rPr>
                <w:rFonts w:ascii="Times New Roman" w:hAnsi="Times New Roman" w:cs="Times New Roman" w:eastAsia="Times New Roman" w:hint="default"/>
                <w:sz w:val="18"/>
                <w:szCs w:val="18"/>
              </w:rPr>
            </w:pPr>
            <w:r>
              <w:rPr>
                <w:rFonts w:ascii="Times New Roman"/>
                <w:sz w:val="18"/>
              </w:rPr>
              <w:t>46,01</w:t>
            </w:r>
          </w:p>
          <w:p>
            <w:pPr>
              <w:pStyle w:val="TableParagraph"/>
              <w:spacing w:line="240" w:lineRule="auto" w:before="105"/>
              <w:ind w:left="123" w:right="0"/>
              <w:jc w:val="left"/>
              <w:rPr>
                <w:rFonts w:ascii="Times New Roman" w:hAnsi="Times New Roman" w:cs="Times New Roman" w:eastAsia="Times New Roman" w:hint="default"/>
                <w:sz w:val="18"/>
                <w:szCs w:val="18"/>
              </w:rPr>
            </w:pPr>
            <w:r>
              <w:rPr>
                <w:rFonts w:ascii="Times New Roman"/>
                <w:sz w:val="18"/>
              </w:rPr>
              <w:t>0,428.</w:t>
            </w:r>
          </w:p>
          <w:p>
            <w:pPr>
              <w:pStyle w:val="TableParagraph"/>
              <w:spacing w:line="240" w:lineRule="auto" w:before="105"/>
              <w:ind w:left="393" w:right="0"/>
              <w:jc w:val="left"/>
              <w:rPr>
                <w:rFonts w:ascii="Times New Roman" w:hAnsi="Times New Roman" w:cs="Times New Roman" w:eastAsia="Times New Roman" w:hint="default"/>
                <w:sz w:val="18"/>
                <w:szCs w:val="18"/>
              </w:rPr>
            </w:pPr>
            <w:r>
              <w:rPr>
                <w:rFonts w:ascii="Times New Roman"/>
                <w:sz w:val="18"/>
              </w:rPr>
              <w:t>76</w:t>
            </w: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28" w:right="0"/>
              <w:jc w:val="left"/>
              <w:rPr>
                <w:rFonts w:ascii="Times New Roman" w:hAnsi="Times New Roman" w:cs="Times New Roman" w:eastAsia="Times New Roman" w:hint="default"/>
                <w:sz w:val="18"/>
                <w:szCs w:val="18"/>
              </w:rPr>
            </w:pPr>
            <w:r>
              <w:rPr>
                <w:rFonts w:ascii="Times New Roman"/>
                <w:sz w:val="18"/>
              </w:rPr>
              <w:t>-46,010,4</w:t>
            </w:r>
          </w:p>
          <w:p>
            <w:pPr>
              <w:pStyle w:val="TableParagraph"/>
              <w:spacing w:line="240" w:lineRule="auto" w:before="105"/>
              <w:ind w:left="412" w:right="0"/>
              <w:jc w:val="left"/>
              <w:rPr>
                <w:rFonts w:ascii="Times New Roman" w:hAnsi="Times New Roman" w:cs="Times New Roman" w:eastAsia="Times New Roman" w:hint="default"/>
                <w:sz w:val="18"/>
                <w:szCs w:val="18"/>
              </w:rPr>
            </w:pPr>
            <w:r>
              <w:rPr>
                <w:rFonts w:ascii="Times New Roman"/>
                <w:sz w:val="18"/>
              </w:rPr>
              <w:t>28.76</w:t>
            </w:r>
          </w:p>
        </w:tc>
      </w:tr>
      <w:tr>
        <w:trPr>
          <w:trHeight w:val="1026"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319" w:lineRule="auto"/>
              <w:ind w:left="102" w:right="101"/>
              <w:jc w:val="left"/>
              <w:rPr>
                <w:rFonts w:ascii="宋体" w:hAnsi="宋体" w:cs="宋体" w:eastAsia="宋体" w:hint="default"/>
                <w:sz w:val="18"/>
                <w:szCs w:val="18"/>
              </w:rPr>
            </w:pPr>
            <w:r>
              <w:rPr>
                <w:rFonts w:ascii="宋体" w:hAnsi="宋体" w:cs="宋体" w:eastAsia="宋体" w:hint="default"/>
                <w:spacing w:val="-11"/>
                <w:sz w:val="18"/>
                <w:szCs w:val="18"/>
              </w:rPr>
              <w:t>（三）利润分</w:t>
            </w:r>
            <w:r>
              <w:rPr>
                <w:rFonts w:ascii="宋体" w:hAnsi="宋体" w:cs="宋体" w:eastAsia="宋体" w:hint="default"/>
                <w:sz w:val="18"/>
                <w:szCs w:val="18"/>
              </w:rPr>
              <w:t> 配</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3" w:right="0"/>
              <w:jc w:val="center"/>
              <w:rPr>
                <w:rFonts w:ascii="Times New Roman" w:hAnsi="Times New Roman" w:cs="Times New Roman" w:eastAsia="Times New Roman" w:hint="default"/>
                <w:sz w:val="18"/>
                <w:szCs w:val="18"/>
              </w:rPr>
            </w:pPr>
            <w:r>
              <w:rPr>
                <w:rFonts w:ascii="Times New Roman"/>
                <w:sz w:val="18"/>
              </w:rPr>
              <w:t>14,73</w:t>
            </w:r>
          </w:p>
          <w:p>
            <w:pPr>
              <w:pStyle w:val="TableParagraph"/>
              <w:spacing w:line="240" w:lineRule="auto" w:before="105"/>
              <w:ind w:left="43" w:right="0"/>
              <w:jc w:val="center"/>
              <w:rPr>
                <w:rFonts w:ascii="Times New Roman" w:hAnsi="Times New Roman" w:cs="Times New Roman" w:eastAsia="Times New Roman" w:hint="default"/>
                <w:sz w:val="18"/>
                <w:szCs w:val="18"/>
              </w:rPr>
            </w:pPr>
            <w:r>
              <w:rPr>
                <w:rFonts w:ascii="Times New Roman"/>
                <w:sz w:val="18"/>
              </w:rPr>
              <w:t>2,089</w:t>
            </w:r>
          </w:p>
          <w:p>
            <w:pPr>
              <w:pStyle w:val="TableParagraph"/>
              <w:spacing w:line="240" w:lineRule="auto" w:before="105"/>
              <w:ind w:left="223" w:right="0"/>
              <w:jc w:val="center"/>
              <w:rPr>
                <w:rFonts w:ascii="Times New Roman" w:hAnsi="Times New Roman" w:cs="Times New Roman" w:eastAsia="Times New Roman" w:hint="default"/>
                <w:sz w:val="18"/>
                <w:szCs w:val="18"/>
              </w:rPr>
            </w:pPr>
            <w:r>
              <w:rPr>
                <w:rFonts w:ascii="Times New Roman"/>
                <w:sz w:val="18"/>
              </w:rPr>
              <w:t>.08</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30" w:right="0"/>
              <w:jc w:val="left"/>
              <w:rPr>
                <w:rFonts w:ascii="Times New Roman" w:hAnsi="Times New Roman" w:cs="Times New Roman" w:eastAsia="Times New Roman" w:hint="default"/>
                <w:sz w:val="18"/>
                <w:szCs w:val="18"/>
              </w:rPr>
            </w:pPr>
            <w:r>
              <w:rPr>
                <w:rFonts w:ascii="Times New Roman"/>
                <w:sz w:val="18"/>
              </w:rPr>
              <w:t>-14,732</w:t>
            </w:r>
          </w:p>
          <w:p>
            <w:pPr>
              <w:pStyle w:val="TableParagraph"/>
              <w:spacing w:line="240" w:lineRule="auto" w:before="105"/>
              <w:ind w:left="145" w:right="0"/>
              <w:jc w:val="left"/>
              <w:rPr>
                <w:rFonts w:ascii="Times New Roman" w:hAnsi="Times New Roman" w:cs="Times New Roman" w:eastAsia="Times New Roman" w:hint="default"/>
                <w:sz w:val="18"/>
                <w:szCs w:val="18"/>
              </w:rPr>
            </w:pPr>
            <w:r>
              <w:rPr>
                <w:rFonts w:ascii="Times New Roman"/>
                <w:sz w:val="18"/>
              </w:rPr>
              <w:t>,089.08</w:t>
            </w: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300" w:lineRule="auto"/>
              <w:ind w:left="102" w:right="126"/>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 公积</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3" w:right="0"/>
              <w:jc w:val="center"/>
              <w:rPr>
                <w:rFonts w:ascii="Times New Roman" w:hAnsi="Times New Roman" w:cs="Times New Roman" w:eastAsia="Times New Roman" w:hint="default"/>
                <w:sz w:val="18"/>
                <w:szCs w:val="18"/>
              </w:rPr>
            </w:pPr>
            <w:r>
              <w:rPr>
                <w:rFonts w:ascii="Times New Roman"/>
                <w:sz w:val="18"/>
              </w:rPr>
              <w:t>14,73</w:t>
            </w:r>
          </w:p>
          <w:p>
            <w:pPr>
              <w:pStyle w:val="TableParagraph"/>
              <w:spacing w:line="240" w:lineRule="auto" w:before="105"/>
              <w:ind w:left="43" w:right="0"/>
              <w:jc w:val="center"/>
              <w:rPr>
                <w:rFonts w:ascii="Times New Roman" w:hAnsi="Times New Roman" w:cs="Times New Roman" w:eastAsia="Times New Roman" w:hint="default"/>
                <w:sz w:val="18"/>
                <w:szCs w:val="18"/>
              </w:rPr>
            </w:pPr>
            <w:r>
              <w:rPr>
                <w:rFonts w:ascii="Times New Roman"/>
                <w:sz w:val="18"/>
              </w:rPr>
              <w:t>2,089</w:t>
            </w:r>
          </w:p>
          <w:p>
            <w:pPr>
              <w:pStyle w:val="TableParagraph"/>
              <w:spacing w:line="240" w:lineRule="auto" w:before="105"/>
              <w:ind w:left="223" w:right="0"/>
              <w:jc w:val="center"/>
              <w:rPr>
                <w:rFonts w:ascii="Times New Roman" w:hAnsi="Times New Roman" w:cs="Times New Roman" w:eastAsia="Times New Roman" w:hint="default"/>
                <w:sz w:val="18"/>
                <w:szCs w:val="18"/>
              </w:rPr>
            </w:pPr>
            <w:r>
              <w:rPr>
                <w:rFonts w:ascii="Times New Roman"/>
                <w:sz w:val="18"/>
              </w:rPr>
              <w:t>.08</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30" w:right="0"/>
              <w:jc w:val="left"/>
              <w:rPr>
                <w:rFonts w:ascii="Times New Roman" w:hAnsi="Times New Roman" w:cs="Times New Roman" w:eastAsia="Times New Roman" w:hint="default"/>
                <w:sz w:val="18"/>
                <w:szCs w:val="18"/>
              </w:rPr>
            </w:pPr>
            <w:r>
              <w:rPr>
                <w:rFonts w:ascii="Times New Roman"/>
                <w:sz w:val="18"/>
              </w:rPr>
              <w:t>-14,732</w:t>
            </w:r>
          </w:p>
          <w:p>
            <w:pPr>
              <w:pStyle w:val="TableParagraph"/>
              <w:spacing w:line="240" w:lineRule="auto" w:before="105"/>
              <w:ind w:left="145" w:right="0"/>
              <w:jc w:val="left"/>
              <w:rPr>
                <w:rFonts w:ascii="Times New Roman" w:hAnsi="Times New Roman" w:cs="Times New Roman" w:eastAsia="Times New Roman" w:hint="default"/>
                <w:sz w:val="18"/>
                <w:szCs w:val="18"/>
              </w:rPr>
            </w:pPr>
            <w:r>
              <w:rPr>
                <w:rFonts w:ascii="Times New Roman"/>
                <w:sz w:val="18"/>
              </w:rPr>
              <w:t>,089.08</w:t>
            </w: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．对所有者</w:t>
            </w:r>
          </w:p>
          <w:p>
            <w:pPr>
              <w:pStyle w:val="TableParagraph"/>
              <w:spacing w:line="316" w:lineRule="auto" w:before="62"/>
              <w:ind w:left="102" w:right="101"/>
              <w:jc w:val="left"/>
              <w:rPr>
                <w:rFonts w:ascii="宋体" w:hAnsi="宋体" w:cs="宋体" w:eastAsia="宋体" w:hint="default"/>
                <w:sz w:val="18"/>
                <w:szCs w:val="18"/>
              </w:rPr>
            </w:pPr>
            <w:r>
              <w:rPr>
                <w:rFonts w:ascii="宋体" w:hAnsi="宋体" w:cs="宋体" w:eastAsia="宋体" w:hint="default"/>
                <w:spacing w:val="-11"/>
                <w:sz w:val="18"/>
                <w:szCs w:val="18"/>
              </w:rPr>
              <w:t>（或股东）的</w:t>
            </w:r>
            <w:r>
              <w:rPr>
                <w:rFonts w:ascii="宋体" w:hAnsi="宋体" w:cs="宋体" w:eastAsia="宋体" w:hint="default"/>
                <w:sz w:val="18"/>
                <w:szCs w:val="18"/>
              </w:rPr>
              <w:t> 分配</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02" w:right="101"/>
              <w:jc w:val="left"/>
              <w:rPr>
                <w:rFonts w:ascii="宋体" w:hAnsi="宋体" w:cs="宋体" w:eastAsia="宋体" w:hint="default"/>
                <w:sz w:val="18"/>
                <w:szCs w:val="18"/>
              </w:rPr>
            </w:pPr>
            <w:r>
              <w:rPr>
                <w:rFonts w:ascii="宋体" w:hAnsi="宋体" w:cs="宋体" w:eastAsia="宋体" w:hint="default"/>
                <w:spacing w:val="-11"/>
                <w:sz w:val="18"/>
                <w:szCs w:val="18"/>
              </w:rPr>
              <w:t>（四）所有者</w:t>
            </w:r>
            <w:r>
              <w:rPr>
                <w:rFonts w:ascii="宋体" w:hAnsi="宋体" w:cs="宋体" w:eastAsia="宋体" w:hint="default"/>
                <w:sz w:val="18"/>
                <w:szCs w:val="18"/>
              </w:rPr>
              <w:t> 权益内部结 转</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9" w:lineRule="auto" w:before="50"/>
              <w:ind w:left="102" w:right="101"/>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 </w:t>
            </w:r>
            <w:r>
              <w:rPr>
                <w:rFonts w:ascii="宋体" w:hAnsi="宋体" w:cs="宋体" w:eastAsia="宋体" w:hint="default"/>
                <w:spacing w:val="-11"/>
                <w:sz w:val="18"/>
                <w:szCs w:val="18"/>
              </w:rPr>
              <w:t>转增资本（或</w:t>
            </w:r>
            <w:r>
              <w:rPr>
                <w:rFonts w:ascii="宋体" w:hAnsi="宋体" w:cs="宋体" w:eastAsia="宋体" w:hint="default"/>
                <w:sz w:val="18"/>
                <w:szCs w:val="18"/>
              </w:rPr>
              <w:t> 股本）</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9" w:lineRule="auto" w:before="50"/>
              <w:ind w:left="102" w:right="101"/>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 </w:t>
            </w:r>
            <w:r>
              <w:rPr>
                <w:rFonts w:ascii="宋体" w:hAnsi="宋体" w:cs="宋体" w:eastAsia="宋体" w:hint="default"/>
                <w:spacing w:val="-11"/>
                <w:sz w:val="18"/>
                <w:szCs w:val="18"/>
              </w:rPr>
              <w:t>转增资本（或</w:t>
            </w:r>
            <w:r>
              <w:rPr>
                <w:rFonts w:ascii="宋体" w:hAnsi="宋体" w:cs="宋体" w:eastAsia="宋体" w:hint="default"/>
                <w:sz w:val="18"/>
                <w:szCs w:val="18"/>
              </w:rPr>
              <w:t> 股本）</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6" w:footer="1018" w:top="1100" w:bottom="1200" w:left="1020" w:right="0"/>
        </w:sectPr>
      </w:pPr>
    </w:p>
    <w:p>
      <w:pPr>
        <w:spacing w:line="240" w:lineRule="auto" w:before="0"/>
        <w:rPr>
          <w:rFonts w:ascii="Times New Roman" w:hAnsi="Times New Roman" w:cs="Times New Roman" w:eastAsia="Times New Roman" w:hint="default"/>
          <w:sz w:val="29"/>
          <w:szCs w:val="29"/>
        </w:rPr>
      </w:pPr>
    </w:p>
    <w:tbl>
      <w:tblPr>
        <w:tblW w:w="0" w:type="auto"/>
        <w:jc w:val="left"/>
        <w:tblInd w:w="109" w:type="dxa"/>
        <w:tblLayout w:type="fixed"/>
        <w:tblCellMar>
          <w:top w:w="0" w:type="dxa"/>
          <w:left w:w="0" w:type="dxa"/>
          <w:bottom w:w="0" w:type="dxa"/>
          <w:right w:w="0" w:type="dxa"/>
        </w:tblCellMar>
        <w:tblLook w:val="01E0"/>
      </w:tblPr>
      <w:tblGrid>
        <w:gridCol w:w="1231"/>
        <w:gridCol w:w="594"/>
        <w:gridCol w:w="572"/>
        <w:gridCol w:w="572"/>
        <w:gridCol w:w="572"/>
        <w:gridCol w:w="685"/>
        <w:gridCol w:w="686"/>
        <w:gridCol w:w="685"/>
        <w:gridCol w:w="781"/>
        <w:gridCol w:w="665"/>
        <w:gridCol w:w="798"/>
        <w:gridCol w:w="797"/>
        <w:gridCol w:w="930"/>
      </w:tblGrid>
      <w:tr>
        <w:trPr>
          <w:trHeight w:val="714"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0"/>
              <w:ind w:left="102" w:right="126"/>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 弥补亏损</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2" w:lineRule="auto" w:before="50"/>
              <w:ind w:left="102" w:right="126"/>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 计划变动额 结转留存收 益</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9" w:lineRule="auto" w:before="50"/>
              <w:ind w:left="102" w:right="126"/>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．其他综合 收益结转留 存收益</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02" w:right="101"/>
              <w:jc w:val="left"/>
              <w:rPr>
                <w:rFonts w:ascii="宋体" w:hAnsi="宋体" w:cs="宋体" w:eastAsia="宋体" w:hint="default"/>
                <w:sz w:val="18"/>
                <w:szCs w:val="18"/>
              </w:rPr>
            </w:pPr>
            <w:r>
              <w:rPr>
                <w:rFonts w:ascii="宋体" w:hAnsi="宋体" w:cs="宋体" w:eastAsia="宋体" w:hint="default"/>
                <w:spacing w:val="-11"/>
                <w:sz w:val="18"/>
                <w:szCs w:val="18"/>
              </w:rPr>
              <w:t>（五）专项储</w:t>
            </w:r>
            <w:r>
              <w:rPr>
                <w:rFonts w:ascii="宋体" w:hAnsi="宋体" w:cs="宋体" w:eastAsia="宋体" w:hint="default"/>
                <w:sz w:val="18"/>
                <w:szCs w:val="18"/>
              </w:rPr>
              <w:t> 备</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12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5"/>
              <w:ind w:left="102" w:right="101"/>
              <w:jc w:val="left"/>
              <w:rPr>
                <w:rFonts w:ascii="宋体" w:hAnsi="宋体" w:cs="宋体" w:eastAsia="宋体" w:hint="default"/>
                <w:sz w:val="18"/>
                <w:szCs w:val="18"/>
              </w:rPr>
            </w:pPr>
            <w:r>
              <w:rPr>
                <w:rFonts w:ascii="宋体" w:hAnsi="宋体" w:cs="宋体" w:eastAsia="宋体" w:hint="default"/>
                <w:spacing w:val="-11"/>
                <w:sz w:val="18"/>
                <w:szCs w:val="18"/>
              </w:rPr>
              <w:t>四、本期期末</w:t>
            </w:r>
            <w:r>
              <w:rPr>
                <w:rFonts w:ascii="宋体" w:hAnsi="宋体" w:cs="宋体" w:eastAsia="宋体" w:hint="default"/>
                <w:sz w:val="18"/>
                <w:szCs w:val="18"/>
              </w:rPr>
              <w:t> 余额</w:t>
            </w:r>
          </w:p>
        </w:tc>
        <w:tc>
          <w:tcPr>
            <w:tcW w:w="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3" w:right="0"/>
              <w:jc w:val="center"/>
              <w:rPr>
                <w:rFonts w:ascii="Times New Roman" w:hAnsi="Times New Roman" w:cs="Times New Roman" w:eastAsia="Times New Roman" w:hint="default"/>
                <w:sz w:val="18"/>
                <w:szCs w:val="18"/>
              </w:rPr>
            </w:pPr>
            <w:r>
              <w:rPr>
                <w:rFonts w:ascii="Times New Roman"/>
                <w:sz w:val="18"/>
              </w:rPr>
              <w:t>712,</w:t>
            </w:r>
          </w:p>
          <w:p>
            <w:pPr>
              <w:pStyle w:val="TableParagraph"/>
              <w:spacing w:line="240" w:lineRule="auto" w:before="105"/>
              <w:ind w:left="63" w:right="0"/>
              <w:jc w:val="center"/>
              <w:rPr>
                <w:rFonts w:ascii="Times New Roman" w:hAnsi="Times New Roman" w:cs="Times New Roman" w:eastAsia="Times New Roman" w:hint="default"/>
                <w:sz w:val="18"/>
                <w:szCs w:val="18"/>
              </w:rPr>
            </w:pPr>
            <w:r>
              <w:rPr>
                <w:rFonts w:ascii="Times New Roman"/>
                <w:sz w:val="18"/>
              </w:rPr>
              <w:t>028,</w:t>
            </w:r>
          </w:p>
          <w:p>
            <w:pPr>
              <w:pStyle w:val="TableParagraph"/>
              <w:spacing w:line="240" w:lineRule="auto" w:before="105"/>
              <w:ind w:left="63" w:right="0"/>
              <w:jc w:val="center"/>
              <w:rPr>
                <w:rFonts w:ascii="Times New Roman" w:hAnsi="Times New Roman" w:cs="Times New Roman" w:eastAsia="Times New Roman" w:hint="default"/>
                <w:sz w:val="18"/>
                <w:szCs w:val="18"/>
              </w:rPr>
            </w:pPr>
            <w:r>
              <w:rPr>
                <w:rFonts w:ascii="Times New Roman"/>
                <w:sz w:val="18"/>
              </w:rPr>
              <w:t>800.</w:t>
            </w:r>
          </w:p>
          <w:p>
            <w:pPr>
              <w:pStyle w:val="TableParagraph"/>
              <w:spacing w:line="240" w:lineRule="auto" w:before="105"/>
              <w:ind w:left="198" w:right="0"/>
              <w:jc w:val="center"/>
              <w:rPr>
                <w:rFonts w:ascii="Times New Roman" w:hAnsi="Times New Roman" w:cs="Times New Roman" w:eastAsia="Times New Roman" w:hint="default"/>
                <w:sz w:val="18"/>
                <w:szCs w:val="18"/>
              </w:rPr>
            </w:pPr>
            <w:r>
              <w:rPr>
                <w:rFonts w:ascii="Times New Roman"/>
                <w:sz w:val="18"/>
              </w:rPr>
              <w:t>00</w:t>
            </w: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67" w:right="0"/>
              <w:jc w:val="left"/>
              <w:rPr>
                <w:rFonts w:ascii="Times New Roman" w:hAnsi="Times New Roman" w:cs="Times New Roman" w:eastAsia="Times New Roman" w:hint="default"/>
                <w:sz w:val="18"/>
                <w:szCs w:val="18"/>
              </w:rPr>
            </w:pPr>
            <w:r>
              <w:rPr>
                <w:rFonts w:ascii="Times New Roman"/>
                <w:sz w:val="18"/>
              </w:rPr>
              <w:t>89,30</w:t>
            </w:r>
          </w:p>
          <w:p>
            <w:pPr>
              <w:pStyle w:val="TableParagraph"/>
              <w:spacing w:line="240" w:lineRule="auto" w:before="105"/>
              <w:ind w:left="122" w:right="0"/>
              <w:jc w:val="left"/>
              <w:rPr>
                <w:rFonts w:ascii="Times New Roman" w:hAnsi="Times New Roman" w:cs="Times New Roman" w:eastAsia="Times New Roman" w:hint="default"/>
                <w:sz w:val="18"/>
                <w:szCs w:val="18"/>
              </w:rPr>
            </w:pPr>
            <w:r>
              <w:rPr>
                <w:rFonts w:ascii="Times New Roman"/>
                <w:sz w:val="18"/>
              </w:rPr>
              <w:t>3,021.</w:t>
            </w:r>
          </w:p>
          <w:p>
            <w:pPr>
              <w:pStyle w:val="TableParagraph"/>
              <w:spacing w:line="240" w:lineRule="auto" w:before="105"/>
              <w:ind w:left="392" w:right="0"/>
              <w:jc w:val="left"/>
              <w:rPr>
                <w:rFonts w:ascii="Times New Roman" w:hAnsi="Times New Roman" w:cs="Times New Roman" w:eastAsia="Times New Roman" w:hint="default"/>
                <w:sz w:val="18"/>
                <w:szCs w:val="18"/>
              </w:rPr>
            </w:pPr>
            <w:r>
              <w:rPr>
                <w:rFonts w:ascii="Times New Roman"/>
                <w:sz w:val="18"/>
              </w:rPr>
              <w:t>56</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68" w:right="0"/>
              <w:jc w:val="left"/>
              <w:rPr>
                <w:rFonts w:ascii="Times New Roman" w:hAnsi="Times New Roman" w:cs="Times New Roman" w:eastAsia="Times New Roman" w:hint="default"/>
                <w:sz w:val="18"/>
                <w:szCs w:val="18"/>
              </w:rPr>
            </w:pPr>
            <w:r>
              <w:rPr>
                <w:rFonts w:ascii="Times New Roman"/>
                <w:sz w:val="18"/>
              </w:rPr>
              <w:t>46,01</w:t>
            </w:r>
          </w:p>
          <w:p>
            <w:pPr>
              <w:pStyle w:val="TableParagraph"/>
              <w:spacing w:line="240" w:lineRule="auto" w:before="105"/>
              <w:ind w:left="123" w:right="0"/>
              <w:jc w:val="left"/>
              <w:rPr>
                <w:rFonts w:ascii="Times New Roman" w:hAnsi="Times New Roman" w:cs="Times New Roman" w:eastAsia="Times New Roman" w:hint="default"/>
                <w:sz w:val="18"/>
                <w:szCs w:val="18"/>
              </w:rPr>
            </w:pPr>
            <w:r>
              <w:rPr>
                <w:rFonts w:ascii="Times New Roman"/>
                <w:sz w:val="18"/>
              </w:rPr>
              <w:t>0,428.</w:t>
            </w:r>
          </w:p>
          <w:p>
            <w:pPr>
              <w:pStyle w:val="TableParagraph"/>
              <w:spacing w:line="240" w:lineRule="auto" w:before="105"/>
              <w:ind w:left="393" w:right="0"/>
              <w:jc w:val="left"/>
              <w:rPr>
                <w:rFonts w:ascii="Times New Roman" w:hAnsi="Times New Roman" w:cs="Times New Roman" w:eastAsia="Times New Roman" w:hint="default"/>
                <w:sz w:val="18"/>
                <w:szCs w:val="18"/>
              </w:rPr>
            </w:pPr>
            <w:r>
              <w:rPr>
                <w:rFonts w:ascii="Times New Roman"/>
                <w:sz w:val="18"/>
              </w:rPr>
              <w:t>76</w:t>
            </w: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47" w:right="0"/>
              <w:jc w:val="left"/>
              <w:rPr>
                <w:rFonts w:ascii="Times New Roman" w:hAnsi="Times New Roman" w:cs="Times New Roman" w:eastAsia="Times New Roman" w:hint="default"/>
                <w:sz w:val="18"/>
                <w:szCs w:val="18"/>
              </w:rPr>
            </w:pPr>
            <w:r>
              <w:rPr>
                <w:rFonts w:ascii="Times New Roman"/>
                <w:sz w:val="18"/>
              </w:rPr>
              <w:t>207,5</w:t>
            </w:r>
          </w:p>
          <w:p>
            <w:pPr>
              <w:pStyle w:val="TableParagraph"/>
              <w:spacing w:line="240" w:lineRule="auto" w:before="105"/>
              <w:ind w:left="147" w:right="0"/>
              <w:jc w:val="left"/>
              <w:rPr>
                <w:rFonts w:ascii="Times New Roman" w:hAnsi="Times New Roman" w:cs="Times New Roman" w:eastAsia="Times New Roman" w:hint="default"/>
                <w:sz w:val="18"/>
                <w:szCs w:val="18"/>
              </w:rPr>
            </w:pPr>
            <w:r>
              <w:rPr>
                <w:rFonts w:ascii="Times New Roman"/>
                <w:sz w:val="18"/>
              </w:rPr>
              <w:t>16,67</w:t>
            </w:r>
          </w:p>
          <w:p>
            <w:pPr>
              <w:pStyle w:val="TableParagraph"/>
              <w:spacing w:line="240" w:lineRule="auto" w:before="105"/>
              <w:ind w:left="237" w:right="0"/>
              <w:jc w:val="left"/>
              <w:rPr>
                <w:rFonts w:ascii="Times New Roman" w:hAnsi="Times New Roman" w:cs="Times New Roman" w:eastAsia="Times New Roman" w:hint="default"/>
                <w:sz w:val="18"/>
                <w:szCs w:val="18"/>
              </w:rPr>
            </w:pPr>
            <w:r>
              <w:rPr>
                <w:rFonts w:ascii="Times New Roman"/>
                <w:sz w:val="18"/>
              </w:rPr>
              <w:t>4.80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969,57</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2,072.6</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6</w:t>
            </w: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87" w:right="0"/>
              <w:jc w:val="left"/>
              <w:rPr>
                <w:rFonts w:ascii="Times New Roman" w:hAnsi="Times New Roman" w:cs="Times New Roman" w:eastAsia="Times New Roman" w:hint="default"/>
                <w:sz w:val="18"/>
                <w:szCs w:val="18"/>
              </w:rPr>
            </w:pPr>
            <w:r>
              <w:rPr>
                <w:rFonts w:ascii="Times New Roman"/>
                <w:sz w:val="18"/>
              </w:rPr>
              <w:t>1,932,41</w:t>
            </w:r>
          </w:p>
          <w:p>
            <w:pPr>
              <w:pStyle w:val="TableParagraph"/>
              <w:spacing w:line="240" w:lineRule="auto" w:before="105"/>
              <w:ind w:left="187" w:right="0"/>
              <w:jc w:val="left"/>
              <w:rPr>
                <w:rFonts w:ascii="Times New Roman" w:hAnsi="Times New Roman" w:cs="Times New Roman" w:eastAsia="Times New Roman" w:hint="default"/>
                <w:sz w:val="18"/>
                <w:szCs w:val="18"/>
              </w:rPr>
            </w:pPr>
            <w:r>
              <w:rPr>
                <w:rFonts w:ascii="Times New Roman"/>
                <w:sz w:val="18"/>
              </w:rPr>
              <w:t>0,140.26</w:t>
            </w:r>
          </w:p>
        </w:tc>
      </w:tr>
    </w:tbl>
    <w:p>
      <w:pPr>
        <w:spacing w:line="240" w:lineRule="auto" w:before="6"/>
        <w:rPr>
          <w:rFonts w:ascii="Times New Roman" w:hAnsi="Times New Roman" w:cs="Times New Roman" w:eastAsia="Times New Roman" w:hint="default"/>
          <w:sz w:val="20"/>
          <w:szCs w:val="20"/>
        </w:rPr>
      </w:pPr>
    </w:p>
    <w:p>
      <w:pPr>
        <w:pStyle w:val="Heading2"/>
        <w:spacing w:line="240" w:lineRule="auto" w:before="26"/>
        <w:ind w:right="0"/>
        <w:jc w:val="both"/>
        <w:rPr>
          <w:b w:val="0"/>
          <w:bCs w:val="0"/>
        </w:rPr>
      </w:pPr>
      <w:r>
        <w:rPr/>
        <w:t>三、公司基本情况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both"/>
      </w:pPr>
      <w:r>
        <w:rPr/>
        <w:t>1、公司概况</w:t>
      </w:r>
    </w:p>
    <w:p>
      <w:pPr>
        <w:pStyle w:val="BodyText"/>
        <w:spacing w:line="300" w:lineRule="auto" w:before="116"/>
        <w:ind w:right="1032"/>
        <w:jc w:val="left"/>
      </w:pPr>
      <w:r>
        <w:rPr/>
        <w:t>恒宝股份有限公司（以下简称</w:t>
      </w:r>
      <w:r>
        <w:rPr>
          <w:rFonts w:ascii="Times New Roman" w:hAnsi="Times New Roman" w:cs="Times New Roman" w:eastAsia="Times New Roman" w:hint="default"/>
        </w:rPr>
        <w:t>“</w:t>
      </w:r>
      <w:r>
        <w:rPr/>
        <w:t>恒宝股份</w:t>
      </w:r>
      <w:r>
        <w:rPr>
          <w:rFonts w:ascii="Times New Roman" w:hAnsi="Times New Roman" w:cs="Times New Roman" w:eastAsia="Times New Roman" w:hint="default"/>
        </w:rPr>
        <w:t>”</w:t>
      </w:r>
      <w:r>
        <w:rPr/>
        <w:t>或</w:t>
      </w:r>
      <w:r>
        <w:rPr>
          <w:rFonts w:ascii="Times New Roman" w:hAnsi="Times New Roman" w:cs="Times New Roman" w:eastAsia="Times New Roman" w:hint="default"/>
        </w:rPr>
        <w:t>“</w:t>
      </w:r>
      <w:r>
        <w:rPr/>
        <w:t>公司</w:t>
      </w:r>
      <w:r>
        <w:rPr>
          <w:rFonts w:ascii="Times New Roman" w:hAnsi="Times New Roman" w:cs="Times New Roman" w:eastAsia="Times New Roman" w:hint="default"/>
        </w:rPr>
        <w:t>”</w:t>
      </w:r>
      <w:r>
        <w:rPr/>
        <w:t>）前身系江苏恒宝实业发展有限公司，经江苏省人民政府于</w:t>
      </w:r>
      <w:r>
        <w:rPr>
          <w:rFonts w:ascii="Times New Roman" w:hAnsi="Times New Roman" w:cs="Times New Roman" w:eastAsia="Times New Roman" w:hint="default"/>
        </w:rPr>
        <w:t>2000</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28</w:t>
      </w:r>
      <w:r>
        <w:rPr>
          <w:rFonts w:ascii="Times New Roman" w:hAnsi="Times New Roman" w:cs="Times New Roman" w:eastAsia="Times New Roman" w:hint="default"/>
          <w:spacing w:val="-10"/>
        </w:rPr>
        <w:t> </w:t>
      </w:r>
      <w:r>
        <w:rPr/>
        <w:t>日以苏政复</w:t>
      </w:r>
      <w:r>
        <w:rPr>
          <w:rFonts w:ascii="Times New Roman" w:hAnsi="Times New Roman" w:cs="Times New Roman" w:eastAsia="Times New Roman" w:hint="default"/>
        </w:rPr>
        <w:t>[2000] 187</w:t>
      </w:r>
      <w:r>
        <w:rPr/>
        <w:t>号文批准依法整体变更为江苏恒宝股份有限公司，设立时股本为人民币</w:t>
      </w:r>
      <w:r>
        <w:rPr>
          <w:rFonts w:ascii="Times New Roman" w:hAnsi="Times New Roman" w:cs="Times New Roman" w:eastAsia="Times New Roman" w:hint="default"/>
        </w:rPr>
        <w:t>4,000</w:t>
      </w:r>
      <w:r>
        <w:rPr/>
        <w:t>万元，由钱云宝等</w:t>
      </w:r>
      <w:r>
        <w:rPr>
          <w:rFonts w:ascii="Times New Roman" w:hAnsi="Times New Roman" w:cs="Times New Roman" w:eastAsia="Times New Roman" w:hint="default"/>
        </w:rPr>
        <w:t>7</w:t>
      </w:r>
      <w:r>
        <w:rPr/>
        <w:t>位自</w:t>
      </w:r>
      <w:r>
        <w:rPr>
          <w:spacing w:val="-44"/>
        </w:rPr>
        <w:t> </w:t>
      </w:r>
      <w:r>
        <w:rPr/>
        <w:t>然人共同发起设立。公司于</w:t>
      </w:r>
      <w:r>
        <w:rPr>
          <w:rFonts w:ascii="Times New Roman" w:hAnsi="Times New Roman" w:cs="Times New Roman" w:eastAsia="Times New Roman" w:hint="default"/>
        </w:rPr>
        <w:t>2000</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28</w:t>
      </w:r>
      <w:r>
        <w:rPr/>
        <w:t>日取得江苏省工商行政管理局核发注册号为</w:t>
      </w:r>
      <w:r>
        <w:rPr>
          <w:rFonts w:ascii="Times New Roman" w:hAnsi="Times New Roman" w:cs="Times New Roman" w:eastAsia="Times New Roman" w:hint="default"/>
        </w:rPr>
        <w:t>320000000038812</w:t>
      </w:r>
      <w:r>
        <w:rPr/>
        <w:t>的企业法人营业执照。 </w:t>
      </w:r>
      <w:r>
        <w:rPr>
          <w:rFonts w:ascii="Times New Roman" w:hAnsi="Times New Roman" w:cs="Times New Roman" w:eastAsia="Times New Roman" w:hint="default"/>
        </w:rPr>
        <w:t>2007</w:t>
      </w:r>
      <w:r>
        <w:rPr/>
        <w:t>年公司更名为恒宝股份有限公司。</w:t>
      </w:r>
    </w:p>
    <w:p>
      <w:pPr>
        <w:spacing w:line="240" w:lineRule="auto" w:before="11"/>
        <w:rPr>
          <w:rFonts w:ascii="宋体" w:hAnsi="宋体" w:cs="宋体" w:eastAsia="宋体" w:hint="default"/>
          <w:sz w:val="24"/>
          <w:szCs w:val="24"/>
        </w:rPr>
      </w:pPr>
    </w:p>
    <w:p>
      <w:pPr>
        <w:pStyle w:val="BodyText"/>
        <w:spacing w:line="300" w:lineRule="auto"/>
        <w:ind w:right="1129"/>
        <w:jc w:val="both"/>
      </w:pPr>
      <w:r>
        <w:rPr>
          <w:spacing w:val="-2"/>
        </w:rPr>
        <w:t>根据</w:t>
      </w:r>
      <w:r>
        <w:rPr>
          <w:rFonts w:ascii="Times New Roman" w:hAnsi="Times New Roman" w:cs="Times New Roman" w:eastAsia="Times New Roman" w:hint="default"/>
          <w:spacing w:val="-2"/>
        </w:rPr>
        <w:t>2004</w:t>
      </w:r>
      <w:r>
        <w:rPr>
          <w:spacing w:val="-2"/>
        </w:rPr>
        <w:t>年</w:t>
      </w:r>
      <w:r>
        <w:rPr>
          <w:rFonts w:ascii="Times New Roman" w:hAnsi="Times New Roman" w:cs="Times New Roman" w:eastAsia="Times New Roman" w:hint="default"/>
          <w:spacing w:val="-2"/>
        </w:rPr>
        <w:t>7</w:t>
      </w:r>
      <w:r>
        <w:rPr>
          <w:spacing w:val="-2"/>
        </w:rPr>
        <w:t>月</w:t>
      </w:r>
      <w:r>
        <w:rPr>
          <w:rFonts w:ascii="Times New Roman" w:hAnsi="Times New Roman" w:cs="Times New Roman" w:eastAsia="Times New Roman" w:hint="default"/>
          <w:spacing w:val="-2"/>
        </w:rPr>
        <w:t>9</w:t>
      </w:r>
      <w:r>
        <w:rPr>
          <w:spacing w:val="-2"/>
        </w:rPr>
        <w:t>日公司</w:t>
      </w:r>
      <w:r>
        <w:rPr>
          <w:rFonts w:ascii="Times New Roman" w:hAnsi="Times New Roman" w:cs="Times New Roman" w:eastAsia="Times New Roman" w:hint="default"/>
          <w:spacing w:val="-2"/>
        </w:rPr>
        <w:t>2004</w:t>
      </w:r>
      <w:r>
        <w:rPr>
          <w:spacing w:val="-2"/>
        </w:rPr>
        <w:t>年第一次临时股东大会决议，原股东张义荣、徐钦鸿、钱科文和陈玉涛将其持有公司的部分股权</w:t>
      </w:r>
      <w:r>
        <w:rPr>
          <w:spacing w:val="-53"/>
        </w:rPr>
        <w:t> </w:t>
      </w:r>
      <w:r>
        <w:rPr>
          <w:spacing w:val="-53"/>
        </w:rPr>
      </w:r>
      <w:r>
        <w:rPr/>
        <w:t>转让给江浩然、潘梅芳和曹志新。股权转让后公司注册资本仍为人民币</w:t>
      </w:r>
      <w:r>
        <w:rPr>
          <w:rFonts w:ascii="Times New Roman" w:hAnsi="Times New Roman" w:cs="Times New Roman" w:eastAsia="Times New Roman" w:hint="default"/>
        </w:rPr>
        <w:t>4,000</w:t>
      </w:r>
      <w:r>
        <w:rPr/>
        <w:t>万元，钱云宝等</w:t>
      </w:r>
      <w:r>
        <w:rPr>
          <w:rFonts w:ascii="Times New Roman" w:hAnsi="Times New Roman" w:cs="Times New Roman" w:eastAsia="Times New Roman" w:hint="default"/>
        </w:rPr>
        <w:t>6</w:t>
      </w:r>
      <w:r>
        <w:rPr/>
        <w:t>位自然人为股东。</w:t>
      </w:r>
    </w:p>
    <w:p>
      <w:pPr>
        <w:spacing w:line="240" w:lineRule="auto" w:before="11"/>
        <w:rPr>
          <w:rFonts w:ascii="宋体" w:hAnsi="宋体" w:cs="宋体" w:eastAsia="宋体" w:hint="default"/>
          <w:sz w:val="24"/>
          <w:szCs w:val="24"/>
        </w:rPr>
      </w:pPr>
    </w:p>
    <w:p>
      <w:pPr>
        <w:pStyle w:val="BodyText"/>
        <w:spacing w:line="300" w:lineRule="auto"/>
        <w:ind w:right="1129"/>
        <w:jc w:val="both"/>
      </w:pPr>
      <w:r>
        <w:rPr/>
        <w:t>根据公司</w:t>
      </w:r>
      <w:r>
        <w:rPr>
          <w:rFonts w:ascii="Times New Roman" w:hAnsi="Times New Roman" w:cs="Times New Roman" w:eastAsia="Times New Roman" w:hint="default"/>
        </w:rPr>
        <w:t>2004</w:t>
      </w:r>
      <w:r>
        <w:rPr/>
        <w:t>年度股东大会决议和修改后章程的规定，并经江苏省人民政府于</w:t>
      </w:r>
      <w:r>
        <w:rPr>
          <w:rFonts w:ascii="Times New Roman" w:hAnsi="Times New Roman" w:cs="Times New Roman" w:eastAsia="Times New Roman" w:hint="default"/>
        </w:rPr>
        <w:t>2005</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24</w:t>
      </w:r>
      <w:r>
        <w:rPr/>
        <w:t>日以苏政复</w:t>
      </w:r>
      <w:r>
        <w:rPr>
          <w:rFonts w:ascii="Times New Roman" w:hAnsi="Times New Roman" w:cs="Times New Roman" w:eastAsia="Times New Roman" w:hint="default"/>
        </w:rPr>
        <w:t>[2005]45</w:t>
      </w:r>
      <w:r>
        <w:rPr/>
        <w:t>号《关于同</w:t>
      </w:r>
      <w:r>
        <w:rPr>
          <w:spacing w:val="-45"/>
        </w:rPr>
        <w:t> </w:t>
      </w:r>
      <w:r>
        <w:rPr>
          <w:spacing w:val="-45"/>
        </w:rPr>
      </w:r>
      <w:r>
        <w:rPr/>
        <w:t>意江苏恒宝股份有限公司增资扩股批复》同意，公司将</w:t>
      </w:r>
      <w:r>
        <w:rPr>
          <w:rFonts w:ascii="Times New Roman" w:hAnsi="Times New Roman" w:cs="Times New Roman" w:eastAsia="Times New Roman" w:hint="default"/>
        </w:rPr>
        <w:t>2004</w:t>
      </w:r>
      <w:r>
        <w:rPr/>
        <w:t>年度实际未分配利润，以</w:t>
      </w:r>
      <w:r>
        <w:rPr>
          <w:rFonts w:ascii="Times New Roman" w:hAnsi="Times New Roman" w:cs="Times New Roman" w:eastAsia="Times New Roman" w:hint="default"/>
        </w:rPr>
        <w:t>2004</w:t>
      </w:r>
      <w:r>
        <w:rPr/>
        <w:t>年末</w:t>
      </w:r>
      <w:r>
        <w:rPr>
          <w:rFonts w:ascii="Times New Roman" w:hAnsi="Times New Roman" w:cs="Times New Roman" w:eastAsia="Times New Roman" w:hint="default"/>
        </w:rPr>
        <w:t>4,000</w:t>
      </w:r>
      <w:r>
        <w:rPr/>
        <w:t>万元股本为基数按每</w:t>
      </w:r>
      <w:r>
        <w:rPr>
          <w:rFonts w:ascii="Times New Roman" w:hAnsi="Times New Roman" w:cs="Times New Roman" w:eastAsia="Times New Roman" w:hint="default"/>
        </w:rPr>
        <w:t>10</w:t>
      </w:r>
      <w:r>
        <w:rPr>
          <w:rFonts w:ascii="Times New Roman" w:hAnsi="Times New Roman" w:cs="Times New Roman" w:eastAsia="Times New Roman" w:hint="default"/>
          <w:spacing w:val="-10"/>
        </w:rPr>
        <w:t> </w:t>
      </w:r>
      <w:r>
        <w:rPr/>
        <w:t>股送</w:t>
      </w:r>
      <w:r>
        <w:rPr>
          <w:rFonts w:ascii="Times New Roman" w:hAnsi="Times New Roman" w:cs="Times New Roman" w:eastAsia="Times New Roman" w:hint="default"/>
        </w:rPr>
        <w:t>8</w:t>
      </w:r>
      <w:r>
        <w:rPr/>
        <w:t>股转增资本人民币</w:t>
      </w:r>
      <w:r>
        <w:rPr>
          <w:rFonts w:ascii="Times New Roman" w:hAnsi="Times New Roman" w:cs="Times New Roman" w:eastAsia="Times New Roman" w:hint="default"/>
        </w:rPr>
        <w:t>3,200</w:t>
      </w:r>
      <w:r>
        <w:rPr/>
        <w:t>万元，变更后的注册资本为人民币</w:t>
      </w:r>
      <w:r>
        <w:rPr>
          <w:rFonts w:ascii="Times New Roman" w:hAnsi="Times New Roman" w:cs="Times New Roman" w:eastAsia="Times New Roman" w:hint="default"/>
        </w:rPr>
        <w:t>7,200</w:t>
      </w:r>
      <w:r>
        <w:rPr/>
        <w:t>万元。股东仍为钱云宝等</w:t>
      </w:r>
      <w:r>
        <w:rPr>
          <w:rFonts w:ascii="Times New Roman" w:hAnsi="Times New Roman" w:cs="Times New Roman" w:eastAsia="Times New Roman" w:hint="default"/>
        </w:rPr>
        <w:t>6</w:t>
      </w:r>
      <w:r>
        <w:rPr/>
        <w:t>位自然人。</w:t>
      </w:r>
    </w:p>
    <w:p>
      <w:pPr>
        <w:spacing w:line="240" w:lineRule="auto" w:before="11"/>
        <w:rPr>
          <w:rFonts w:ascii="宋体" w:hAnsi="宋体" w:cs="宋体" w:eastAsia="宋体" w:hint="default"/>
          <w:sz w:val="24"/>
          <w:szCs w:val="24"/>
        </w:rPr>
      </w:pPr>
    </w:p>
    <w:p>
      <w:pPr>
        <w:pStyle w:val="BodyText"/>
        <w:spacing w:line="300" w:lineRule="auto"/>
        <w:ind w:right="1131"/>
        <w:jc w:val="both"/>
      </w:pPr>
      <w:r>
        <w:rPr/>
        <w:t>根据公司</w:t>
      </w:r>
      <w:r>
        <w:rPr>
          <w:rFonts w:ascii="Times New Roman" w:hAnsi="Times New Roman" w:cs="Times New Roman" w:eastAsia="Times New Roman" w:hint="default"/>
        </w:rPr>
        <w:t>2005</w:t>
      </w:r>
      <w:r>
        <w:rPr/>
        <w:t>年度股东大会决议和修改后章程的规定，公司将</w:t>
      </w:r>
      <w:r>
        <w:rPr>
          <w:rFonts w:ascii="Times New Roman" w:hAnsi="Times New Roman" w:cs="Times New Roman" w:eastAsia="Times New Roman" w:hint="default"/>
        </w:rPr>
        <w:t>2005</w:t>
      </w:r>
      <w:r>
        <w:rPr/>
        <w:t>年度实际未分配利润，以</w:t>
      </w:r>
      <w:r>
        <w:rPr>
          <w:rFonts w:ascii="Times New Roman" w:hAnsi="Times New Roman" w:cs="Times New Roman" w:eastAsia="Times New Roman" w:hint="default"/>
        </w:rPr>
        <w:t>2005</w:t>
      </w:r>
      <w:r>
        <w:rPr/>
        <w:t>年末</w:t>
      </w:r>
      <w:r>
        <w:rPr>
          <w:rFonts w:ascii="Times New Roman" w:hAnsi="Times New Roman" w:cs="Times New Roman" w:eastAsia="Times New Roman" w:hint="default"/>
        </w:rPr>
        <w:t>7,200</w:t>
      </w:r>
      <w:r>
        <w:rPr/>
        <w:t>万元股本为基数</w:t>
      </w:r>
      <w:r>
        <w:rPr>
          <w:spacing w:val="-56"/>
        </w:rPr>
        <w:t> </w:t>
      </w:r>
      <w:r>
        <w:rPr>
          <w:spacing w:val="-56"/>
        </w:rPr>
      </w:r>
      <w:r>
        <w:rPr/>
        <w:t>按每</w:t>
      </w:r>
      <w:r>
        <w:rPr>
          <w:rFonts w:ascii="Times New Roman" w:hAnsi="Times New Roman" w:cs="Times New Roman" w:eastAsia="Times New Roman" w:hint="default"/>
        </w:rPr>
        <w:t>10</w:t>
      </w:r>
      <w:r>
        <w:rPr/>
        <w:t>股送</w:t>
      </w:r>
      <w:r>
        <w:rPr>
          <w:rFonts w:ascii="Times New Roman" w:hAnsi="Times New Roman" w:cs="Times New Roman" w:eastAsia="Times New Roman" w:hint="default"/>
        </w:rPr>
        <w:t>2</w:t>
      </w:r>
      <w:r>
        <w:rPr/>
        <w:t>股转增注册资本人民币</w:t>
      </w:r>
      <w:r>
        <w:rPr>
          <w:rFonts w:ascii="Times New Roman" w:hAnsi="Times New Roman" w:cs="Times New Roman" w:eastAsia="Times New Roman" w:hint="default"/>
        </w:rPr>
        <w:t>1,440</w:t>
      </w:r>
      <w:r>
        <w:rPr/>
        <w:t>万元，变更后的注册资本为人民币</w:t>
      </w:r>
      <w:r>
        <w:rPr>
          <w:rFonts w:ascii="Times New Roman" w:hAnsi="Times New Roman" w:cs="Times New Roman" w:eastAsia="Times New Roman" w:hint="default"/>
        </w:rPr>
        <w:t>8,640</w:t>
      </w:r>
      <w:r>
        <w:rPr/>
        <w:t>万元。股东仍为钱云宝等</w:t>
      </w:r>
      <w:r>
        <w:rPr>
          <w:rFonts w:ascii="Times New Roman" w:hAnsi="Times New Roman" w:cs="Times New Roman" w:eastAsia="Times New Roman" w:hint="default"/>
        </w:rPr>
        <w:t>6</w:t>
      </w:r>
      <w:r>
        <w:rPr/>
        <w:t>位自然人。</w:t>
      </w:r>
    </w:p>
    <w:p>
      <w:pPr>
        <w:spacing w:line="240" w:lineRule="auto" w:before="11"/>
        <w:rPr>
          <w:rFonts w:ascii="宋体" w:hAnsi="宋体" w:cs="宋体" w:eastAsia="宋体" w:hint="default"/>
          <w:sz w:val="24"/>
          <w:szCs w:val="24"/>
        </w:rPr>
      </w:pPr>
    </w:p>
    <w:p>
      <w:pPr>
        <w:pStyle w:val="BodyText"/>
        <w:spacing w:line="300" w:lineRule="auto"/>
        <w:ind w:right="1129"/>
        <w:jc w:val="both"/>
      </w:pPr>
      <w:r>
        <w:rPr/>
        <w:t>根据公司</w:t>
      </w:r>
      <w:r>
        <w:rPr>
          <w:rFonts w:ascii="Times New Roman" w:hAnsi="Times New Roman" w:cs="Times New Roman" w:eastAsia="Times New Roman" w:hint="default"/>
        </w:rPr>
        <w:t>2005</w:t>
      </w:r>
      <w:r>
        <w:rPr/>
        <w:t>年度股东大会决议，并经中国证券监督管理委员会证监发行字</w:t>
      </w:r>
      <w:r>
        <w:rPr>
          <w:rFonts w:ascii="Times New Roman" w:hAnsi="Times New Roman" w:cs="Times New Roman" w:eastAsia="Times New Roman" w:hint="default"/>
        </w:rPr>
        <w:t>[2006]157</w:t>
      </w:r>
      <w:r>
        <w:rPr/>
        <w:t>号文核准，公司于</w:t>
      </w:r>
      <w:r>
        <w:rPr>
          <w:rFonts w:ascii="Times New Roman" w:hAnsi="Times New Roman" w:cs="Times New Roman" w:eastAsia="Times New Roman" w:hint="default"/>
        </w:rPr>
        <w:t>2006</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25</w:t>
      </w:r>
      <w:r>
        <w:rPr/>
        <w:t>日向</w:t>
      </w:r>
      <w:r>
        <w:rPr>
          <w:spacing w:val="-45"/>
        </w:rPr>
        <w:t> </w:t>
      </w:r>
      <w:r>
        <w:rPr/>
        <w:t>社会公开发行人民币普通股（</w:t>
      </w:r>
      <w:r>
        <w:rPr>
          <w:rFonts w:ascii="Times New Roman" w:hAnsi="Times New Roman" w:cs="Times New Roman" w:eastAsia="Times New Roman" w:hint="default"/>
        </w:rPr>
        <w:t>A</w:t>
      </w:r>
      <w:r>
        <w:rPr/>
        <w:t>股）</w:t>
      </w:r>
      <w:r>
        <w:rPr>
          <w:rFonts w:ascii="Times New Roman" w:hAnsi="Times New Roman" w:cs="Times New Roman" w:eastAsia="Times New Roman" w:hint="default"/>
        </w:rPr>
        <w:t>2,880</w:t>
      </w:r>
      <w:r>
        <w:rPr/>
        <w:t>万股</w:t>
      </w:r>
      <w:r>
        <w:rPr>
          <w:rFonts w:ascii="Times New Roman" w:hAnsi="Times New Roman" w:cs="Times New Roman" w:eastAsia="Times New Roman" w:hint="default"/>
        </w:rPr>
        <w:t>,</w:t>
      </w:r>
      <w:r>
        <w:rPr/>
        <w:t>变更后的注册资本为人民币</w:t>
      </w:r>
      <w:r>
        <w:rPr>
          <w:rFonts w:ascii="Times New Roman" w:hAnsi="Times New Roman" w:cs="Times New Roman" w:eastAsia="Times New Roman" w:hint="default"/>
        </w:rPr>
        <w:t>11,520</w:t>
      </w:r>
      <w:r>
        <w:rPr/>
        <w:t>万元。公司于</w:t>
      </w:r>
      <w:r>
        <w:rPr>
          <w:rFonts w:ascii="Times New Roman" w:hAnsi="Times New Roman" w:cs="Times New Roman" w:eastAsia="Times New Roman" w:hint="default"/>
        </w:rPr>
        <w:t>2007</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10</w:t>
      </w:r>
      <w:r>
        <w:rPr/>
        <w:t>日在深圳证券交 易所上市，股票代码：</w:t>
      </w:r>
      <w:r>
        <w:rPr>
          <w:rFonts w:ascii="Times New Roman" w:hAnsi="Times New Roman" w:cs="Times New Roman" w:eastAsia="Times New Roman" w:hint="default"/>
        </w:rPr>
        <w:t>002104</w:t>
      </w:r>
      <w:r>
        <w:rPr/>
        <w:t>。所属行业为计算机、通信和其他电子设备制造业。</w:t>
      </w:r>
    </w:p>
    <w:p>
      <w:pPr>
        <w:spacing w:after="0" w:line="300" w:lineRule="auto"/>
        <w:jc w:val="both"/>
        <w:sectPr>
          <w:pgSz w:w="11910" w:h="16840"/>
          <w:pgMar w:header="906" w:footer="1018" w:top="1100" w:bottom="1200" w:left="1020" w:right="0"/>
        </w:sectPr>
      </w:pPr>
    </w:p>
    <w:p>
      <w:pPr>
        <w:spacing w:line="240" w:lineRule="auto" w:before="11"/>
        <w:rPr>
          <w:rFonts w:ascii="宋体" w:hAnsi="宋体" w:cs="宋体" w:eastAsia="宋体" w:hint="default"/>
          <w:sz w:val="22"/>
          <w:szCs w:val="22"/>
        </w:rPr>
      </w:pPr>
    </w:p>
    <w:p>
      <w:pPr>
        <w:pStyle w:val="BodyText"/>
        <w:spacing w:line="300" w:lineRule="auto" w:before="44"/>
        <w:ind w:right="1122"/>
        <w:jc w:val="left"/>
      </w:pPr>
      <w:r>
        <w:rPr>
          <w:spacing w:val="-3"/>
        </w:rPr>
        <w:t>根据公司</w:t>
      </w:r>
      <w:r>
        <w:rPr>
          <w:rFonts w:ascii="Times New Roman" w:hAnsi="Times New Roman" w:cs="Times New Roman" w:eastAsia="Times New Roman" w:hint="default"/>
          <w:spacing w:val="-3"/>
        </w:rPr>
        <w:t>2006</w:t>
      </w:r>
      <w:r>
        <w:rPr>
          <w:spacing w:val="-3"/>
        </w:rPr>
        <w:t>年度股东会决议和修改后的章程规定，公司将资本公积按每</w:t>
      </w:r>
      <w:r>
        <w:rPr>
          <w:rFonts w:ascii="Times New Roman" w:hAnsi="Times New Roman" w:cs="Times New Roman" w:eastAsia="Times New Roman" w:hint="default"/>
          <w:spacing w:val="-3"/>
        </w:rPr>
        <w:t>10</w:t>
      </w:r>
      <w:r>
        <w:rPr>
          <w:spacing w:val="-3"/>
        </w:rPr>
        <w:t>股转增</w:t>
      </w:r>
      <w:r>
        <w:rPr>
          <w:rFonts w:ascii="Times New Roman" w:hAnsi="Times New Roman" w:cs="Times New Roman" w:eastAsia="Times New Roman" w:hint="default"/>
          <w:spacing w:val="-3"/>
        </w:rPr>
        <w:t>7</w:t>
      </w:r>
      <w:r>
        <w:rPr>
          <w:spacing w:val="-3"/>
        </w:rPr>
        <w:t>股的比例转增股本，转增基准日期为</w:t>
      </w:r>
      <w:r>
        <w:rPr>
          <w:rFonts w:ascii="Times New Roman" w:hAnsi="Times New Roman" w:cs="Times New Roman" w:eastAsia="Times New Roman" w:hint="default"/>
          <w:spacing w:val="-3"/>
        </w:rPr>
        <w:t>2006</w:t>
      </w:r>
      <w:r>
        <w:rPr>
          <w:rFonts w:ascii="Times New Roman" w:hAnsi="Times New Roman" w:cs="Times New Roman" w:eastAsia="Times New Roman" w:hint="default"/>
          <w:spacing w:val="-37"/>
        </w:rPr>
        <w:t> </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日，变更后注册资本为人民币</w:t>
      </w:r>
      <w:r>
        <w:rPr>
          <w:rFonts w:ascii="Times New Roman" w:hAnsi="Times New Roman" w:cs="Times New Roman" w:eastAsia="Times New Roman" w:hint="default"/>
        </w:rPr>
        <w:t>19,584</w:t>
      </w:r>
      <w:r>
        <w:rPr/>
        <w:t>万元。</w:t>
      </w:r>
    </w:p>
    <w:p>
      <w:pPr>
        <w:spacing w:line="240" w:lineRule="auto" w:before="11"/>
        <w:rPr>
          <w:rFonts w:ascii="宋体" w:hAnsi="宋体" w:cs="宋体" w:eastAsia="宋体" w:hint="default"/>
          <w:sz w:val="24"/>
          <w:szCs w:val="24"/>
        </w:rPr>
      </w:pPr>
    </w:p>
    <w:p>
      <w:pPr>
        <w:pStyle w:val="BodyText"/>
        <w:spacing w:line="300" w:lineRule="auto"/>
        <w:ind w:right="1122"/>
        <w:jc w:val="left"/>
      </w:pPr>
      <w:r>
        <w:rPr>
          <w:spacing w:val="-3"/>
        </w:rPr>
        <w:t>根据公司</w:t>
      </w:r>
      <w:r>
        <w:rPr>
          <w:rFonts w:ascii="Times New Roman" w:hAnsi="Times New Roman" w:cs="Times New Roman" w:eastAsia="Times New Roman" w:hint="default"/>
          <w:spacing w:val="-3"/>
        </w:rPr>
        <w:t>2007</w:t>
      </w:r>
      <w:r>
        <w:rPr>
          <w:spacing w:val="-3"/>
        </w:rPr>
        <w:t>年度股东会决议和修改后的章程规定，公司将资本公积按每</w:t>
      </w:r>
      <w:r>
        <w:rPr>
          <w:rFonts w:ascii="Times New Roman" w:hAnsi="Times New Roman" w:cs="Times New Roman" w:eastAsia="Times New Roman" w:hint="default"/>
          <w:spacing w:val="-3"/>
        </w:rPr>
        <w:t>10</w:t>
      </w:r>
      <w:r>
        <w:rPr>
          <w:spacing w:val="-3"/>
        </w:rPr>
        <w:t>股转增</w:t>
      </w:r>
      <w:r>
        <w:rPr>
          <w:rFonts w:ascii="Times New Roman" w:hAnsi="Times New Roman" w:cs="Times New Roman" w:eastAsia="Times New Roman" w:hint="default"/>
          <w:spacing w:val="-3"/>
        </w:rPr>
        <w:t>5</w:t>
      </w:r>
      <w:r>
        <w:rPr>
          <w:spacing w:val="-3"/>
        </w:rPr>
        <w:t>股的比例转增股本，转增基准日期为</w:t>
      </w:r>
      <w:r>
        <w:rPr>
          <w:rFonts w:ascii="Times New Roman" w:hAnsi="Times New Roman" w:cs="Times New Roman" w:eastAsia="Times New Roman" w:hint="default"/>
          <w:spacing w:val="-3"/>
        </w:rPr>
        <w:t>2007</w:t>
      </w:r>
      <w:r>
        <w:rPr>
          <w:rFonts w:ascii="Times New Roman" w:hAnsi="Times New Roman" w:cs="Times New Roman" w:eastAsia="Times New Roman" w:hint="default"/>
          <w:spacing w:val="-37"/>
        </w:rPr>
        <w:t> </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日，变更后注册资本为人民币</w:t>
      </w:r>
      <w:r>
        <w:rPr>
          <w:rFonts w:ascii="Times New Roman" w:hAnsi="Times New Roman" w:cs="Times New Roman" w:eastAsia="Times New Roman" w:hint="default"/>
        </w:rPr>
        <w:t>29,376</w:t>
      </w:r>
      <w:r>
        <w:rPr/>
        <w:t>万元。</w:t>
      </w:r>
    </w:p>
    <w:p>
      <w:pPr>
        <w:spacing w:line="240" w:lineRule="auto" w:before="11"/>
        <w:rPr>
          <w:rFonts w:ascii="宋体" w:hAnsi="宋体" w:cs="宋体" w:eastAsia="宋体" w:hint="default"/>
          <w:sz w:val="24"/>
          <w:szCs w:val="24"/>
        </w:rPr>
      </w:pPr>
    </w:p>
    <w:p>
      <w:pPr>
        <w:pStyle w:val="BodyText"/>
        <w:spacing w:line="300" w:lineRule="auto"/>
        <w:ind w:right="0"/>
        <w:jc w:val="left"/>
      </w:pPr>
      <w:r>
        <w:rPr/>
        <w:t>根据公司</w:t>
      </w:r>
      <w:r>
        <w:rPr>
          <w:rFonts w:ascii="Times New Roman" w:hAnsi="Times New Roman" w:cs="Times New Roman" w:eastAsia="Times New Roman" w:hint="default"/>
        </w:rPr>
        <w:t>2009</w:t>
      </w:r>
      <w:r>
        <w:rPr/>
        <w:t>年度股东大会决议和修改后章程的规定，公司以</w:t>
      </w:r>
      <w:r>
        <w:rPr>
          <w:rFonts w:ascii="Times New Roman" w:hAnsi="Times New Roman" w:cs="Times New Roman" w:eastAsia="Times New Roman" w:hint="default"/>
        </w:rPr>
        <w:t>2009</w:t>
      </w:r>
      <w:r>
        <w:rPr/>
        <w:t>年末</w:t>
      </w:r>
      <w:r>
        <w:rPr>
          <w:rFonts w:ascii="Times New Roman" w:hAnsi="Times New Roman" w:cs="Times New Roman" w:eastAsia="Times New Roman" w:hint="default"/>
        </w:rPr>
        <w:t>29,376</w:t>
      </w:r>
      <w:r>
        <w:rPr/>
        <w:t>万元股本为基数按每</w:t>
      </w:r>
      <w:r>
        <w:rPr>
          <w:rFonts w:ascii="Times New Roman" w:hAnsi="Times New Roman" w:cs="Times New Roman" w:eastAsia="Times New Roman" w:hint="default"/>
        </w:rPr>
        <w:t>10</w:t>
      </w:r>
      <w:r>
        <w:rPr/>
        <w:t>股送</w:t>
      </w:r>
      <w:r>
        <w:rPr>
          <w:rFonts w:ascii="Times New Roman" w:hAnsi="Times New Roman" w:cs="Times New Roman" w:eastAsia="Times New Roman" w:hint="default"/>
        </w:rPr>
        <w:t>5</w:t>
      </w:r>
      <w:r>
        <w:rPr/>
        <w:t>股转增注册资本</w:t>
      </w:r>
      <w:r>
        <w:rPr>
          <w:spacing w:val="-56"/>
        </w:rPr>
        <w:t> </w:t>
      </w:r>
      <w:r>
        <w:rPr>
          <w:spacing w:val="-56"/>
        </w:rPr>
      </w:r>
      <w:r>
        <w:rPr/>
        <w:t>人民币</w:t>
      </w:r>
      <w:r>
        <w:rPr>
          <w:rFonts w:ascii="Times New Roman" w:hAnsi="Times New Roman" w:cs="Times New Roman" w:eastAsia="Times New Roman" w:hint="default"/>
        </w:rPr>
        <w:t>14,688</w:t>
      </w:r>
      <w:r>
        <w:rPr/>
        <w:t>万元，公司申请增加注册资本人民币</w:t>
      </w:r>
      <w:r>
        <w:rPr>
          <w:rFonts w:ascii="Times New Roman" w:hAnsi="Times New Roman" w:cs="Times New Roman" w:eastAsia="Times New Roman" w:hint="default"/>
        </w:rPr>
        <w:t>14,688</w:t>
      </w:r>
      <w:r>
        <w:rPr/>
        <w:t>万元，变更后的注册资本人民币</w:t>
      </w:r>
      <w:r>
        <w:rPr>
          <w:rFonts w:ascii="Times New Roman" w:hAnsi="Times New Roman" w:cs="Times New Roman" w:eastAsia="Times New Roman" w:hint="default"/>
        </w:rPr>
        <w:t>44,064</w:t>
      </w:r>
      <w:r>
        <w:rPr/>
        <w:t>万元。</w:t>
      </w:r>
    </w:p>
    <w:p>
      <w:pPr>
        <w:spacing w:line="240" w:lineRule="auto" w:before="11"/>
        <w:rPr>
          <w:rFonts w:ascii="宋体" w:hAnsi="宋体" w:cs="宋体" w:eastAsia="宋体" w:hint="default"/>
          <w:sz w:val="24"/>
          <w:szCs w:val="24"/>
        </w:rPr>
      </w:pPr>
    </w:p>
    <w:p>
      <w:pPr>
        <w:pStyle w:val="BodyText"/>
        <w:spacing w:line="300" w:lineRule="auto"/>
        <w:ind w:right="0"/>
        <w:jc w:val="left"/>
      </w:pPr>
      <w:r>
        <w:rPr/>
        <w:t>根据公司</w:t>
      </w:r>
      <w:r>
        <w:rPr>
          <w:rFonts w:ascii="Times New Roman" w:hAnsi="Times New Roman" w:cs="Times New Roman" w:eastAsia="Times New Roman" w:hint="default"/>
        </w:rPr>
        <w:t>2013</w:t>
      </w:r>
      <w:r>
        <w:rPr/>
        <w:t>年度股东大会决议和修改后章程的规定，公司以</w:t>
      </w:r>
      <w:r>
        <w:rPr>
          <w:rFonts w:ascii="Times New Roman" w:hAnsi="Times New Roman" w:cs="Times New Roman" w:eastAsia="Times New Roman" w:hint="default"/>
        </w:rPr>
        <w:t>2013</w:t>
      </w:r>
      <w:r>
        <w:rPr/>
        <w:t>年末</w:t>
      </w:r>
      <w:r>
        <w:rPr>
          <w:rFonts w:ascii="Times New Roman" w:hAnsi="Times New Roman" w:cs="Times New Roman" w:eastAsia="Times New Roman" w:hint="default"/>
        </w:rPr>
        <w:t>44,064</w:t>
      </w:r>
      <w:r>
        <w:rPr/>
        <w:t>万元股本为基数按每</w:t>
      </w:r>
      <w:r>
        <w:rPr>
          <w:rFonts w:ascii="Times New Roman" w:hAnsi="Times New Roman" w:cs="Times New Roman" w:eastAsia="Times New Roman" w:hint="default"/>
        </w:rPr>
        <w:t>10</w:t>
      </w:r>
      <w:r>
        <w:rPr/>
        <w:t>股送</w:t>
      </w:r>
      <w:r>
        <w:rPr>
          <w:rFonts w:ascii="Times New Roman" w:hAnsi="Times New Roman" w:cs="Times New Roman" w:eastAsia="Times New Roman" w:hint="default"/>
        </w:rPr>
        <w:t>6</w:t>
      </w:r>
      <w:r>
        <w:rPr/>
        <w:t>股转增注册资本</w:t>
      </w:r>
      <w:r>
        <w:rPr>
          <w:spacing w:val="-56"/>
        </w:rPr>
        <w:t> </w:t>
      </w:r>
      <w:r>
        <w:rPr>
          <w:spacing w:val="-56"/>
        </w:rPr>
      </w:r>
      <w:r>
        <w:rPr/>
        <w:t>人民币</w:t>
      </w:r>
      <w:r>
        <w:rPr>
          <w:rFonts w:ascii="Times New Roman" w:hAnsi="Times New Roman" w:cs="Times New Roman" w:eastAsia="Times New Roman" w:hint="default"/>
        </w:rPr>
        <w:t>26,438.40</w:t>
      </w:r>
      <w:r>
        <w:rPr/>
        <w:t>万元，公司申请增加注册资本人民币</w:t>
      </w:r>
      <w:r>
        <w:rPr>
          <w:rFonts w:ascii="Times New Roman" w:hAnsi="Times New Roman" w:cs="Times New Roman" w:eastAsia="Times New Roman" w:hint="default"/>
        </w:rPr>
        <w:t>26,438.40</w:t>
      </w:r>
      <w:r>
        <w:rPr/>
        <w:t>万元，变更后的注册资本人民币</w:t>
      </w:r>
      <w:r>
        <w:rPr>
          <w:rFonts w:ascii="Times New Roman" w:hAnsi="Times New Roman" w:cs="Times New Roman" w:eastAsia="Times New Roman" w:hint="default"/>
        </w:rPr>
        <w:t>70,502.40</w:t>
      </w:r>
      <w:r>
        <w:rPr/>
        <w:t>万元。</w:t>
      </w:r>
    </w:p>
    <w:p>
      <w:pPr>
        <w:spacing w:line="240" w:lineRule="auto" w:before="11"/>
        <w:rPr>
          <w:rFonts w:ascii="宋体" w:hAnsi="宋体" w:cs="宋体" w:eastAsia="宋体" w:hint="default"/>
          <w:sz w:val="24"/>
          <w:szCs w:val="24"/>
        </w:rPr>
      </w:pPr>
    </w:p>
    <w:p>
      <w:pPr>
        <w:pStyle w:val="BodyText"/>
        <w:spacing w:line="300" w:lineRule="auto"/>
        <w:ind w:right="0"/>
        <w:jc w:val="left"/>
      </w:pPr>
      <w:r>
        <w:rPr>
          <w:spacing w:val="-2"/>
        </w:rPr>
        <w:t>根据公司</w:t>
      </w:r>
      <w:r>
        <w:rPr>
          <w:rFonts w:ascii="Times New Roman" w:hAnsi="Times New Roman" w:cs="Times New Roman" w:eastAsia="Times New Roman" w:hint="default"/>
          <w:spacing w:val="-2"/>
        </w:rPr>
        <w:t>2014</w:t>
      </w:r>
      <w:r>
        <w:rPr>
          <w:spacing w:val="-2"/>
        </w:rPr>
        <w:t>年第一次临时股东大会决议和股票期权与限制性股票激励计划规定，公司向激励对象定向发行有限售条件的流</w:t>
      </w:r>
      <w:r>
        <w:rPr>
          <w:spacing w:val="-60"/>
        </w:rPr>
        <w:t> </w:t>
      </w:r>
      <w:r>
        <w:rPr>
          <w:spacing w:val="-60"/>
        </w:rPr>
      </w:r>
      <w:r>
        <w:rPr/>
        <w:t>通股，增加注册资本人民币</w:t>
      </w:r>
      <w:r>
        <w:rPr>
          <w:rFonts w:ascii="Times New Roman" w:hAnsi="Times New Roman" w:cs="Times New Roman" w:eastAsia="Times New Roman" w:hint="default"/>
        </w:rPr>
        <w:t>817.60</w:t>
      </w:r>
      <w:r>
        <w:rPr/>
        <w:t>万元，变更后的注册资本人民币</w:t>
      </w:r>
      <w:r>
        <w:rPr>
          <w:rFonts w:ascii="Times New Roman" w:hAnsi="Times New Roman" w:cs="Times New Roman" w:eastAsia="Times New Roman" w:hint="default"/>
        </w:rPr>
        <w:t>71,320</w:t>
      </w:r>
      <w:r>
        <w:rPr/>
        <w:t>万元。</w:t>
      </w:r>
    </w:p>
    <w:p>
      <w:pPr>
        <w:spacing w:line="240" w:lineRule="auto" w:before="11"/>
        <w:rPr>
          <w:rFonts w:ascii="宋体" w:hAnsi="宋体" w:cs="宋体" w:eastAsia="宋体" w:hint="default"/>
          <w:sz w:val="24"/>
          <w:szCs w:val="24"/>
        </w:rPr>
      </w:pPr>
    </w:p>
    <w:p>
      <w:pPr>
        <w:pStyle w:val="BodyText"/>
        <w:spacing w:line="240" w:lineRule="auto"/>
        <w:ind w:right="0"/>
        <w:jc w:val="both"/>
      </w:pPr>
      <w:r>
        <w:rPr>
          <w:rFonts w:ascii="Times New Roman" w:hAnsi="Times New Roman" w:cs="Times New Roman" w:eastAsia="Times New Roman" w:hint="default"/>
        </w:rPr>
        <w:t>2015</w:t>
      </w:r>
      <w:r>
        <w:rPr/>
        <w:t>年</w:t>
      </w:r>
      <w:r>
        <w:rPr>
          <w:rFonts w:ascii="Times New Roman" w:hAnsi="Times New Roman" w:cs="Times New Roman" w:eastAsia="Times New Roman" w:hint="default"/>
        </w:rPr>
        <w:t>8</w:t>
      </w:r>
      <w:r>
        <w:rPr/>
        <w:t>月，公司因股票期权首次行权增加股本</w:t>
      </w:r>
      <w:r>
        <w:rPr>
          <w:rFonts w:ascii="Times New Roman" w:hAnsi="Times New Roman" w:cs="Times New Roman" w:eastAsia="Times New Roman" w:hint="default"/>
        </w:rPr>
        <w:t>34.40</w:t>
      </w:r>
      <w:r>
        <w:rPr/>
        <w:t>万股，变更后的股本总数为</w:t>
      </w:r>
      <w:r>
        <w:rPr>
          <w:rFonts w:ascii="Times New Roman" w:hAnsi="Times New Roman" w:cs="Times New Roman" w:eastAsia="Times New Roman" w:hint="default"/>
        </w:rPr>
        <w:t>71,354.40</w:t>
      </w:r>
      <w:r>
        <w:rPr/>
        <w:t>万股。</w:t>
      </w:r>
    </w:p>
    <w:p>
      <w:pPr>
        <w:spacing w:line="240" w:lineRule="auto" w:before="0"/>
        <w:rPr>
          <w:rFonts w:ascii="宋体" w:hAnsi="宋体" w:cs="宋体" w:eastAsia="宋体" w:hint="default"/>
          <w:sz w:val="18"/>
          <w:szCs w:val="18"/>
        </w:rPr>
      </w:pPr>
    </w:p>
    <w:p>
      <w:pPr>
        <w:pStyle w:val="BodyText"/>
        <w:spacing w:line="240" w:lineRule="auto" w:before="139"/>
        <w:ind w:right="0"/>
        <w:jc w:val="both"/>
        <w:rPr>
          <w:rFonts w:ascii="Times New Roman" w:hAnsi="Times New Roman" w:cs="Times New Roman" w:eastAsia="Times New Roman" w:hint="default"/>
        </w:rPr>
      </w:pPr>
      <w:r>
        <w:rPr>
          <w:rFonts w:ascii="Times New Roman" w:hAnsi="Times New Roman" w:cs="Times New Roman" w:eastAsia="Times New Roman" w:hint="default"/>
          <w:spacing w:val="-4"/>
        </w:rPr>
        <w:t>2016</w:t>
      </w:r>
      <w:r>
        <w:rPr>
          <w:spacing w:val="-4"/>
        </w:rPr>
        <w:t>年</w:t>
      </w:r>
      <w:r>
        <w:rPr>
          <w:rFonts w:ascii="Times New Roman" w:hAnsi="Times New Roman" w:cs="Times New Roman" w:eastAsia="Times New Roman" w:hint="default"/>
          <w:spacing w:val="-4"/>
        </w:rPr>
        <w:t>4</w:t>
      </w:r>
      <w:r>
        <w:rPr>
          <w:spacing w:val="-4"/>
        </w:rPr>
        <w:t>月，公司因部分员工离职，回购并注销限制性股票</w:t>
      </w:r>
      <w:r>
        <w:rPr>
          <w:rFonts w:ascii="Times New Roman" w:hAnsi="Times New Roman" w:cs="Times New Roman" w:eastAsia="Times New Roman" w:hint="default"/>
          <w:spacing w:val="-4"/>
        </w:rPr>
        <w:t>4</w:t>
      </w:r>
      <w:r>
        <w:rPr>
          <w:spacing w:val="-4"/>
        </w:rPr>
        <w:t>万股；</w:t>
      </w:r>
      <w:r>
        <w:rPr>
          <w:rFonts w:ascii="Times New Roman" w:hAnsi="Times New Roman" w:cs="Times New Roman" w:eastAsia="Times New Roman" w:hint="default"/>
          <w:spacing w:val="-4"/>
        </w:rPr>
        <w:t>2016</w:t>
      </w:r>
      <w:r>
        <w:rPr>
          <w:spacing w:val="-4"/>
        </w:rPr>
        <w:t>年</w:t>
      </w:r>
      <w:r>
        <w:rPr>
          <w:rFonts w:ascii="Times New Roman" w:hAnsi="Times New Roman" w:cs="Times New Roman" w:eastAsia="Times New Roman" w:hint="default"/>
          <w:spacing w:val="-4"/>
        </w:rPr>
        <w:t>8</w:t>
      </w:r>
      <w:r>
        <w:rPr>
          <w:spacing w:val="-4"/>
        </w:rPr>
        <w:t>月，公司因股票期权第二次行权增加股本数量</w:t>
      </w:r>
      <w:r>
        <w:rPr>
          <w:rFonts w:ascii="Times New Roman" w:hAnsi="Times New Roman" w:cs="Times New Roman" w:eastAsia="Times New Roman" w:hint="default"/>
          <w:spacing w:val="-4"/>
        </w:rPr>
        <w:t>14.40</w:t>
      </w:r>
    </w:p>
    <w:p>
      <w:pPr>
        <w:pStyle w:val="BodyText"/>
        <w:spacing w:line="240" w:lineRule="auto" w:before="62"/>
        <w:ind w:right="0"/>
        <w:jc w:val="both"/>
      </w:pPr>
      <w:r>
        <w:rPr/>
        <w:t>万股，变更后的股本总数为</w:t>
      </w:r>
      <w:r>
        <w:rPr>
          <w:rFonts w:ascii="Times New Roman" w:hAnsi="Times New Roman" w:cs="Times New Roman" w:eastAsia="Times New Roman" w:hint="default"/>
        </w:rPr>
        <w:t>71,364.80</w:t>
      </w:r>
      <w:r>
        <w:rPr/>
        <w:t>万股。</w:t>
      </w:r>
    </w:p>
    <w:p>
      <w:pPr>
        <w:spacing w:line="240" w:lineRule="auto" w:before="0"/>
        <w:rPr>
          <w:rFonts w:ascii="宋体" w:hAnsi="宋体" w:cs="宋体" w:eastAsia="宋体" w:hint="default"/>
          <w:sz w:val="18"/>
          <w:szCs w:val="18"/>
        </w:rPr>
      </w:pPr>
    </w:p>
    <w:p>
      <w:pPr>
        <w:pStyle w:val="BodyText"/>
        <w:spacing w:line="300" w:lineRule="auto" w:before="139"/>
        <w:ind w:right="1122"/>
        <w:jc w:val="left"/>
      </w:pPr>
      <w:r>
        <w:rPr>
          <w:rFonts w:ascii="Times New Roman" w:hAnsi="Times New Roman" w:cs="Times New Roman" w:eastAsia="Times New Roman" w:hint="default"/>
        </w:rPr>
        <w:t>2017</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12</w:t>
      </w:r>
      <w:r>
        <w:rPr/>
        <w:t>日，公司原实际控制人钱云宝先生因病医治无效去世，其相应股份由其子钱京先生依法继承。至此，钱京先生</w:t>
      </w:r>
      <w:r>
        <w:rPr>
          <w:spacing w:val="-84"/>
        </w:rPr>
        <w:t> </w:t>
      </w:r>
      <w:r>
        <w:rPr>
          <w:spacing w:val="-84"/>
        </w:rPr>
      </w:r>
      <w:r>
        <w:rPr/>
        <w:t>持有公司股份</w:t>
      </w:r>
      <w:r>
        <w:rPr>
          <w:rFonts w:ascii="Times New Roman" w:hAnsi="Times New Roman" w:cs="Times New Roman" w:eastAsia="Times New Roman" w:hint="default"/>
        </w:rPr>
        <w:t>143,925,147</w:t>
      </w:r>
      <w:r>
        <w:rPr/>
        <w:t>股，占公司总股本</w:t>
      </w:r>
      <w:r>
        <w:rPr>
          <w:rFonts w:ascii="Times New Roman" w:hAnsi="Times New Roman" w:cs="Times New Roman" w:eastAsia="Times New Roman" w:hint="default"/>
        </w:rPr>
        <w:t>20.17%</w:t>
      </w:r>
      <w:r>
        <w:rPr/>
        <w:t>，成为公司实际控制人。</w:t>
      </w:r>
    </w:p>
    <w:p>
      <w:pPr>
        <w:spacing w:line="240" w:lineRule="auto" w:before="11"/>
        <w:rPr>
          <w:rFonts w:ascii="宋体" w:hAnsi="宋体" w:cs="宋体" w:eastAsia="宋体" w:hint="default"/>
          <w:sz w:val="24"/>
          <w:szCs w:val="24"/>
        </w:rPr>
      </w:pPr>
    </w:p>
    <w:p>
      <w:pPr>
        <w:pStyle w:val="BodyText"/>
        <w:spacing w:line="300" w:lineRule="auto"/>
        <w:ind w:right="1122"/>
        <w:jc w:val="left"/>
      </w:pPr>
      <w:r>
        <w:rPr>
          <w:rFonts w:ascii="Times New Roman" w:hAnsi="Times New Roman" w:cs="Times New Roman" w:eastAsia="Times New Roman" w:hint="default"/>
        </w:rPr>
        <w:t>2017</w:t>
      </w:r>
      <w:r>
        <w:rPr/>
        <w:t>年</w:t>
      </w:r>
      <w:r>
        <w:rPr>
          <w:rFonts w:ascii="Times New Roman" w:hAnsi="Times New Roman" w:cs="Times New Roman" w:eastAsia="Times New Roman" w:hint="default"/>
        </w:rPr>
        <w:t>9</w:t>
      </w:r>
      <w:r>
        <w:rPr/>
        <w:t>月，因</w:t>
      </w:r>
      <w:r>
        <w:rPr>
          <w:rFonts w:ascii="Times New Roman" w:hAnsi="Times New Roman" w:cs="Times New Roman" w:eastAsia="Times New Roman" w:hint="default"/>
        </w:rPr>
        <w:t>2016</w:t>
      </w:r>
      <w:r>
        <w:rPr/>
        <w:t>年度业绩考核结果未满足股票期权和限制性股票激励计划授予的限制性股票第三期解锁条件，公司回购</w:t>
      </w:r>
      <w:r>
        <w:rPr>
          <w:spacing w:val="-84"/>
        </w:rPr>
        <w:t> </w:t>
      </w:r>
      <w:r>
        <w:rPr>
          <w:spacing w:val="-84"/>
        </w:rPr>
      </w:r>
      <w:r>
        <w:rPr/>
        <w:t>并注销限制性股票</w:t>
      </w:r>
      <w:r>
        <w:rPr>
          <w:rFonts w:ascii="Times New Roman" w:hAnsi="Times New Roman" w:cs="Times New Roman" w:eastAsia="Times New Roman" w:hint="default"/>
        </w:rPr>
        <w:t>161.92</w:t>
      </w:r>
      <w:r>
        <w:rPr/>
        <w:t>万股，变更后股本总数为</w:t>
      </w:r>
      <w:r>
        <w:rPr>
          <w:rFonts w:ascii="Times New Roman" w:hAnsi="Times New Roman" w:cs="Times New Roman" w:eastAsia="Times New Roman" w:hint="default"/>
        </w:rPr>
        <w:t>71,202.88</w:t>
      </w:r>
      <w:r>
        <w:rPr/>
        <w:t>万股。</w:t>
      </w:r>
    </w:p>
    <w:p>
      <w:pPr>
        <w:spacing w:line="240" w:lineRule="auto" w:before="11"/>
        <w:rPr>
          <w:rFonts w:ascii="宋体" w:hAnsi="宋体" w:cs="宋体" w:eastAsia="宋体" w:hint="default"/>
          <w:sz w:val="24"/>
          <w:szCs w:val="24"/>
        </w:rPr>
      </w:pPr>
    </w:p>
    <w:p>
      <w:pPr>
        <w:pStyle w:val="BodyText"/>
        <w:spacing w:line="300" w:lineRule="auto"/>
        <w:ind w:right="1131"/>
        <w:jc w:val="both"/>
      </w:pP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9</w:t>
      </w:r>
      <w:r>
        <w:rPr>
          <w:spacing w:val="-2"/>
        </w:rPr>
        <w:t>月至</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7</w:t>
      </w:r>
      <w:r>
        <w:rPr>
          <w:spacing w:val="-2"/>
        </w:rPr>
        <w:t>月，公司以集中竞价方式累计回购发行在外的人民币流通股</w:t>
      </w:r>
      <w:r>
        <w:rPr>
          <w:rFonts w:ascii="Times New Roman" w:hAnsi="Times New Roman" w:cs="Times New Roman" w:eastAsia="Times New Roman" w:hint="default"/>
          <w:spacing w:val="-2"/>
        </w:rPr>
        <w:t>1,510.7446</w:t>
      </w:r>
      <w:r>
        <w:rPr>
          <w:spacing w:val="-2"/>
        </w:rPr>
        <w:t>万股。公司于</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7</w:t>
      </w:r>
      <w:r>
        <w:rPr>
          <w:spacing w:val="-2"/>
        </w:rPr>
        <w:t>月</w:t>
      </w:r>
      <w:r>
        <w:rPr>
          <w:rFonts w:ascii="Times New Roman" w:hAnsi="Times New Roman" w:cs="Times New Roman" w:eastAsia="Times New Roman" w:hint="default"/>
          <w:spacing w:val="-2"/>
        </w:rPr>
        <w:t>26</w:t>
      </w:r>
      <w:r>
        <w:rPr>
          <w:spacing w:val="-2"/>
        </w:rPr>
        <w:t>日在中</w:t>
      </w:r>
      <w:r>
        <w:rPr>
          <w:spacing w:val="-36"/>
        </w:rPr>
        <w:t> </w:t>
      </w:r>
      <w:r>
        <w:rPr/>
        <w:t>国证券登记结算有限责任公司深圳分公司办理完毕上述</w:t>
      </w:r>
      <w:r>
        <w:rPr>
          <w:rFonts w:ascii="Times New Roman" w:hAnsi="Times New Roman" w:cs="Times New Roman" w:eastAsia="Times New Roman" w:hint="default"/>
        </w:rPr>
        <w:t>1,510.7446</w:t>
      </w:r>
      <w:r>
        <w:rPr/>
        <w:t>万股回购股份注销手续，变更后股本总数为</w:t>
      </w:r>
      <w:r>
        <w:rPr>
          <w:rFonts w:ascii="Times New Roman" w:hAnsi="Times New Roman" w:cs="Times New Roman" w:eastAsia="Times New Roman" w:hint="default"/>
        </w:rPr>
        <w:t>69,692.1354</w:t>
      </w:r>
      <w:r>
        <w:rPr/>
        <w:t>万 股。</w:t>
      </w:r>
    </w:p>
    <w:p>
      <w:pPr>
        <w:spacing w:line="240" w:lineRule="auto" w:before="3"/>
        <w:rPr>
          <w:rFonts w:ascii="宋体" w:hAnsi="宋体" w:cs="宋体" w:eastAsia="宋体" w:hint="default"/>
          <w:sz w:val="26"/>
          <w:szCs w:val="26"/>
        </w:rPr>
      </w:pPr>
    </w:p>
    <w:p>
      <w:pPr>
        <w:pStyle w:val="BodyText"/>
        <w:spacing w:line="357" w:lineRule="auto"/>
        <w:ind w:right="5712"/>
        <w:jc w:val="left"/>
      </w:pPr>
      <w:r>
        <w:rPr/>
        <w:t>2、注册资本、注册地址、办公地址、公司类型和法定代表人 注册资本：人民币陆亿玖仟陆佰玖拾贰万壹仟叁佰伍拾肆元整。 注册地址：江苏省丹阳市横塘工业区。 办公地址：江苏省丹阳市横塘工业区。 公司类型：股份有限公司(上市)。</w:t>
      </w:r>
    </w:p>
    <w:p>
      <w:pPr>
        <w:pStyle w:val="BodyText"/>
        <w:spacing w:line="240" w:lineRule="auto" w:before="28"/>
        <w:ind w:right="0"/>
        <w:jc w:val="both"/>
      </w:pPr>
      <w:r>
        <w:rPr/>
        <w:t>法定代表人：钱京。</w:t>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7"/>
          <w:szCs w:val="17"/>
        </w:rPr>
      </w:pPr>
    </w:p>
    <w:p>
      <w:pPr>
        <w:pStyle w:val="BodyText"/>
        <w:spacing w:line="240" w:lineRule="auto"/>
        <w:ind w:right="0"/>
        <w:jc w:val="both"/>
      </w:pPr>
      <w:r>
        <w:rPr/>
        <w:t>3、行业性质、经营范围、主要产品、主业变更、基本组织架构</w:t>
      </w:r>
    </w:p>
    <w:p>
      <w:pPr>
        <w:pStyle w:val="BodyText"/>
        <w:spacing w:line="240" w:lineRule="auto" w:before="116"/>
        <w:ind w:right="0"/>
        <w:jc w:val="both"/>
      </w:pPr>
      <w:r>
        <w:rPr/>
        <w:t>（1）行业性质：计算机、通信和其他电子设备制造业</w:t>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7"/>
          <w:szCs w:val="17"/>
        </w:rPr>
      </w:pPr>
    </w:p>
    <w:p>
      <w:pPr>
        <w:pStyle w:val="BodyText"/>
        <w:spacing w:line="316" w:lineRule="auto"/>
        <w:ind w:right="1126"/>
        <w:jc w:val="both"/>
      </w:pPr>
      <w:r>
        <w:rPr/>
        <w:t>（2）经营范围：智能卡、磁条卡、票证、票据、密码信封、智能标签、智能终端、商用密码产品及相关系统软件、读写机</w:t>
      </w:r>
      <w:r>
        <w:rPr>
          <w:spacing w:val="-85"/>
        </w:rPr>
        <w:t> </w:t>
      </w:r>
      <w:r>
        <w:rPr>
          <w:spacing w:val="-85"/>
        </w:rPr>
      </w:r>
      <w:r>
        <w:rPr>
          <w:spacing w:val="-2"/>
        </w:rPr>
        <w:t>具的研发、生产、销售、检测、咨询、技术服务；计算机软硬件、网络设备、办公自动化设备、移动支付、物联网、网络信</w:t>
      </w:r>
      <w:r>
        <w:rPr>
          <w:spacing w:val="-72"/>
        </w:rPr>
        <w:t> </w:t>
      </w:r>
      <w:r>
        <w:rPr>
          <w:spacing w:val="-72"/>
        </w:rPr>
      </w:r>
      <w:r>
        <w:rPr>
          <w:spacing w:val="-2"/>
        </w:rPr>
        <w:t>息安全产品的开发、生产、销售及系统集成和技术服务；半导体模块封装生产、检测及技术咨询；自营和代理各类商品和技</w:t>
      </w:r>
    </w:p>
    <w:p>
      <w:pPr>
        <w:spacing w:after="0" w:line="316" w:lineRule="auto"/>
        <w:jc w:val="both"/>
        <w:sectPr>
          <w:pgSz w:w="11910" w:h="16840"/>
          <w:pgMar w:header="906" w:footer="1018" w:top="1100" w:bottom="1200" w:left="1020" w:right="0"/>
        </w:sectPr>
      </w:pPr>
    </w:p>
    <w:p>
      <w:pPr>
        <w:spacing w:line="240" w:lineRule="auto" w:before="11"/>
        <w:rPr>
          <w:rFonts w:ascii="宋体" w:hAnsi="宋体" w:cs="宋体" w:eastAsia="宋体" w:hint="default"/>
          <w:sz w:val="22"/>
          <w:szCs w:val="22"/>
        </w:rPr>
      </w:pPr>
    </w:p>
    <w:p>
      <w:pPr>
        <w:pStyle w:val="BodyText"/>
        <w:spacing w:line="240" w:lineRule="auto" w:before="44"/>
        <w:ind w:right="0"/>
        <w:jc w:val="left"/>
      </w:pPr>
      <w:r>
        <w:rPr/>
        <w:t>术的进出口，道路货物运输</w:t>
      </w:r>
      <w:r>
        <w:rPr>
          <w:spacing w:val="-90"/>
        </w:rPr>
        <w:t>。</w:t>
      </w:r>
      <w:r>
        <w:rPr/>
        <w:t>（依法须经批准的项目，经相关部门批准后方可开展经营活动</w:t>
      </w:r>
      <w:r>
        <w:rPr>
          <w:spacing w:val="-90"/>
        </w:rPr>
        <w:t>。</w:t>
      </w:r>
      <w:r>
        <w:rPr/>
        <w:t>）</w:t>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7"/>
          <w:szCs w:val="17"/>
        </w:rPr>
      </w:pPr>
    </w:p>
    <w:p>
      <w:pPr>
        <w:pStyle w:val="BodyText"/>
        <w:spacing w:line="240" w:lineRule="auto"/>
        <w:ind w:right="0"/>
        <w:jc w:val="left"/>
      </w:pPr>
      <w:r>
        <w:rPr/>
        <w:t>（3）主要产品：磁条卡、密码卡和</w:t>
      </w:r>
      <w:r>
        <w:rPr>
          <w:rFonts w:ascii="Times New Roman" w:hAnsi="Times New Roman" w:cs="Times New Roman" w:eastAsia="Times New Roman" w:hint="default"/>
        </w:rPr>
        <w:t>IC</w:t>
      </w:r>
      <w:r>
        <w:rPr/>
        <w:t>卡等卡类产品及其相关操作系统软件（</w:t>
      </w:r>
      <w:r>
        <w:rPr>
          <w:rFonts w:ascii="Times New Roman" w:hAnsi="Times New Roman" w:cs="Times New Roman" w:eastAsia="Times New Roman" w:hint="default"/>
        </w:rPr>
        <w:t>COS</w:t>
      </w:r>
      <w:r>
        <w:rPr/>
        <w:t>）和票证产品的研发、生产和销售等。</w:t>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6"/>
          <w:szCs w:val="16"/>
        </w:rPr>
      </w:pPr>
    </w:p>
    <w:p>
      <w:pPr>
        <w:pStyle w:val="BodyText"/>
        <w:spacing w:line="240" w:lineRule="auto"/>
        <w:ind w:right="0"/>
        <w:jc w:val="left"/>
      </w:pPr>
      <w:r>
        <w:rPr/>
        <w:t>（4）主业变更：报告期内公司主业未发生变更。</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7"/>
          <w:szCs w:val="17"/>
        </w:rPr>
      </w:pPr>
    </w:p>
    <w:p>
      <w:pPr>
        <w:pStyle w:val="BodyText"/>
        <w:spacing w:line="240" w:lineRule="auto"/>
        <w:ind w:right="0"/>
        <w:jc w:val="left"/>
      </w:pPr>
      <w:r>
        <w:rPr/>
        <w:t>（5）基本组织架构</w:t>
      </w:r>
    </w:p>
    <w:p>
      <w:pPr>
        <w:spacing w:line="240" w:lineRule="auto" w:before="1"/>
        <w:rPr>
          <w:rFonts w:ascii="宋体" w:hAnsi="宋体" w:cs="宋体" w:eastAsia="宋体" w:hint="default"/>
          <w:sz w:val="12"/>
          <w:szCs w:val="12"/>
        </w:rPr>
      </w:pPr>
    </w:p>
    <w:p>
      <w:pPr>
        <w:spacing w:line="6450" w:lineRule="exact"/>
        <w:ind w:left="113" w:right="0" w:firstLine="0"/>
        <w:rPr>
          <w:rFonts w:ascii="宋体" w:hAnsi="宋体" w:cs="宋体" w:eastAsia="宋体" w:hint="default"/>
          <w:sz w:val="20"/>
          <w:szCs w:val="20"/>
        </w:rPr>
      </w:pPr>
      <w:r>
        <w:rPr>
          <w:rFonts w:ascii="宋体" w:hAnsi="宋体" w:cs="宋体" w:eastAsia="宋体" w:hint="default"/>
          <w:position w:val="-128"/>
          <w:sz w:val="20"/>
          <w:szCs w:val="20"/>
        </w:rPr>
        <w:drawing>
          <wp:inline distT="0" distB="0" distL="0" distR="0">
            <wp:extent cx="5534025" cy="4095750"/>
            <wp:effectExtent l="0" t="0" r="0" b="0"/>
            <wp:docPr id="5" name="image4.jpeg" descr=""/>
            <wp:cNvGraphicFramePr>
              <a:graphicFrameLocks noChangeAspect="1"/>
            </wp:cNvGraphicFramePr>
            <a:graphic>
              <a:graphicData uri="http://schemas.openxmlformats.org/drawingml/2006/picture">
                <pic:pic>
                  <pic:nvPicPr>
                    <pic:cNvPr id="6" name="image4.jpeg"/>
                    <pic:cNvPicPr/>
                  </pic:nvPicPr>
                  <pic:blipFill>
                    <a:blip r:embed="rId19" cstate="print"/>
                    <a:stretch>
                      <a:fillRect/>
                    </a:stretch>
                  </pic:blipFill>
                  <pic:spPr>
                    <a:xfrm>
                      <a:off x="0" y="0"/>
                      <a:ext cx="5534025" cy="4095750"/>
                    </a:xfrm>
                    <a:prstGeom prst="rect">
                      <a:avLst/>
                    </a:prstGeom>
                  </pic:spPr>
                </pic:pic>
              </a:graphicData>
            </a:graphic>
          </wp:inline>
        </w:drawing>
      </w:r>
      <w:r>
        <w:rPr>
          <w:rFonts w:ascii="宋体" w:hAnsi="宋体" w:cs="宋体" w:eastAsia="宋体" w:hint="default"/>
          <w:position w:val="-128"/>
          <w:sz w:val="20"/>
          <w:szCs w:val="20"/>
        </w:rPr>
      </w:r>
    </w:p>
    <w:p>
      <w:pPr>
        <w:pStyle w:val="BodyText"/>
        <w:spacing w:line="240" w:lineRule="auto" w:before="100"/>
        <w:ind w:right="0"/>
        <w:jc w:val="left"/>
      </w:pPr>
      <w:r>
        <w:rPr>
          <w:rFonts w:ascii="Times New Roman" w:hAnsi="Times New Roman" w:cs="Times New Roman" w:eastAsia="Times New Roman" w:hint="default"/>
        </w:rPr>
        <w:t>4</w:t>
      </w:r>
      <w:r>
        <w:rPr/>
        <w:t>、</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25</w:t>
      </w:r>
      <w:r>
        <w:rPr/>
        <w:t>日，公司取得江苏省市场监督管理局换发的营业执照，统一社会信用代码</w:t>
      </w:r>
      <w:r>
        <w:rPr>
          <w:rFonts w:ascii="Times New Roman" w:hAnsi="Times New Roman" w:cs="Times New Roman" w:eastAsia="Times New Roman" w:hint="default"/>
        </w:rPr>
        <w:t>91320000253710940L</w:t>
      </w:r>
      <w:r>
        <w:rPr/>
        <w:t>。</w:t>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6"/>
          <w:szCs w:val="16"/>
        </w:rPr>
      </w:pPr>
    </w:p>
    <w:p>
      <w:pPr>
        <w:pStyle w:val="BodyText"/>
        <w:spacing w:line="240" w:lineRule="auto"/>
        <w:ind w:right="0"/>
        <w:jc w:val="left"/>
      </w:pPr>
      <w:r>
        <w:rPr/>
        <w:t>5、公司是由自然人控股的股份有限公司，自然人钱京为公司的实际控制人，直接持有公司</w:t>
      </w:r>
      <w:r>
        <w:rPr>
          <w:rFonts w:ascii="Times New Roman" w:hAnsi="Times New Roman" w:cs="Times New Roman" w:eastAsia="Times New Roman" w:hint="default"/>
        </w:rPr>
        <w:t>20.65%</w:t>
      </w:r>
      <w:r>
        <w:rPr/>
        <w:t>的股份。</w:t>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6"/>
          <w:szCs w:val="16"/>
        </w:rPr>
      </w:pPr>
    </w:p>
    <w:p>
      <w:pPr>
        <w:pStyle w:val="BodyText"/>
        <w:spacing w:line="338" w:lineRule="auto"/>
        <w:ind w:right="4632"/>
        <w:jc w:val="left"/>
      </w:pPr>
      <w:r>
        <w:rPr/>
        <w:t>6、本财务报表于</w:t>
      </w:r>
      <w:r>
        <w:rPr>
          <w:rFonts w:ascii="Times New Roman" w:hAnsi="Times New Roman" w:cs="Times New Roman" w:eastAsia="Times New Roman" w:hint="default"/>
        </w:rPr>
        <w:t>2020</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27</w:t>
      </w:r>
      <w:r>
        <w:rPr/>
        <w:t>日，经公司第七届董事会第二次会议批准报出。 本报告期纳入合并财务报表的子公司如下：</w:t>
      </w:r>
    </w:p>
    <w:p>
      <w:pPr>
        <w:spacing w:line="240" w:lineRule="auto" w:before="7"/>
        <w:rPr>
          <w:rFonts w:ascii="宋体" w:hAnsi="宋体" w:cs="宋体" w:eastAsia="宋体" w:hint="default"/>
          <w:sz w:val="2"/>
          <w:szCs w:val="2"/>
        </w:rPr>
      </w:pPr>
    </w:p>
    <w:tbl>
      <w:tblPr>
        <w:tblW w:w="0" w:type="auto"/>
        <w:jc w:val="left"/>
        <w:tblInd w:w="106" w:type="dxa"/>
        <w:tblLayout w:type="fixed"/>
        <w:tblCellMar>
          <w:top w:w="0" w:type="dxa"/>
          <w:left w:w="0" w:type="dxa"/>
          <w:bottom w:w="0" w:type="dxa"/>
          <w:right w:w="0" w:type="dxa"/>
        </w:tblCellMar>
        <w:tblLook w:val="01E0"/>
      </w:tblPr>
      <w:tblGrid>
        <w:gridCol w:w="3302"/>
        <w:gridCol w:w="1571"/>
        <w:gridCol w:w="3279"/>
        <w:gridCol w:w="771"/>
        <w:gridCol w:w="771"/>
      </w:tblGrid>
      <w:tr>
        <w:trPr>
          <w:trHeight w:val="779" w:hRule="exact"/>
        </w:trPr>
        <w:tc>
          <w:tcPr>
            <w:tcW w:w="3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left="2" w:right="0"/>
              <w:jc w:val="left"/>
              <w:rPr>
                <w:rFonts w:ascii="宋体" w:hAnsi="宋体" w:cs="宋体" w:eastAsia="宋体" w:hint="default"/>
                <w:sz w:val="17"/>
                <w:szCs w:val="17"/>
              </w:rPr>
            </w:pPr>
            <w:r>
              <w:rPr>
                <w:rFonts w:ascii="宋体" w:hAnsi="宋体" w:cs="宋体" w:eastAsia="宋体" w:hint="default"/>
                <w:sz w:val="17"/>
                <w:szCs w:val="17"/>
              </w:rPr>
              <w:t>纳入合并报表范围的子公司名称</w:t>
            </w:r>
          </w:p>
        </w:tc>
        <w:tc>
          <w:tcPr>
            <w:tcW w:w="15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right="0"/>
              <w:jc w:val="right"/>
              <w:rPr>
                <w:rFonts w:ascii="宋体" w:hAnsi="宋体" w:cs="宋体" w:eastAsia="宋体" w:hint="default"/>
                <w:sz w:val="17"/>
                <w:szCs w:val="17"/>
              </w:rPr>
            </w:pPr>
            <w:r>
              <w:rPr>
                <w:rFonts w:ascii="宋体" w:hAnsi="宋体" w:cs="宋体" w:eastAsia="宋体" w:hint="default"/>
                <w:spacing w:val="-1"/>
                <w:sz w:val="17"/>
                <w:szCs w:val="17"/>
              </w:rPr>
              <w:t>资产负债表合并日</w:t>
            </w:r>
          </w:p>
        </w:tc>
        <w:tc>
          <w:tcPr>
            <w:tcW w:w="3279" w:type="dxa"/>
            <w:tcBorders>
              <w:top w:val="single" w:sz="6" w:space="0" w:color="000000"/>
              <w:left w:val="single" w:sz="6" w:space="0" w:color="000000"/>
              <w:bottom w:val="single" w:sz="6" w:space="0" w:color="000000"/>
              <w:right w:val="single" w:sz="6" w:space="0" w:color="000000"/>
            </w:tcBorders>
          </w:tcPr>
          <w:p>
            <w:pPr>
              <w:pStyle w:val="TableParagraph"/>
              <w:spacing w:line="379" w:lineRule="auto" w:before="68"/>
              <w:ind w:left="1392" w:right="0"/>
              <w:jc w:val="left"/>
              <w:rPr>
                <w:rFonts w:ascii="宋体" w:hAnsi="宋体" w:cs="宋体" w:eastAsia="宋体" w:hint="default"/>
                <w:sz w:val="17"/>
                <w:szCs w:val="17"/>
              </w:rPr>
            </w:pPr>
            <w:r>
              <w:rPr>
                <w:rFonts w:ascii="宋体" w:hAnsi="宋体" w:cs="宋体" w:eastAsia="宋体" w:hint="default"/>
                <w:sz w:val="17"/>
                <w:szCs w:val="17"/>
              </w:rPr>
              <w:t>利润表、现金流量表以及 股东权益变动表合并期间</w:t>
            </w:r>
          </w:p>
        </w:tc>
        <w:tc>
          <w:tcPr>
            <w:tcW w:w="771" w:type="dxa"/>
            <w:tcBorders>
              <w:top w:val="single" w:sz="6" w:space="0" w:color="000000"/>
              <w:left w:val="single" w:sz="6" w:space="0" w:color="000000"/>
              <w:bottom w:val="single" w:sz="6" w:space="0" w:color="000000"/>
              <w:right w:val="single" w:sz="6" w:space="0" w:color="000000"/>
            </w:tcBorders>
          </w:tcPr>
          <w:p>
            <w:pPr>
              <w:pStyle w:val="TableParagraph"/>
              <w:spacing w:line="379" w:lineRule="auto" w:before="68"/>
              <w:ind w:left="414" w:right="0"/>
              <w:jc w:val="left"/>
              <w:rPr>
                <w:rFonts w:ascii="宋体" w:hAnsi="宋体" w:cs="宋体" w:eastAsia="宋体" w:hint="default"/>
                <w:sz w:val="17"/>
                <w:szCs w:val="17"/>
              </w:rPr>
            </w:pPr>
            <w:r>
              <w:rPr>
                <w:rFonts w:ascii="宋体" w:hAnsi="宋体" w:cs="宋体" w:eastAsia="宋体" w:hint="default"/>
                <w:sz w:val="17"/>
                <w:szCs w:val="17"/>
              </w:rPr>
              <w:t>持股 比例</w:t>
            </w:r>
          </w:p>
        </w:tc>
        <w:tc>
          <w:tcPr>
            <w:tcW w:w="771" w:type="dxa"/>
            <w:tcBorders>
              <w:top w:val="single" w:sz="6" w:space="0" w:color="000000"/>
              <w:left w:val="single" w:sz="6" w:space="0" w:color="000000"/>
              <w:bottom w:val="single" w:sz="6" w:space="0" w:color="000000"/>
              <w:right w:val="single" w:sz="6" w:space="0" w:color="000000"/>
            </w:tcBorders>
          </w:tcPr>
          <w:p>
            <w:pPr>
              <w:pStyle w:val="TableParagraph"/>
              <w:spacing w:line="379" w:lineRule="auto" w:before="68"/>
              <w:ind w:left="413" w:right="0"/>
              <w:jc w:val="left"/>
              <w:rPr>
                <w:rFonts w:ascii="宋体" w:hAnsi="宋体" w:cs="宋体" w:eastAsia="宋体" w:hint="default"/>
                <w:sz w:val="17"/>
                <w:szCs w:val="17"/>
              </w:rPr>
            </w:pPr>
            <w:r>
              <w:rPr>
                <w:rFonts w:ascii="宋体" w:hAnsi="宋体" w:cs="宋体" w:eastAsia="宋体" w:hint="default"/>
                <w:sz w:val="17"/>
                <w:szCs w:val="17"/>
              </w:rPr>
              <w:t>合并 比例</w:t>
            </w:r>
          </w:p>
        </w:tc>
      </w:tr>
      <w:tr>
        <w:trPr>
          <w:trHeight w:val="427" w:hRule="exact"/>
        </w:trPr>
        <w:tc>
          <w:tcPr>
            <w:tcW w:w="3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left="2" w:right="0"/>
              <w:jc w:val="left"/>
              <w:rPr>
                <w:rFonts w:ascii="宋体" w:hAnsi="宋体" w:cs="宋体" w:eastAsia="宋体" w:hint="default"/>
                <w:sz w:val="17"/>
                <w:szCs w:val="17"/>
              </w:rPr>
            </w:pPr>
            <w:r>
              <w:rPr>
                <w:rFonts w:ascii="宋体" w:hAnsi="宋体" w:cs="宋体" w:eastAsia="宋体" w:hint="default"/>
                <w:sz w:val="17"/>
                <w:szCs w:val="17"/>
              </w:rPr>
              <w:t>江苏恒宝智能系统技术有限公司</w:t>
            </w:r>
          </w:p>
        </w:tc>
        <w:tc>
          <w:tcPr>
            <w:tcW w:w="15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right="0"/>
              <w:jc w:val="right"/>
              <w:rPr>
                <w:rFonts w:ascii="宋体" w:hAnsi="宋体" w:cs="宋体" w:eastAsia="宋体" w:hint="default"/>
                <w:sz w:val="17"/>
                <w:szCs w:val="17"/>
              </w:rPr>
            </w:pPr>
            <w:r>
              <w:rPr>
                <w:rFonts w:ascii="Times New Roman" w:hAnsi="Times New Roman" w:cs="Times New Roman" w:eastAsia="Times New Roman" w:hint="default"/>
                <w:spacing w:val="-1"/>
                <w:sz w:val="17"/>
                <w:szCs w:val="17"/>
              </w:rPr>
              <w:t>2018</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12</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31</w:t>
            </w:r>
            <w:r>
              <w:rPr>
                <w:rFonts w:ascii="宋体" w:hAnsi="宋体" w:cs="宋体" w:eastAsia="宋体" w:hint="default"/>
                <w:spacing w:val="-1"/>
                <w:sz w:val="17"/>
                <w:szCs w:val="17"/>
              </w:rPr>
              <w:t>日</w:t>
            </w:r>
          </w:p>
        </w:tc>
        <w:tc>
          <w:tcPr>
            <w:tcW w:w="32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right="0"/>
              <w:jc w:val="right"/>
              <w:rPr>
                <w:rFonts w:ascii="宋体" w:hAnsi="宋体" w:cs="宋体" w:eastAsia="宋体" w:hint="default"/>
                <w:sz w:val="17"/>
                <w:szCs w:val="17"/>
              </w:rPr>
            </w:pPr>
            <w:r>
              <w:rPr>
                <w:rFonts w:ascii="Times New Roman" w:hAnsi="Times New Roman" w:cs="Times New Roman" w:eastAsia="Times New Roman" w:hint="default"/>
                <w:spacing w:val="-1"/>
                <w:sz w:val="17"/>
                <w:szCs w:val="17"/>
              </w:rPr>
              <w:t>2018</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1</w:t>
            </w:r>
            <w:r>
              <w:rPr>
                <w:rFonts w:ascii="宋体" w:hAnsi="宋体" w:cs="宋体" w:eastAsia="宋体" w:hint="default"/>
                <w:spacing w:val="-1"/>
                <w:sz w:val="17"/>
                <w:szCs w:val="17"/>
              </w:rPr>
              <w:t>日至</w:t>
            </w:r>
            <w:r>
              <w:rPr>
                <w:rFonts w:ascii="Times New Roman" w:hAnsi="Times New Roman" w:cs="Times New Roman" w:eastAsia="Times New Roman" w:hint="default"/>
                <w:spacing w:val="-1"/>
                <w:sz w:val="17"/>
                <w:szCs w:val="17"/>
              </w:rPr>
              <w:t>2018</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12</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31</w:t>
            </w:r>
            <w:r>
              <w:rPr>
                <w:rFonts w:ascii="宋体" w:hAnsi="宋体" w:cs="宋体" w:eastAsia="宋体" w:hint="default"/>
                <w:spacing w:val="-1"/>
                <w:sz w:val="17"/>
                <w:szCs w:val="17"/>
              </w:rPr>
              <w:t>日</w:t>
            </w:r>
          </w:p>
        </w:tc>
        <w:tc>
          <w:tcPr>
            <w:tcW w:w="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right="0"/>
              <w:jc w:val="right"/>
              <w:rPr>
                <w:rFonts w:ascii="Times New Roman" w:hAnsi="Times New Roman" w:cs="Times New Roman" w:eastAsia="Times New Roman" w:hint="default"/>
                <w:sz w:val="17"/>
                <w:szCs w:val="17"/>
              </w:rPr>
            </w:pPr>
            <w:r>
              <w:rPr>
                <w:rFonts w:ascii="Times New Roman"/>
                <w:spacing w:val="-1"/>
                <w:sz w:val="17"/>
              </w:rPr>
              <w:t>100%</w:t>
            </w:r>
          </w:p>
        </w:tc>
        <w:tc>
          <w:tcPr>
            <w:tcW w:w="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right="0"/>
              <w:jc w:val="right"/>
              <w:rPr>
                <w:rFonts w:ascii="Times New Roman" w:hAnsi="Times New Roman" w:cs="Times New Roman" w:eastAsia="Times New Roman" w:hint="default"/>
                <w:sz w:val="17"/>
                <w:szCs w:val="17"/>
              </w:rPr>
            </w:pPr>
            <w:r>
              <w:rPr>
                <w:rFonts w:ascii="Times New Roman"/>
                <w:spacing w:val="-1"/>
                <w:sz w:val="17"/>
              </w:rPr>
              <w:t>100%</w:t>
            </w:r>
          </w:p>
        </w:tc>
      </w:tr>
      <w:tr>
        <w:trPr>
          <w:trHeight w:val="427" w:hRule="exact"/>
        </w:trPr>
        <w:tc>
          <w:tcPr>
            <w:tcW w:w="3302" w:type="dxa"/>
            <w:tcBorders>
              <w:top w:val="single" w:sz="6" w:space="0" w:color="000000"/>
              <w:left w:val="single" w:sz="6" w:space="0" w:color="000000"/>
              <w:bottom w:val="single" w:sz="6" w:space="0" w:color="000000"/>
              <w:right w:val="single" w:sz="6" w:space="0" w:color="000000"/>
            </w:tcBorders>
          </w:tcPr>
          <w:p>
            <w:pPr/>
          </w:p>
        </w:tc>
        <w:tc>
          <w:tcPr>
            <w:tcW w:w="15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right="0"/>
              <w:jc w:val="right"/>
              <w:rPr>
                <w:rFonts w:ascii="宋体" w:hAnsi="宋体" w:cs="宋体" w:eastAsia="宋体" w:hint="default"/>
                <w:sz w:val="17"/>
                <w:szCs w:val="17"/>
              </w:rPr>
            </w:pPr>
            <w:r>
              <w:rPr>
                <w:rFonts w:ascii="Times New Roman" w:hAnsi="Times New Roman" w:cs="Times New Roman" w:eastAsia="Times New Roman" w:hint="default"/>
                <w:spacing w:val="-1"/>
                <w:sz w:val="17"/>
                <w:szCs w:val="17"/>
              </w:rPr>
              <w:t>2019</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12</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31</w:t>
            </w:r>
            <w:r>
              <w:rPr>
                <w:rFonts w:ascii="宋体" w:hAnsi="宋体" w:cs="宋体" w:eastAsia="宋体" w:hint="default"/>
                <w:spacing w:val="-1"/>
                <w:sz w:val="17"/>
                <w:szCs w:val="17"/>
              </w:rPr>
              <w:t>日</w:t>
            </w:r>
          </w:p>
        </w:tc>
        <w:tc>
          <w:tcPr>
            <w:tcW w:w="32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right="0"/>
              <w:jc w:val="right"/>
              <w:rPr>
                <w:rFonts w:ascii="宋体" w:hAnsi="宋体" w:cs="宋体" w:eastAsia="宋体" w:hint="default"/>
                <w:sz w:val="17"/>
                <w:szCs w:val="17"/>
              </w:rPr>
            </w:pPr>
            <w:r>
              <w:rPr>
                <w:rFonts w:ascii="Times New Roman" w:hAnsi="Times New Roman" w:cs="Times New Roman" w:eastAsia="Times New Roman" w:hint="default"/>
                <w:spacing w:val="-1"/>
                <w:sz w:val="17"/>
                <w:szCs w:val="17"/>
              </w:rPr>
              <w:t>2019</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1</w:t>
            </w:r>
            <w:r>
              <w:rPr>
                <w:rFonts w:ascii="宋体" w:hAnsi="宋体" w:cs="宋体" w:eastAsia="宋体" w:hint="default"/>
                <w:spacing w:val="-1"/>
                <w:sz w:val="17"/>
                <w:szCs w:val="17"/>
              </w:rPr>
              <w:t>日至</w:t>
            </w:r>
            <w:r>
              <w:rPr>
                <w:rFonts w:ascii="Times New Roman" w:hAnsi="Times New Roman" w:cs="Times New Roman" w:eastAsia="Times New Roman" w:hint="default"/>
                <w:spacing w:val="-1"/>
                <w:sz w:val="17"/>
                <w:szCs w:val="17"/>
              </w:rPr>
              <w:t>2019</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12</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31</w:t>
            </w:r>
            <w:r>
              <w:rPr>
                <w:rFonts w:ascii="宋体" w:hAnsi="宋体" w:cs="宋体" w:eastAsia="宋体" w:hint="default"/>
                <w:spacing w:val="-1"/>
                <w:sz w:val="17"/>
                <w:szCs w:val="17"/>
              </w:rPr>
              <w:t>日</w:t>
            </w:r>
          </w:p>
        </w:tc>
        <w:tc>
          <w:tcPr>
            <w:tcW w:w="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right="0"/>
              <w:jc w:val="right"/>
              <w:rPr>
                <w:rFonts w:ascii="Times New Roman" w:hAnsi="Times New Roman" w:cs="Times New Roman" w:eastAsia="Times New Roman" w:hint="default"/>
                <w:sz w:val="17"/>
                <w:szCs w:val="17"/>
              </w:rPr>
            </w:pPr>
            <w:r>
              <w:rPr>
                <w:rFonts w:ascii="Times New Roman"/>
                <w:spacing w:val="-1"/>
                <w:sz w:val="17"/>
              </w:rPr>
              <w:t>100%</w:t>
            </w:r>
          </w:p>
        </w:tc>
        <w:tc>
          <w:tcPr>
            <w:tcW w:w="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right="0"/>
              <w:jc w:val="right"/>
              <w:rPr>
                <w:rFonts w:ascii="Times New Roman" w:hAnsi="Times New Roman" w:cs="Times New Roman" w:eastAsia="Times New Roman" w:hint="default"/>
                <w:sz w:val="17"/>
                <w:szCs w:val="17"/>
              </w:rPr>
            </w:pPr>
            <w:r>
              <w:rPr>
                <w:rFonts w:ascii="Times New Roman"/>
                <w:spacing w:val="-1"/>
                <w:sz w:val="17"/>
              </w:rPr>
              <w:t>100%</w:t>
            </w:r>
          </w:p>
        </w:tc>
      </w:tr>
      <w:tr>
        <w:trPr>
          <w:trHeight w:val="427" w:hRule="exact"/>
        </w:trPr>
        <w:tc>
          <w:tcPr>
            <w:tcW w:w="3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7"/>
              <w:ind w:left="2" w:right="0"/>
              <w:jc w:val="left"/>
              <w:rPr>
                <w:rFonts w:ascii="宋体" w:hAnsi="宋体" w:cs="宋体" w:eastAsia="宋体" w:hint="default"/>
                <w:sz w:val="17"/>
                <w:szCs w:val="17"/>
              </w:rPr>
            </w:pPr>
            <w:r>
              <w:rPr>
                <w:rFonts w:ascii="宋体" w:hAnsi="宋体" w:cs="宋体" w:eastAsia="宋体" w:hint="default"/>
                <w:sz w:val="17"/>
                <w:szCs w:val="17"/>
              </w:rPr>
              <w:t>北京东方英卡数字信息技术有限公司</w:t>
            </w:r>
          </w:p>
        </w:tc>
        <w:tc>
          <w:tcPr>
            <w:tcW w:w="15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7"/>
              <w:ind w:right="0"/>
              <w:jc w:val="right"/>
              <w:rPr>
                <w:rFonts w:ascii="宋体" w:hAnsi="宋体" w:cs="宋体" w:eastAsia="宋体" w:hint="default"/>
                <w:sz w:val="17"/>
                <w:szCs w:val="17"/>
              </w:rPr>
            </w:pPr>
            <w:r>
              <w:rPr>
                <w:rFonts w:ascii="Times New Roman" w:hAnsi="Times New Roman" w:cs="Times New Roman" w:eastAsia="Times New Roman" w:hint="default"/>
                <w:spacing w:val="-1"/>
                <w:sz w:val="17"/>
                <w:szCs w:val="17"/>
              </w:rPr>
              <w:t>2018</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12</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31</w:t>
            </w:r>
            <w:r>
              <w:rPr>
                <w:rFonts w:ascii="宋体" w:hAnsi="宋体" w:cs="宋体" w:eastAsia="宋体" w:hint="default"/>
                <w:spacing w:val="-1"/>
                <w:sz w:val="17"/>
                <w:szCs w:val="17"/>
              </w:rPr>
              <w:t>日</w:t>
            </w:r>
          </w:p>
        </w:tc>
        <w:tc>
          <w:tcPr>
            <w:tcW w:w="32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7"/>
              <w:ind w:right="0"/>
              <w:jc w:val="right"/>
              <w:rPr>
                <w:rFonts w:ascii="宋体" w:hAnsi="宋体" w:cs="宋体" w:eastAsia="宋体" w:hint="default"/>
                <w:sz w:val="17"/>
                <w:szCs w:val="17"/>
              </w:rPr>
            </w:pPr>
            <w:r>
              <w:rPr>
                <w:rFonts w:ascii="Times New Roman" w:hAnsi="Times New Roman" w:cs="Times New Roman" w:eastAsia="Times New Roman" w:hint="default"/>
                <w:spacing w:val="-1"/>
                <w:sz w:val="17"/>
                <w:szCs w:val="17"/>
              </w:rPr>
              <w:t>2018</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1</w:t>
            </w:r>
            <w:r>
              <w:rPr>
                <w:rFonts w:ascii="宋体" w:hAnsi="宋体" w:cs="宋体" w:eastAsia="宋体" w:hint="default"/>
                <w:spacing w:val="-1"/>
                <w:sz w:val="17"/>
                <w:szCs w:val="17"/>
              </w:rPr>
              <w:t>日至</w:t>
            </w:r>
            <w:r>
              <w:rPr>
                <w:rFonts w:ascii="Times New Roman" w:hAnsi="Times New Roman" w:cs="Times New Roman" w:eastAsia="Times New Roman" w:hint="default"/>
                <w:spacing w:val="-1"/>
                <w:sz w:val="17"/>
                <w:szCs w:val="17"/>
              </w:rPr>
              <w:t>2018</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12</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31</w:t>
            </w:r>
            <w:r>
              <w:rPr>
                <w:rFonts w:ascii="宋体" w:hAnsi="宋体" w:cs="宋体" w:eastAsia="宋体" w:hint="default"/>
                <w:spacing w:val="-1"/>
                <w:sz w:val="17"/>
                <w:szCs w:val="17"/>
              </w:rPr>
              <w:t>日</w:t>
            </w:r>
          </w:p>
        </w:tc>
        <w:tc>
          <w:tcPr>
            <w:tcW w:w="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0"/>
              <w:jc w:val="right"/>
              <w:rPr>
                <w:rFonts w:ascii="Times New Roman" w:hAnsi="Times New Roman" w:cs="Times New Roman" w:eastAsia="Times New Roman" w:hint="default"/>
                <w:sz w:val="17"/>
                <w:szCs w:val="17"/>
              </w:rPr>
            </w:pPr>
            <w:r>
              <w:rPr>
                <w:rFonts w:ascii="Times New Roman"/>
                <w:spacing w:val="-1"/>
                <w:sz w:val="17"/>
              </w:rPr>
              <w:t>100%</w:t>
            </w:r>
          </w:p>
        </w:tc>
        <w:tc>
          <w:tcPr>
            <w:tcW w:w="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0"/>
              <w:jc w:val="right"/>
              <w:rPr>
                <w:rFonts w:ascii="Times New Roman" w:hAnsi="Times New Roman" w:cs="Times New Roman" w:eastAsia="Times New Roman" w:hint="default"/>
                <w:sz w:val="17"/>
                <w:szCs w:val="17"/>
              </w:rPr>
            </w:pPr>
            <w:r>
              <w:rPr>
                <w:rFonts w:ascii="Times New Roman"/>
                <w:spacing w:val="-1"/>
                <w:sz w:val="17"/>
              </w:rPr>
              <w:t>100%</w:t>
            </w:r>
          </w:p>
        </w:tc>
      </w:tr>
      <w:tr>
        <w:trPr>
          <w:trHeight w:val="426" w:hRule="exact"/>
        </w:trPr>
        <w:tc>
          <w:tcPr>
            <w:tcW w:w="3302" w:type="dxa"/>
            <w:tcBorders>
              <w:top w:val="single" w:sz="6" w:space="0" w:color="000000"/>
              <w:left w:val="single" w:sz="6" w:space="0" w:color="000000"/>
              <w:bottom w:val="single" w:sz="6" w:space="0" w:color="000000"/>
              <w:right w:val="single" w:sz="6" w:space="0" w:color="000000"/>
            </w:tcBorders>
          </w:tcPr>
          <w:p>
            <w:pPr/>
          </w:p>
        </w:tc>
        <w:tc>
          <w:tcPr>
            <w:tcW w:w="15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7"/>
              <w:ind w:right="0"/>
              <w:jc w:val="right"/>
              <w:rPr>
                <w:rFonts w:ascii="宋体" w:hAnsi="宋体" w:cs="宋体" w:eastAsia="宋体" w:hint="default"/>
                <w:sz w:val="17"/>
                <w:szCs w:val="17"/>
              </w:rPr>
            </w:pPr>
            <w:r>
              <w:rPr>
                <w:rFonts w:ascii="Times New Roman" w:hAnsi="Times New Roman" w:cs="Times New Roman" w:eastAsia="Times New Roman" w:hint="default"/>
                <w:spacing w:val="-1"/>
                <w:sz w:val="17"/>
                <w:szCs w:val="17"/>
              </w:rPr>
              <w:t>2019</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12</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31</w:t>
            </w:r>
            <w:r>
              <w:rPr>
                <w:rFonts w:ascii="宋体" w:hAnsi="宋体" w:cs="宋体" w:eastAsia="宋体" w:hint="default"/>
                <w:spacing w:val="-1"/>
                <w:sz w:val="17"/>
                <w:szCs w:val="17"/>
              </w:rPr>
              <w:t>日</w:t>
            </w:r>
          </w:p>
        </w:tc>
        <w:tc>
          <w:tcPr>
            <w:tcW w:w="32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7"/>
              <w:ind w:right="0"/>
              <w:jc w:val="right"/>
              <w:rPr>
                <w:rFonts w:ascii="宋体" w:hAnsi="宋体" w:cs="宋体" w:eastAsia="宋体" w:hint="default"/>
                <w:sz w:val="17"/>
                <w:szCs w:val="17"/>
              </w:rPr>
            </w:pPr>
            <w:r>
              <w:rPr>
                <w:rFonts w:ascii="Times New Roman" w:hAnsi="Times New Roman" w:cs="Times New Roman" w:eastAsia="Times New Roman" w:hint="default"/>
                <w:spacing w:val="-1"/>
                <w:sz w:val="17"/>
                <w:szCs w:val="17"/>
              </w:rPr>
              <w:t>2019</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1</w:t>
            </w:r>
            <w:r>
              <w:rPr>
                <w:rFonts w:ascii="宋体" w:hAnsi="宋体" w:cs="宋体" w:eastAsia="宋体" w:hint="default"/>
                <w:spacing w:val="-1"/>
                <w:sz w:val="17"/>
                <w:szCs w:val="17"/>
              </w:rPr>
              <w:t>日至</w:t>
            </w:r>
            <w:r>
              <w:rPr>
                <w:rFonts w:ascii="Times New Roman" w:hAnsi="Times New Roman" w:cs="Times New Roman" w:eastAsia="Times New Roman" w:hint="default"/>
                <w:spacing w:val="-1"/>
                <w:sz w:val="17"/>
                <w:szCs w:val="17"/>
              </w:rPr>
              <w:t>2019</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12</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31</w:t>
            </w:r>
            <w:r>
              <w:rPr>
                <w:rFonts w:ascii="宋体" w:hAnsi="宋体" w:cs="宋体" w:eastAsia="宋体" w:hint="default"/>
                <w:spacing w:val="-1"/>
                <w:sz w:val="17"/>
                <w:szCs w:val="17"/>
              </w:rPr>
              <w:t>日</w:t>
            </w:r>
          </w:p>
        </w:tc>
        <w:tc>
          <w:tcPr>
            <w:tcW w:w="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right="0"/>
              <w:jc w:val="right"/>
              <w:rPr>
                <w:rFonts w:ascii="Times New Roman" w:hAnsi="Times New Roman" w:cs="Times New Roman" w:eastAsia="Times New Roman" w:hint="default"/>
                <w:sz w:val="17"/>
                <w:szCs w:val="17"/>
              </w:rPr>
            </w:pPr>
            <w:r>
              <w:rPr>
                <w:rFonts w:ascii="Times New Roman"/>
                <w:spacing w:val="-1"/>
                <w:sz w:val="17"/>
              </w:rPr>
              <w:t>100%</w:t>
            </w:r>
          </w:p>
        </w:tc>
        <w:tc>
          <w:tcPr>
            <w:tcW w:w="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right="0"/>
              <w:jc w:val="right"/>
              <w:rPr>
                <w:rFonts w:ascii="Times New Roman" w:hAnsi="Times New Roman" w:cs="Times New Roman" w:eastAsia="Times New Roman" w:hint="default"/>
                <w:sz w:val="17"/>
                <w:szCs w:val="17"/>
              </w:rPr>
            </w:pPr>
            <w:r>
              <w:rPr>
                <w:rFonts w:ascii="Times New Roman"/>
                <w:spacing w:val="-1"/>
                <w:sz w:val="17"/>
              </w:rPr>
              <w:t>100%</w:t>
            </w:r>
          </w:p>
        </w:tc>
      </w:tr>
    </w:tbl>
    <w:p>
      <w:pPr>
        <w:spacing w:after="0" w:line="240" w:lineRule="auto"/>
        <w:jc w:val="right"/>
        <w:rPr>
          <w:rFonts w:ascii="Times New Roman" w:hAnsi="Times New Roman" w:cs="Times New Roman" w:eastAsia="Times New Roman" w:hint="default"/>
          <w:sz w:val="17"/>
          <w:szCs w:val="17"/>
        </w:rPr>
        <w:sectPr>
          <w:pgSz w:w="11910" w:h="16840"/>
          <w:pgMar w:header="906" w:footer="1018" w:top="1100" w:bottom="1200" w:left="1020" w:right="0"/>
        </w:sectPr>
      </w:pPr>
    </w:p>
    <w:p>
      <w:pPr>
        <w:spacing w:line="240" w:lineRule="auto" w:before="7"/>
        <w:rPr>
          <w:rFonts w:ascii="宋体" w:hAnsi="宋体" w:cs="宋体" w:eastAsia="宋体" w:hint="default"/>
          <w:sz w:val="25"/>
          <w:szCs w:val="25"/>
        </w:rPr>
      </w:pPr>
    </w:p>
    <w:tbl>
      <w:tblPr>
        <w:tblW w:w="0" w:type="auto"/>
        <w:jc w:val="left"/>
        <w:tblInd w:w="106" w:type="dxa"/>
        <w:tblLayout w:type="fixed"/>
        <w:tblCellMar>
          <w:top w:w="0" w:type="dxa"/>
          <w:left w:w="0" w:type="dxa"/>
          <w:bottom w:w="0" w:type="dxa"/>
          <w:right w:w="0" w:type="dxa"/>
        </w:tblCellMar>
        <w:tblLook w:val="01E0"/>
      </w:tblPr>
      <w:tblGrid>
        <w:gridCol w:w="3302"/>
        <w:gridCol w:w="1571"/>
        <w:gridCol w:w="3279"/>
        <w:gridCol w:w="771"/>
        <w:gridCol w:w="771"/>
      </w:tblGrid>
      <w:tr>
        <w:trPr>
          <w:trHeight w:val="427" w:hRule="exact"/>
        </w:trPr>
        <w:tc>
          <w:tcPr>
            <w:tcW w:w="3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7"/>
              <w:ind w:left="2" w:right="0"/>
              <w:jc w:val="left"/>
              <w:rPr>
                <w:rFonts w:ascii="宋体" w:hAnsi="宋体" w:cs="宋体" w:eastAsia="宋体" w:hint="default"/>
                <w:sz w:val="17"/>
                <w:szCs w:val="17"/>
              </w:rPr>
            </w:pPr>
            <w:r>
              <w:rPr>
                <w:rFonts w:ascii="宋体" w:hAnsi="宋体" w:cs="宋体" w:eastAsia="宋体" w:hint="default"/>
                <w:sz w:val="17"/>
                <w:szCs w:val="17"/>
              </w:rPr>
              <w:t>恒宝国际有限责任公司</w:t>
            </w:r>
          </w:p>
        </w:tc>
        <w:tc>
          <w:tcPr>
            <w:tcW w:w="15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7"/>
              <w:ind w:right="0"/>
              <w:jc w:val="right"/>
              <w:rPr>
                <w:rFonts w:ascii="宋体" w:hAnsi="宋体" w:cs="宋体" w:eastAsia="宋体" w:hint="default"/>
                <w:sz w:val="17"/>
                <w:szCs w:val="17"/>
              </w:rPr>
            </w:pPr>
            <w:r>
              <w:rPr>
                <w:rFonts w:ascii="Times New Roman" w:hAnsi="Times New Roman" w:cs="Times New Roman" w:eastAsia="Times New Roman" w:hint="default"/>
                <w:spacing w:val="-1"/>
                <w:sz w:val="17"/>
                <w:szCs w:val="17"/>
              </w:rPr>
              <w:t>2018</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12</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31</w:t>
            </w:r>
            <w:r>
              <w:rPr>
                <w:rFonts w:ascii="宋体" w:hAnsi="宋体" w:cs="宋体" w:eastAsia="宋体" w:hint="default"/>
                <w:spacing w:val="-1"/>
                <w:sz w:val="17"/>
                <w:szCs w:val="17"/>
              </w:rPr>
              <w:t>日</w:t>
            </w:r>
          </w:p>
        </w:tc>
        <w:tc>
          <w:tcPr>
            <w:tcW w:w="32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7"/>
              <w:ind w:right="0"/>
              <w:jc w:val="right"/>
              <w:rPr>
                <w:rFonts w:ascii="宋体" w:hAnsi="宋体" w:cs="宋体" w:eastAsia="宋体" w:hint="default"/>
                <w:sz w:val="17"/>
                <w:szCs w:val="17"/>
              </w:rPr>
            </w:pPr>
            <w:r>
              <w:rPr>
                <w:rFonts w:ascii="Times New Roman" w:hAnsi="Times New Roman" w:cs="Times New Roman" w:eastAsia="Times New Roman" w:hint="default"/>
                <w:spacing w:val="-1"/>
                <w:sz w:val="17"/>
                <w:szCs w:val="17"/>
              </w:rPr>
              <w:t>2018</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1</w:t>
            </w:r>
            <w:r>
              <w:rPr>
                <w:rFonts w:ascii="宋体" w:hAnsi="宋体" w:cs="宋体" w:eastAsia="宋体" w:hint="default"/>
                <w:spacing w:val="-1"/>
                <w:sz w:val="17"/>
                <w:szCs w:val="17"/>
              </w:rPr>
              <w:t>日至</w:t>
            </w:r>
            <w:r>
              <w:rPr>
                <w:rFonts w:ascii="Times New Roman" w:hAnsi="Times New Roman" w:cs="Times New Roman" w:eastAsia="Times New Roman" w:hint="default"/>
                <w:spacing w:val="-1"/>
                <w:sz w:val="17"/>
                <w:szCs w:val="17"/>
              </w:rPr>
              <w:t>2018</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12</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31</w:t>
            </w:r>
            <w:r>
              <w:rPr>
                <w:rFonts w:ascii="宋体" w:hAnsi="宋体" w:cs="宋体" w:eastAsia="宋体" w:hint="default"/>
                <w:spacing w:val="-1"/>
                <w:sz w:val="17"/>
                <w:szCs w:val="17"/>
              </w:rPr>
              <w:t>日</w:t>
            </w:r>
          </w:p>
        </w:tc>
        <w:tc>
          <w:tcPr>
            <w:tcW w:w="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0"/>
              <w:jc w:val="right"/>
              <w:rPr>
                <w:rFonts w:ascii="Times New Roman" w:hAnsi="Times New Roman" w:cs="Times New Roman" w:eastAsia="Times New Roman" w:hint="default"/>
                <w:sz w:val="17"/>
                <w:szCs w:val="17"/>
              </w:rPr>
            </w:pPr>
            <w:r>
              <w:rPr>
                <w:rFonts w:ascii="Times New Roman"/>
                <w:spacing w:val="-1"/>
                <w:sz w:val="17"/>
              </w:rPr>
              <w:t>100%</w:t>
            </w:r>
          </w:p>
        </w:tc>
        <w:tc>
          <w:tcPr>
            <w:tcW w:w="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0"/>
              <w:jc w:val="right"/>
              <w:rPr>
                <w:rFonts w:ascii="Times New Roman" w:hAnsi="Times New Roman" w:cs="Times New Roman" w:eastAsia="Times New Roman" w:hint="default"/>
                <w:sz w:val="17"/>
                <w:szCs w:val="17"/>
              </w:rPr>
            </w:pPr>
            <w:r>
              <w:rPr>
                <w:rFonts w:ascii="Times New Roman"/>
                <w:spacing w:val="-1"/>
                <w:sz w:val="17"/>
              </w:rPr>
              <w:t>100%</w:t>
            </w:r>
          </w:p>
        </w:tc>
      </w:tr>
      <w:tr>
        <w:trPr>
          <w:trHeight w:val="427" w:hRule="exact"/>
        </w:trPr>
        <w:tc>
          <w:tcPr>
            <w:tcW w:w="3302" w:type="dxa"/>
            <w:tcBorders>
              <w:top w:val="single" w:sz="6" w:space="0" w:color="000000"/>
              <w:left w:val="single" w:sz="6" w:space="0" w:color="000000"/>
              <w:bottom w:val="single" w:sz="6" w:space="0" w:color="000000"/>
              <w:right w:val="single" w:sz="6" w:space="0" w:color="000000"/>
            </w:tcBorders>
          </w:tcPr>
          <w:p>
            <w:pPr/>
          </w:p>
        </w:tc>
        <w:tc>
          <w:tcPr>
            <w:tcW w:w="15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7"/>
              <w:ind w:right="0"/>
              <w:jc w:val="right"/>
              <w:rPr>
                <w:rFonts w:ascii="宋体" w:hAnsi="宋体" w:cs="宋体" w:eastAsia="宋体" w:hint="default"/>
                <w:sz w:val="17"/>
                <w:szCs w:val="17"/>
              </w:rPr>
            </w:pPr>
            <w:r>
              <w:rPr>
                <w:rFonts w:ascii="Times New Roman" w:hAnsi="Times New Roman" w:cs="Times New Roman" w:eastAsia="Times New Roman" w:hint="default"/>
                <w:spacing w:val="-1"/>
                <w:sz w:val="17"/>
                <w:szCs w:val="17"/>
              </w:rPr>
              <w:t>2019</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12</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31</w:t>
            </w:r>
            <w:r>
              <w:rPr>
                <w:rFonts w:ascii="宋体" w:hAnsi="宋体" w:cs="宋体" w:eastAsia="宋体" w:hint="default"/>
                <w:spacing w:val="-1"/>
                <w:sz w:val="17"/>
                <w:szCs w:val="17"/>
              </w:rPr>
              <w:t>日</w:t>
            </w:r>
          </w:p>
        </w:tc>
        <w:tc>
          <w:tcPr>
            <w:tcW w:w="32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7"/>
              <w:ind w:right="0"/>
              <w:jc w:val="right"/>
              <w:rPr>
                <w:rFonts w:ascii="宋体" w:hAnsi="宋体" w:cs="宋体" w:eastAsia="宋体" w:hint="default"/>
                <w:sz w:val="17"/>
                <w:szCs w:val="17"/>
              </w:rPr>
            </w:pPr>
            <w:r>
              <w:rPr>
                <w:rFonts w:ascii="Times New Roman" w:hAnsi="Times New Roman" w:cs="Times New Roman" w:eastAsia="Times New Roman" w:hint="default"/>
                <w:spacing w:val="-1"/>
                <w:sz w:val="17"/>
                <w:szCs w:val="17"/>
              </w:rPr>
              <w:t>2019</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1</w:t>
            </w:r>
            <w:r>
              <w:rPr>
                <w:rFonts w:ascii="宋体" w:hAnsi="宋体" w:cs="宋体" w:eastAsia="宋体" w:hint="default"/>
                <w:spacing w:val="-1"/>
                <w:sz w:val="17"/>
                <w:szCs w:val="17"/>
              </w:rPr>
              <w:t>日至</w:t>
            </w:r>
            <w:r>
              <w:rPr>
                <w:rFonts w:ascii="Times New Roman" w:hAnsi="Times New Roman" w:cs="Times New Roman" w:eastAsia="Times New Roman" w:hint="default"/>
                <w:spacing w:val="-1"/>
                <w:sz w:val="17"/>
                <w:szCs w:val="17"/>
              </w:rPr>
              <w:t>2019</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12</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31</w:t>
            </w:r>
            <w:r>
              <w:rPr>
                <w:rFonts w:ascii="宋体" w:hAnsi="宋体" w:cs="宋体" w:eastAsia="宋体" w:hint="default"/>
                <w:spacing w:val="-1"/>
                <w:sz w:val="17"/>
                <w:szCs w:val="17"/>
              </w:rPr>
              <w:t>日</w:t>
            </w:r>
          </w:p>
        </w:tc>
        <w:tc>
          <w:tcPr>
            <w:tcW w:w="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right="0"/>
              <w:jc w:val="right"/>
              <w:rPr>
                <w:rFonts w:ascii="Times New Roman" w:hAnsi="Times New Roman" w:cs="Times New Roman" w:eastAsia="Times New Roman" w:hint="default"/>
                <w:sz w:val="17"/>
                <w:szCs w:val="17"/>
              </w:rPr>
            </w:pPr>
            <w:r>
              <w:rPr>
                <w:rFonts w:ascii="Times New Roman"/>
                <w:spacing w:val="-1"/>
                <w:sz w:val="17"/>
              </w:rPr>
              <w:t>100%</w:t>
            </w:r>
          </w:p>
        </w:tc>
        <w:tc>
          <w:tcPr>
            <w:tcW w:w="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right="0"/>
              <w:jc w:val="right"/>
              <w:rPr>
                <w:rFonts w:ascii="Times New Roman" w:hAnsi="Times New Roman" w:cs="Times New Roman" w:eastAsia="Times New Roman" w:hint="default"/>
                <w:sz w:val="17"/>
                <w:szCs w:val="17"/>
              </w:rPr>
            </w:pPr>
            <w:r>
              <w:rPr>
                <w:rFonts w:ascii="Times New Roman"/>
                <w:spacing w:val="-1"/>
                <w:sz w:val="17"/>
              </w:rPr>
              <w:t>100%</w:t>
            </w:r>
          </w:p>
        </w:tc>
      </w:tr>
      <w:tr>
        <w:trPr>
          <w:trHeight w:val="427" w:hRule="exact"/>
        </w:trPr>
        <w:tc>
          <w:tcPr>
            <w:tcW w:w="3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7"/>
              <w:ind w:left="2" w:right="0"/>
              <w:jc w:val="left"/>
              <w:rPr>
                <w:rFonts w:ascii="宋体" w:hAnsi="宋体" w:cs="宋体" w:eastAsia="宋体" w:hint="default"/>
                <w:sz w:val="17"/>
                <w:szCs w:val="17"/>
              </w:rPr>
            </w:pPr>
            <w:r>
              <w:rPr>
                <w:rFonts w:ascii="宋体" w:hAnsi="宋体" w:cs="宋体" w:eastAsia="宋体" w:hint="default"/>
                <w:sz w:val="17"/>
                <w:szCs w:val="17"/>
              </w:rPr>
              <w:t>恒宝科技（印度）私人有限公司</w:t>
            </w:r>
          </w:p>
        </w:tc>
        <w:tc>
          <w:tcPr>
            <w:tcW w:w="15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7"/>
              <w:ind w:right="0"/>
              <w:jc w:val="right"/>
              <w:rPr>
                <w:rFonts w:ascii="宋体" w:hAnsi="宋体" w:cs="宋体" w:eastAsia="宋体" w:hint="default"/>
                <w:sz w:val="17"/>
                <w:szCs w:val="17"/>
              </w:rPr>
            </w:pPr>
            <w:r>
              <w:rPr>
                <w:rFonts w:ascii="Times New Roman" w:hAnsi="Times New Roman" w:cs="Times New Roman" w:eastAsia="Times New Roman" w:hint="default"/>
                <w:spacing w:val="-1"/>
                <w:sz w:val="17"/>
                <w:szCs w:val="17"/>
              </w:rPr>
              <w:t>2018</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12</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31</w:t>
            </w:r>
            <w:r>
              <w:rPr>
                <w:rFonts w:ascii="宋体" w:hAnsi="宋体" w:cs="宋体" w:eastAsia="宋体" w:hint="default"/>
                <w:spacing w:val="-1"/>
                <w:sz w:val="17"/>
                <w:szCs w:val="17"/>
              </w:rPr>
              <w:t>日</w:t>
            </w:r>
          </w:p>
        </w:tc>
        <w:tc>
          <w:tcPr>
            <w:tcW w:w="32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7"/>
              <w:ind w:right="0"/>
              <w:jc w:val="right"/>
              <w:rPr>
                <w:rFonts w:ascii="宋体" w:hAnsi="宋体" w:cs="宋体" w:eastAsia="宋体" w:hint="default"/>
                <w:sz w:val="17"/>
                <w:szCs w:val="17"/>
              </w:rPr>
            </w:pPr>
            <w:r>
              <w:rPr>
                <w:rFonts w:ascii="Times New Roman" w:hAnsi="Times New Roman" w:cs="Times New Roman" w:eastAsia="Times New Roman" w:hint="default"/>
                <w:spacing w:val="-1"/>
                <w:sz w:val="17"/>
                <w:szCs w:val="17"/>
              </w:rPr>
              <w:t>2018</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1</w:t>
            </w:r>
            <w:r>
              <w:rPr>
                <w:rFonts w:ascii="宋体" w:hAnsi="宋体" w:cs="宋体" w:eastAsia="宋体" w:hint="default"/>
                <w:spacing w:val="-1"/>
                <w:sz w:val="17"/>
                <w:szCs w:val="17"/>
              </w:rPr>
              <w:t>日至</w:t>
            </w:r>
            <w:r>
              <w:rPr>
                <w:rFonts w:ascii="Times New Roman" w:hAnsi="Times New Roman" w:cs="Times New Roman" w:eastAsia="Times New Roman" w:hint="default"/>
                <w:spacing w:val="-1"/>
                <w:sz w:val="17"/>
                <w:szCs w:val="17"/>
              </w:rPr>
              <w:t>2018</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12</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31</w:t>
            </w:r>
            <w:r>
              <w:rPr>
                <w:rFonts w:ascii="宋体" w:hAnsi="宋体" w:cs="宋体" w:eastAsia="宋体" w:hint="default"/>
                <w:spacing w:val="-1"/>
                <w:sz w:val="17"/>
                <w:szCs w:val="17"/>
              </w:rPr>
              <w:t>日</w:t>
            </w:r>
          </w:p>
        </w:tc>
        <w:tc>
          <w:tcPr>
            <w:tcW w:w="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right="0"/>
              <w:jc w:val="right"/>
              <w:rPr>
                <w:rFonts w:ascii="Times New Roman" w:hAnsi="Times New Roman" w:cs="Times New Roman" w:eastAsia="Times New Roman" w:hint="default"/>
                <w:sz w:val="17"/>
                <w:szCs w:val="17"/>
              </w:rPr>
            </w:pPr>
            <w:r>
              <w:rPr>
                <w:rFonts w:ascii="Times New Roman"/>
                <w:spacing w:val="-1"/>
                <w:sz w:val="17"/>
              </w:rPr>
              <w:t>100%</w:t>
            </w:r>
          </w:p>
        </w:tc>
        <w:tc>
          <w:tcPr>
            <w:tcW w:w="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right="0"/>
              <w:jc w:val="right"/>
              <w:rPr>
                <w:rFonts w:ascii="Times New Roman" w:hAnsi="Times New Roman" w:cs="Times New Roman" w:eastAsia="Times New Roman" w:hint="default"/>
                <w:sz w:val="17"/>
                <w:szCs w:val="17"/>
              </w:rPr>
            </w:pPr>
            <w:r>
              <w:rPr>
                <w:rFonts w:ascii="Times New Roman"/>
                <w:spacing w:val="-1"/>
                <w:sz w:val="17"/>
              </w:rPr>
              <w:t>100%</w:t>
            </w:r>
          </w:p>
        </w:tc>
      </w:tr>
      <w:tr>
        <w:trPr>
          <w:trHeight w:val="427" w:hRule="exact"/>
        </w:trPr>
        <w:tc>
          <w:tcPr>
            <w:tcW w:w="3302" w:type="dxa"/>
            <w:tcBorders>
              <w:top w:val="single" w:sz="6" w:space="0" w:color="000000"/>
              <w:left w:val="single" w:sz="6" w:space="0" w:color="000000"/>
              <w:bottom w:val="single" w:sz="6" w:space="0" w:color="000000"/>
              <w:right w:val="single" w:sz="6" w:space="0" w:color="000000"/>
            </w:tcBorders>
          </w:tcPr>
          <w:p>
            <w:pPr/>
          </w:p>
        </w:tc>
        <w:tc>
          <w:tcPr>
            <w:tcW w:w="15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right="0"/>
              <w:jc w:val="right"/>
              <w:rPr>
                <w:rFonts w:ascii="宋体" w:hAnsi="宋体" w:cs="宋体" w:eastAsia="宋体" w:hint="default"/>
                <w:sz w:val="17"/>
                <w:szCs w:val="17"/>
              </w:rPr>
            </w:pPr>
            <w:r>
              <w:rPr>
                <w:rFonts w:ascii="Times New Roman" w:hAnsi="Times New Roman" w:cs="Times New Roman" w:eastAsia="Times New Roman" w:hint="default"/>
                <w:spacing w:val="-1"/>
                <w:sz w:val="17"/>
                <w:szCs w:val="17"/>
              </w:rPr>
              <w:t>2019</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12</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31</w:t>
            </w:r>
            <w:r>
              <w:rPr>
                <w:rFonts w:ascii="宋体" w:hAnsi="宋体" w:cs="宋体" w:eastAsia="宋体" w:hint="default"/>
                <w:spacing w:val="-1"/>
                <w:sz w:val="17"/>
                <w:szCs w:val="17"/>
              </w:rPr>
              <w:t>日</w:t>
            </w:r>
          </w:p>
        </w:tc>
        <w:tc>
          <w:tcPr>
            <w:tcW w:w="32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right="0"/>
              <w:jc w:val="right"/>
              <w:rPr>
                <w:rFonts w:ascii="宋体" w:hAnsi="宋体" w:cs="宋体" w:eastAsia="宋体" w:hint="default"/>
                <w:sz w:val="17"/>
                <w:szCs w:val="17"/>
              </w:rPr>
            </w:pPr>
            <w:r>
              <w:rPr>
                <w:rFonts w:ascii="Times New Roman" w:hAnsi="Times New Roman" w:cs="Times New Roman" w:eastAsia="Times New Roman" w:hint="default"/>
                <w:spacing w:val="-1"/>
                <w:sz w:val="17"/>
                <w:szCs w:val="17"/>
              </w:rPr>
              <w:t>2019</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1</w:t>
            </w:r>
            <w:r>
              <w:rPr>
                <w:rFonts w:ascii="宋体" w:hAnsi="宋体" w:cs="宋体" w:eastAsia="宋体" w:hint="default"/>
                <w:spacing w:val="-1"/>
                <w:sz w:val="17"/>
                <w:szCs w:val="17"/>
              </w:rPr>
              <w:t>日至</w:t>
            </w:r>
            <w:r>
              <w:rPr>
                <w:rFonts w:ascii="Times New Roman" w:hAnsi="Times New Roman" w:cs="Times New Roman" w:eastAsia="Times New Roman" w:hint="default"/>
                <w:spacing w:val="-1"/>
                <w:sz w:val="17"/>
                <w:szCs w:val="17"/>
              </w:rPr>
              <w:t>2019</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12</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31</w:t>
            </w:r>
            <w:r>
              <w:rPr>
                <w:rFonts w:ascii="宋体" w:hAnsi="宋体" w:cs="宋体" w:eastAsia="宋体" w:hint="default"/>
                <w:spacing w:val="-1"/>
                <w:sz w:val="17"/>
                <w:szCs w:val="17"/>
              </w:rPr>
              <w:t>日</w:t>
            </w:r>
          </w:p>
        </w:tc>
        <w:tc>
          <w:tcPr>
            <w:tcW w:w="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0"/>
              <w:jc w:val="right"/>
              <w:rPr>
                <w:rFonts w:ascii="Times New Roman" w:hAnsi="Times New Roman" w:cs="Times New Roman" w:eastAsia="Times New Roman" w:hint="default"/>
                <w:sz w:val="17"/>
                <w:szCs w:val="17"/>
              </w:rPr>
            </w:pPr>
            <w:r>
              <w:rPr>
                <w:rFonts w:ascii="Times New Roman"/>
                <w:spacing w:val="-1"/>
                <w:sz w:val="17"/>
              </w:rPr>
              <w:t>100%</w:t>
            </w:r>
          </w:p>
        </w:tc>
        <w:tc>
          <w:tcPr>
            <w:tcW w:w="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0"/>
              <w:jc w:val="right"/>
              <w:rPr>
                <w:rFonts w:ascii="Times New Roman" w:hAnsi="Times New Roman" w:cs="Times New Roman" w:eastAsia="Times New Roman" w:hint="default"/>
                <w:sz w:val="17"/>
                <w:szCs w:val="17"/>
              </w:rPr>
            </w:pPr>
            <w:r>
              <w:rPr>
                <w:rFonts w:ascii="Times New Roman"/>
                <w:spacing w:val="-1"/>
                <w:sz w:val="17"/>
              </w:rPr>
              <w:t>100%</w:t>
            </w:r>
          </w:p>
        </w:tc>
      </w:tr>
      <w:tr>
        <w:trPr>
          <w:trHeight w:val="427" w:hRule="exact"/>
        </w:trPr>
        <w:tc>
          <w:tcPr>
            <w:tcW w:w="3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left="2" w:right="0"/>
              <w:jc w:val="left"/>
              <w:rPr>
                <w:rFonts w:ascii="宋体" w:hAnsi="宋体" w:cs="宋体" w:eastAsia="宋体" w:hint="default"/>
                <w:sz w:val="17"/>
                <w:szCs w:val="17"/>
              </w:rPr>
            </w:pPr>
            <w:r>
              <w:rPr>
                <w:rFonts w:ascii="宋体" w:hAnsi="宋体" w:cs="宋体" w:eastAsia="宋体" w:hint="default"/>
                <w:sz w:val="17"/>
                <w:szCs w:val="17"/>
              </w:rPr>
              <w:t>云宝金服（北京）科技有限公司</w:t>
            </w:r>
          </w:p>
        </w:tc>
        <w:tc>
          <w:tcPr>
            <w:tcW w:w="15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right="0"/>
              <w:jc w:val="right"/>
              <w:rPr>
                <w:rFonts w:ascii="宋体" w:hAnsi="宋体" w:cs="宋体" w:eastAsia="宋体" w:hint="default"/>
                <w:sz w:val="17"/>
                <w:szCs w:val="17"/>
              </w:rPr>
            </w:pPr>
            <w:r>
              <w:rPr>
                <w:rFonts w:ascii="Times New Roman" w:hAnsi="Times New Roman" w:cs="Times New Roman" w:eastAsia="Times New Roman" w:hint="default"/>
                <w:spacing w:val="-1"/>
                <w:sz w:val="17"/>
                <w:szCs w:val="17"/>
              </w:rPr>
              <w:t>2018</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12</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31</w:t>
            </w:r>
            <w:r>
              <w:rPr>
                <w:rFonts w:ascii="宋体" w:hAnsi="宋体" w:cs="宋体" w:eastAsia="宋体" w:hint="default"/>
                <w:spacing w:val="-1"/>
                <w:sz w:val="17"/>
                <w:szCs w:val="17"/>
              </w:rPr>
              <w:t>日</w:t>
            </w:r>
          </w:p>
        </w:tc>
        <w:tc>
          <w:tcPr>
            <w:tcW w:w="32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right="0"/>
              <w:jc w:val="right"/>
              <w:rPr>
                <w:rFonts w:ascii="宋体" w:hAnsi="宋体" w:cs="宋体" w:eastAsia="宋体" w:hint="default"/>
                <w:sz w:val="17"/>
                <w:szCs w:val="17"/>
              </w:rPr>
            </w:pPr>
            <w:r>
              <w:rPr>
                <w:rFonts w:ascii="Times New Roman" w:hAnsi="Times New Roman" w:cs="Times New Roman" w:eastAsia="Times New Roman" w:hint="default"/>
                <w:spacing w:val="-1"/>
                <w:sz w:val="17"/>
                <w:szCs w:val="17"/>
              </w:rPr>
              <w:t>2018</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1</w:t>
            </w:r>
            <w:r>
              <w:rPr>
                <w:rFonts w:ascii="宋体" w:hAnsi="宋体" w:cs="宋体" w:eastAsia="宋体" w:hint="default"/>
                <w:spacing w:val="-1"/>
                <w:sz w:val="17"/>
                <w:szCs w:val="17"/>
              </w:rPr>
              <w:t>日至</w:t>
            </w:r>
            <w:r>
              <w:rPr>
                <w:rFonts w:ascii="Times New Roman" w:hAnsi="Times New Roman" w:cs="Times New Roman" w:eastAsia="Times New Roman" w:hint="default"/>
                <w:spacing w:val="-1"/>
                <w:sz w:val="17"/>
                <w:szCs w:val="17"/>
              </w:rPr>
              <w:t>2018</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12</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31</w:t>
            </w:r>
            <w:r>
              <w:rPr>
                <w:rFonts w:ascii="宋体" w:hAnsi="宋体" w:cs="宋体" w:eastAsia="宋体" w:hint="default"/>
                <w:spacing w:val="-1"/>
                <w:sz w:val="17"/>
                <w:szCs w:val="17"/>
              </w:rPr>
              <w:t>日</w:t>
            </w:r>
          </w:p>
        </w:tc>
        <w:tc>
          <w:tcPr>
            <w:tcW w:w="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right="0"/>
              <w:jc w:val="right"/>
              <w:rPr>
                <w:rFonts w:ascii="Times New Roman" w:hAnsi="Times New Roman" w:cs="Times New Roman" w:eastAsia="Times New Roman" w:hint="default"/>
                <w:sz w:val="17"/>
                <w:szCs w:val="17"/>
              </w:rPr>
            </w:pPr>
            <w:r>
              <w:rPr>
                <w:rFonts w:ascii="Times New Roman"/>
                <w:spacing w:val="-1"/>
                <w:sz w:val="17"/>
              </w:rPr>
              <w:t>100%</w:t>
            </w:r>
          </w:p>
        </w:tc>
        <w:tc>
          <w:tcPr>
            <w:tcW w:w="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right="0"/>
              <w:jc w:val="right"/>
              <w:rPr>
                <w:rFonts w:ascii="Times New Roman" w:hAnsi="Times New Roman" w:cs="Times New Roman" w:eastAsia="Times New Roman" w:hint="default"/>
                <w:sz w:val="17"/>
                <w:szCs w:val="17"/>
              </w:rPr>
            </w:pPr>
            <w:r>
              <w:rPr>
                <w:rFonts w:ascii="Times New Roman"/>
                <w:spacing w:val="-1"/>
                <w:sz w:val="17"/>
              </w:rPr>
              <w:t>100%</w:t>
            </w:r>
          </w:p>
        </w:tc>
      </w:tr>
      <w:tr>
        <w:trPr>
          <w:trHeight w:val="427" w:hRule="exact"/>
        </w:trPr>
        <w:tc>
          <w:tcPr>
            <w:tcW w:w="3302" w:type="dxa"/>
            <w:tcBorders>
              <w:top w:val="single" w:sz="6" w:space="0" w:color="000000"/>
              <w:left w:val="single" w:sz="6" w:space="0" w:color="000000"/>
              <w:bottom w:val="single" w:sz="6" w:space="0" w:color="000000"/>
              <w:right w:val="single" w:sz="6" w:space="0" w:color="000000"/>
            </w:tcBorders>
          </w:tcPr>
          <w:p>
            <w:pPr/>
          </w:p>
        </w:tc>
        <w:tc>
          <w:tcPr>
            <w:tcW w:w="15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right="0"/>
              <w:jc w:val="right"/>
              <w:rPr>
                <w:rFonts w:ascii="宋体" w:hAnsi="宋体" w:cs="宋体" w:eastAsia="宋体" w:hint="default"/>
                <w:sz w:val="17"/>
                <w:szCs w:val="17"/>
              </w:rPr>
            </w:pPr>
            <w:r>
              <w:rPr>
                <w:rFonts w:ascii="Times New Roman" w:hAnsi="Times New Roman" w:cs="Times New Roman" w:eastAsia="Times New Roman" w:hint="default"/>
                <w:spacing w:val="-1"/>
                <w:sz w:val="17"/>
                <w:szCs w:val="17"/>
              </w:rPr>
              <w:t>2019</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12</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31</w:t>
            </w:r>
            <w:r>
              <w:rPr>
                <w:rFonts w:ascii="宋体" w:hAnsi="宋体" w:cs="宋体" w:eastAsia="宋体" w:hint="default"/>
                <w:spacing w:val="-1"/>
                <w:sz w:val="17"/>
                <w:szCs w:val="17"/>
              </w:rPr>
              <w:t>日</w:t>
            </w:r>
          </w:p>
        </w:tc>
        <w:tc>
          <w:tcPr>
            <w:tcW w:w="32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right="0"/>
              <w:jc w:val="right"/>
              <w:rPr>
                <w:rFonts w:ascii="宋体" w:hAnsi="宋体" w:cs="宋体" w:eastAsia="宋体" w:hint="default"/>
                <w:sz w:val="17"/>
                <w:szCs w:val="17"/>
              </w:rPr>
            </w:pPr>
            <w:r>
              <w:rPr>
                <w:rFonts w:ascii="Times New Roman" w:hAnsi="Times New Roman" w:cs="Times New Roman" w:eastAsia="Times New Roman" w:hint="default"/>
                <w:spacing w:val="-1"/>
                <w:sz w:val="17"/>
                <w:szCs w:val="17"/>
              </w:rPr>
              <w:t>2019</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1</w:t>
            </w:r>
            <w:r>
              <w:rPr>
                <w:rFonts w:ascii="宋体" w:hAnsi="宋体" w:cs="宋体" w:eastAsia="宋体" w:hint="default"/>
                <w:spacing w:val="-1"/>
                <w:sz w:val="17"/>
                <w:szCs w:val="17"/>
              </w:rPr>
              <w:t>日至</w:t>
            </w:r>
            <w:r>
              <w:rPr>
                <w:rFonts w:ascii="Times New Roman" w:hAnsi="Times New Roman" w:cs="Times New Roman" w:eastAsia="Times New Roman" w:hint="default"/>
                <w:spacing w:val="-1"/>
                <w:sz w:val="17"/>
                <w:szCs w:val="17"/>
              </w:rPr>
              <w:t>2019</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12</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31</w:t>
            </w:r>
            <w:r>
              <w:rPr>
                <w:rFonts w:ascii="宋体" w:hAnsi="宋体" w:cs="宋体" w:eastAsia="宋体" w:hint="default"/>
                <w:spacing w:val="-1"/>
                <w:sz w:val="17"/>
                <w:szCs w:val="17"/>
              </w:rPr>
              <w:t>日</w:t>
            </w:r>
          </w:p>
        </w:tc>
        <w:tc>
          <w:tcPr>
            <w:tcW w:w="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right="0"/>
              <w:jc w:val="right"/>
              <w:rPr>
                <w:rFonts w:ascii="Times New Roman" w:hAnsi="Times New Roman" w:cs="Times New Roman" w:eastAsia="Times New Roman" w:hint="default"/>
                <w:sz w:val="17"/>
                <w:szCs w:val="17"/>
              </w:rPr>
            </w:pPr>
            <w:r>
              <w:rPr>
                <w:rFonts w:ascii="Times New Roman"/>
                <w:spacing w:val="-1"/>
                <w:sz w:val="17"/>
              </w:rPr>
              <w:t>100%</w:t>
            </w:r>
          </w:p>
        </w:tc>
        <w:tc>
          <w:tcPr>
            <w:tcW w:w="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right="0"/>
              <w:jc w:val="right"/>
              <w:rPr>
                <w:rFonts w:ascii="Times New Roman" w:hAnsi="Times New Roman" w:cs="Times New Roman" w:eastAsia="Times New Roman" w:hint="default"/>
                <w:sz w:val="17"/>
                <w:szCs w:val="17"/>
              </w:rPr>
            </w:pPr>
            <w:r>
              <w:rPr>
                <w:rFonts w:ascii="Times New Roman"/>
                <w:spacing w:val="-1"/>
                <w:sz w:val="17"/>
              </w:rPr>
              <w:t>100%</w:t>
            </w:r>
          </w:p>
        </w:tc>
      </w:tr>
      <w:tr>
        <w:trPr>
          <w:trHeight w:val="427" w:hRule="exact"/>
        </w:trPr>
        <w:tc>
          <w:tcPr>
            <w:tcW w:w="3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left="2" w:right="0"/>
              <w:jc w:val="left"/>
              <w:rPr>
                <w:rFonts w:ascii="宋体" w:hAnsi="宋体" w:cs="宋体" w:eastAsia="宋体" w:hint="default"/>
                <w:sz w:val="17"/>
                <w:szCs w:val="17"/>
              </w:rPr>
            </w:pPr>
            <w:r>
              <w:rPr>
                <w:rFonts w:ascii="宋体" w:hAnsi="宋体" w:cs="宋体" w:eastAsia="宋体" w:hint="default"/>
                <w:sz w:val="17"/>
                <w:szCs w:val="17"/>
              </w:rPr>
              <w:t>深圳一卡易科技股份有限公司</w:t>
            </w:r>
          </w:p>
        </w:tc>
        <w:tc>
          <w:tcPr>
            <w:tcW w:w="15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right="0"/>
              <w:jc w:val="right"/>
              <w:rPr>
                <w:rFonts w:ascii="宋体" w:hAnsi="宋体" w:cs="宋体" w:eastAsia="宋体" w:hint="default"/>
                <w:sz w:val="17"/>
                <w:szCs w:val="17"/>
              </w:rPr>
            </w:pPr>
            <w:r>
              <w:rPr>
                <w:rFonts w:ascii="Times New Roman" w:hAnsi="Times New Roman" w:cs="Times New Roman" w:eastAsia="Times New Roman" w:hint="default"/>
                <w:spacing w:val="-1"/>
                <w:sz w:val="17"/>
                <w:szCs w:val="17"/>
              </w:rPr>
              <w:t>2018</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12</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31</w:t>
            </w:r>
            <w:r>
              <w:rPr>
                <w:rFonts w:ascii="宋体" w:hAnsi="宋体" w:cs="宋体" w:eastAsia="宋体" w:hint="default"/>
                <w:spacing w:val="-1"/>
                <w:sz w:val="17"/>
                <w:szCs w:val="17"/>
              </w:rPr>
              <w:t>日</w:t>
            </w:r>
          </w:p>
        </w:tc>
        <w:tc>
          <w:tcPr>
            <w:tcW w:w="32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right="0"/>
              <w:jc w:val="right"/>
              <w:rPr>
                <w:rFonts w:ascii="宋体" w:hAnsi="宋体" w:cs="宋体" w:eastAsia="宋体" w:hint="default"/>
                <w:sz w:val="17"/>
                <w:szCs w:val="17"/>
              </w:rPr>
            </w:pPr>
            <w:r>
              <w:rPr>
                <w:rFonts w:ascii="Times New Roman" w:hAnsi="Times New Roman" w:cs="Times New Roman" w:eastAsia="Times New Roman" w:hint="default"/>
                <w:spacing w:val="-1"/>
                <w:sz w:val="17"/>
                <w:szCs w:val="17"/>
              </w:rPr>
              <w:t>2018</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1</w:t>
            </w:r>
            <w:r>
              <w:rPr>
                <w:rFonts w:ascii="宋体" w:hAnsi="宋体" w:cs="宋体" w:eastAsia="宋体" w:hint="default"/>
                <w:spacing w:val="-1"/>
                <w:sz w:val="17"/>
                <w:szCs w:val="17"/>
              </w:rPr>
              <w:t>日至</w:t>
            </w:r>
            <w:r>
              <w:rPr>
                <w:rFonts w:ascii="Times New Roman" w:hAnsi="Times New Roman" w:cs="Times New Roman" w:eastAsia="Times New Roman" w:hint="default"/>
                <w:spacing w:val="-1"/>
                <w:sz w:val="17"/>
                <w:szCs w:val="17"/>
              </w:rPr>
              <w:t>2018</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12</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31</w:t>
            </w:r>
            <w:r>
              <w:rPr>
                <w:rFonts w:ascii="宋体" w:hAnsi="宋体" w:cs="宋体" w:eastAsia="宋体" w:hint="default"/>
                <w:spacing w:val="-1"/>
                <w:sz w:val="17"/>
                <w:szCs w:val="17"/>
              </w:rPr>
              <w:t>日</w:t>
            </w:r>
          </w:p>
        </w:tc>
        <w:tc>
          <w:tcPr>
            <w:tcW w:w="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0"/>
              <w:jc w:val="right"/>
              <w:rPr>
                <w:rFonts w:ascii="Times New Roman" w:hAnsi="Times New Roman" w:cs="Times New Roman" w:eastAsia="Times New Roman" w:hint="default"/>
                <w:sz w:val="17"/>
                <w:szCs w:val="17"/>
              </w:rPr>
            </w:pPr>
            <w:r>
              <w:rPr>
                <w:rFonts w:ascii="Times New Roman"/>
                <w:spacing w:val="-1"/>
                <w:sz w:val="17"/>
              </w:rPr>
              <w:t>51.102%</w:t>
            </w:r>
          </w:p>
        </w:tc>
        <w:tc>
          <w:tcPr>
            <w:tcW w:w="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0"/>
              <w:jc w:val="right"/>
              <w:rPr>
                <w:rFonts w:ascii="Times New Roman" w:hAnsi="Times New Roman" w:cs="Times New Roman" w:eastAsia="Times New Roman" w:hint="default"/>
                <w:sz w:val="17"/>
                <w:szCs w:val="17"/>
              </w:rPr>
            </w:pPr>
            <w:r>
              <w:rPr>
                <w:rFonts w:ascii="Times New Roman"/>
                <w:spacing w:val="-1"/>
                <w:sz w:val="17"/>
              </w:rPr>
              <w:t>51.102%</w:t>
            </w:r>
          </w:p>
        </w:tc>
      </w:tr>
      <w:tr>
        <w:trPr>
          <w:trHeight w:val="427" w:hRule="exact"/>
        </w:trPr>
        <w:tc>
          <w:tcPr>
            <w:tcW w:w="3302" w:type="dxa"/>
            <w:tcBorders>
              <w:top w:val="single" w:sz="6" w:space="0" w:color="000000"/>
              <w:left w:val="single" w:sz="6" w:space="0" w:color="000000"/>
              <w:bottom w:val="single" w:sz="6" w:space="0" w:color="000000"/>
              <w:right w:val="single" w:sz="6" w:space="0" w:color="000000"/>
            </w:tcBorders>
          </w:tcPr>
          <w:p>
            <w:pPr/>
          </w:p>
        </w:tc>
        <w:tc>
          <w:tcPr>
            <w:tcW w:w="15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right="0"/>
              <w:jc w:val="right"/>
              <w:rPr>
                <w:rFonts w:ascii="宋体" w:hAnsi="宋体" w:cs="宋体" w:eastAsia="宋体" w:hint="default"/>
                <w:sz w:val="17"/>
                <w:szCs w:val="17"/>
              </w:rPr>
            </w:pPr>
            <w:r>
              <w:rPr>
                <w:rFonts w:ascii="Times New Roman" w:hAnsi="Times New Roman" w:cs="Times New Roman" w:eastAsia="Times New Roman" w:hint="default"/>
                <w:spacing w:val="-1"/>
                <w:sz w:val="17"/>
                <w:szCs w:val="17"/>
              </w:rPr>
              <w:t>2019</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12</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31</w:t>
            </w:r>
            <w:r>
              <w:rPr>
                <w:rFonts w:ascii="宋体" w:hAnsi="宋体" w:cs="宋体" w:eastAsia="宋体" w:hint="default"/>
                <w:spacing w:val="-1"/>
                <w:sz w:val="17"/>
                <w:szCs w:val="17"/>
              </w:rPr>
              <w:t>日</w:t>
            </w:r>
          </w:p>
        </w:tc>
        <w:tc>
          <w:tcPr>
            <w:tcW w:w="32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right="0"/>
              <w:jc w:val="right"/>
              <w:rPr>
                <w:rFonts w:ascii="宋体" w:hAnsi="宋体" w:cs="宋体" w:eastAsia="宋体" w:hint="default"/>
                <w:sz w:val="17"/>
                <w:szCs w:val="17"/>
              </w:rPr>
            </w:pPr>
            <w:r>
              <w:rPr>
                <w:rFonts w:ascii="Times New Roman" w:hAnsi="Times New Roman" w:cs="Times New Roman" w:eastAsia="Times New Roman" w:hint="default"/>
                <w:spacing w:val="-1"/>
                <w:sz w:val="17"/>
                <w:szCs w:val="17"/>
              </w:rPr>
              <w:t>2019</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1</w:t>
            </w:r>
            <w:r>
              <w:rPr>
                <w:rFonts w:ascii="宋体" w:hAnsi="宋体" w:cs="宋体" w:eastAsia="宋体" w:hint="default"/>
                <w:spacing w:val="-1"/>
                <w:sz w:val="17"/>
                <w:szCs w:val="17"/>
              </w:rPr>
              <w:t>日至</w:t>
            </w:r>
            <w:r>
              <w:rPr>
                <w:rFonts w:ascii="Times New Roman" w:hAnsi="Times New Roman" w:cs="Times New Roman" w:eastAsia="Times New Roman" w:hint="default"/>
                <w:spacing w:val="-1"/>
                <w:sz w:val="17"/>
                <w:szCs w:val="17"/>
              </w:rPr>
              <w:t>2019</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12</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31</w:t>
            </w:r>
            <w:r>
              <w:rPr>
                <w:rFonts w:ascii="宋体" w:hAnsi="宋体" w:cs="宋体" w:eastAsia="宋体" w:hint="default"/>
                <w:spacing w:val="-1"/>
                <w:sz w:val="17"/>
                <w:szCs w:val="17"/>
              </w:rPr>
              <w:t>日</w:t>
            </w:r>
          </w:p>
        </w:tc>
        <w:tc>
          <w:tcPr>
            <w:tcW w:w="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right="0"/>
              <w:jc w:val="right"/>
              <w:rPr>
                <w:rFonts w:ascii="Times New Roman" w:hAnsi="Times New Roman" w:cs="Times New Roman" w:eastAsia="Times New Roman" w:hint="default"/>
                <w:sz w:val="17"/>
                <w:szCs w:val="17"/>
              </w:rPr>
            </w:pPr>
            <w:r>
              <w:rPr>
                <w:rFonts w:ascii="Times New Roman"/>
                <w:spacing w:val="-1"/>
                <w:sz w:val="17"/>
              </w:rPr>
              <w:t>51.102%</w:t>
            </w:r>
          </w:p>
        </w:tc>
        <w:tc>
          <w:tcPr>
            <w:tcW w:w="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right="0"/>
              <w:jc w:val="right"/>
              <w:rPr>
                <w:rFonts w:ascii="Times New Roman" w:hAnsi="Times New Roman" w:cs="Times New Roman" w:eastAsia="Times New Roman" w:hint="default"/>
                <w:sz w:val="17"/>
                <w:szCs w:val="17"/>
              </w:rPr>
            </w:pPr>
            <w:r>
              <w:rPr>
                <w:rFonts w:ascii="Times New Roman"/>
                <w:spacing w:val="-1"/>
                <w:sz w:val="17"/>
              </w:rPr>
              <w:t>51.102%</w:t>
            </w:r>
          </w:p>
        </w:tc>
      </w:tr>
      <w:tr>
        <w:trPr>
          <w:trHeight w:val="427" w:hRule="exact"/>
        </w:trPr>
        <w:tc>
          <w:tcPr>
            <w:tcW w:w="3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left="2" w:right="0"/>
              <w:jc w:val="left"/>
              <w:rPr>
                <w:rFonts w:ascii="宋体" w:hAnsi="宋体" w:cs="宋体" w:eastAsia="宋体" w:hint="default"/>
                <w:sz w:val="17"/>
                <w:szCs w:val="17"/>
              </w:rPr>
            </w:pPr>
            <w:r>
              <w:rPr>
                <w:rFonts w:ascii="宋体" w:hAnsi="宋体" w:cs="宋体" w:eastAsia="宋体" w:hint="default"/>
                <w:sz w:val="17"/>
                <w:szCs w:val="17"/>
              </w:rPr>
              <w:t>深圳一卡易网络科技有限公司</w:t>
            </w:r>
          </w:p>
        </w:tc>
        <w:tc>
          <w:tcPr>
            <w:tcW w:w="15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right="0"/>
              <w:jc w:val="right"/>
              <w:rPr>
                <w:rFonts w:ascii="宋体" w:hAnsi="宋体" w:cs="宋体" w:eastAsia="宋体" w:hint="default"/>
                <w:sz w:val="17"/>
                <w:szCs w:val="17"/>
              </w:rPr>
            </w:pPr>
            <w:r>
              <w:rPr>
                <w:rFonts w:ascii="Times New Roman" w:hAnsi="Times New Roman" w:cs="Times New Roman" w:eastAsia="Times New Roman" w:hint="default"/>
                <w:spacing w:val="-1"/>
                <w:sz w:val="17"/>
                <w:szCs w:val="17"/>
              </w:rPr>
              <w:t>2018</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12</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31</w:t>
            </w:r>
            <w:r>
              <w:rPr>
                <w:rFonts w:ascii="宋体" w:hAnsi="宋体" w:cs="宋体" w:eastAsia="宋体" w:hint="default"/>
                <w:spacing w:val="-1"/>
                <w:sz w:val="17"/>
                <w:szCs w:val="17"/>
              </w:rPr>
              <w:t>日</w:t>
            </w:r>
          </w:p>
        </w:tc>
        <w:tc>
          <w:tcPr>
            <w:tcW w:w="32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right="0"/>
              <w:jc w:val="right"/>
              <w:rPr>
                <w:rFonts w:ascii="宋体" w:hAnsi="宋体" w:cs="宋体" w:eastAsia="宋体" w:hint="default"/>
                <w:sz w:val="17"/>
                <w:szCs w:val="17"/>
              </w:rPr>
            </w:pPr>
            <w:r>
              <w:rPr>
                <w:rFonts w:ascii="Times New Roman" w:hAnsi="Times New Roman" w:cs="Times New Roman" w:eastAsia="Times New Roman" w:hint="default"/>
                <w:spacing w:val="-1"/>
                <w:sz w:val="17"/>
                <w:szCs w:val="17"/>
              </w:rPr>
              <w:t>2018</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1</w:t>
            </w:r>
            <w:r>
              <w:rPr>
                <w:rFonts w:ascii="宋体" w:hAnsi="宋体" w:cs="宋体" w:eastAsia="宋体" w:hint="default"/>
                <w:spacing w:val="-1"/>
                <w:sz w:val="17"/>
                <w:szCs w:val="17"/>
              </w:rPr>
              <w:t>日至</w:t>
            </w:r>
            <w:r>
              <w:rPr>
                <w:rFonts w:ascii="Times New Roman" w:hAnsi="Times New Roman" w:cs="Times New Roman" w:eastAsia="Times New Roman" w:hint="default"/>
                <w:spacing w:val="-1"/>
                <w:sz w:val="17"/>
                <w:szCs w:val="17"/>
              </w:rPr>
              <w:t>2018</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12</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31</w:t>
            </w:r>
            <w:r>
              <w:rPr>
                <w:rFonts w:ascii="宋体" w:hAnsi="宋体" w:cs="宋体" w:eastAsia="宋体" w:hint="default"/>
                <w:spacing w:val="-1"/>
                <w:sz w:val="17"/>
                <w:szCs w:val="17"/>
              </w:rPr>
              <w:t>日</w:t>
            </w:r>
          </w:p>
        </w:tc>
        <w:tc>
          <w:tcPr>
            <w:tcW w:w="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right="0"/>
              <w:jc w:val="right"/>
              <w:rPr>
                <w:rFonts w:ascii="Times New Roman" w:hAnsi="Times New Roman" w:cs="Times New Roman" w:eastAsia="Times New Roman" w:hint="default"/>
                <w:sz w:val="17"/>
                <w:szCs w:val="17"/>
              </w:rPr>
            </w:pPr>
            <w:r>
              <w:rPr>
                <w:rFonts w:ascii="Times New Roman"/>
                <w:spacing w:val="-1"/>
                <w:sz w:val="17"/>
              </w:rPr>
              <w:t>51.102%</w:t>
            </w:r>
          </w:p>
        </w:tc>
        <w:tc>
          <w:tcPr>
            <w:tcW w:w="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right="0"/>
              <w:jc w:val="right"/>
              <w:rPr>
                <w:rFonts w:ascii="Times New Roman" w:hAnsi="Times New Roman" w:cs="Times New Roman" w:eastAsia="Times New Roman" w:hint="default"/>
                <w:sz w:val="17"/>
                <w:szCs w:val="17"/>
              </w:rPr>
            </w:pPr>
            <w:r>
              <w:rPr>
                <w:rFonts w:ascii="Times New Roman"/>
                <w:spacing w:val="-1"/>
                <w:sz w:val="17"/>
              </w:rPr>
              <w:t>51.102%</w:t>
            </w:r>
          </w:p>
        </w:tc>
      </w:tr>
      <w:tr>
        <w:trPr>
          <w:trHeight w:val="427" w:hRule="exact"/>
        </w:trPr>
        <w:tc>
          <w:tcPr>
            <w:tcW w:w="3302" w:type="dxa"/>
            <w:tcBorders>
              <w:top w:val="single" w:sz="6" w:space="0" w:color="000000"/>
              <w:left w:val="single" w:sz="6" w:space="0" w:color="000000"/>
              <w:bottom w:val="single" w:sz="6" w:space="0" w:color="000000"/>
              <w:right w:val="single" w:sz="6" w:space="0" w:color="000000"/>
            </w:tcBorders>
          </w:tcPr>
          <w:p>
            <w:pPr/>
          </w:p>
        </w:tc>
        <w:tc>
          <w:tcPr>
            <w:tcW w:w="15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7"/>
              <w:ind w:right="0"/>
              <w:jc w:val="right"/>
              <w:rPr>
                <w:rFonts w:ascii="宋体" w:hAnsi="宋体" w:cs="宋体" w:eastAsia="宋体" w:hint="default"/>
                <w:sz w:val="17"/>
                <w:szCs w:val="17"/>
              </w:rPr>
            </w:pPr>
            <w:r>
              <w:rPr>
                <w:rFonts w:ascii="Times New Roman" w:hAnsi="Times New Roman" w:cs="Times New Roman" w:eastAsia="Times New Roman" w:hint="default"/>
                <w:spacing w:val="-1"/>
                <w:sz w:val="17"/>
                <w:szCs w:val="17"/>
              </w:rPr>
              <w:t>2019</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12</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31</w:t>
            </w:r>
            <w:r>
              <w:rPr>
                <w:rFonts w:ascii="宋体" w:hAnsi="宋体" w:cs="宋体" w:eastAsia="宋体" w:hint="default"/>
                <w:spacing w:val="-1"/>
                <w:sz w:val="17"/>
                <w:szCs w:val="17"/>
              </w:rPr>
              <w:t>日</w:t>
            </w:r>
          </w:p>
        </w:tc>
        <w:tc>
          <w:tcPr>
            <w:tcW w:w="32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7"/>
              <w:ind w:right="0"/>
              <w:jc w:val="right"/>
              <w:rPr>
                <w:rFonts w:ascii="宋体" w:hAnsi="宋体" w:cs="宋体" w:eastAsia="宋体" w:hint="default"/>
                <w:sz w:val="17"/>
                <w:szCs w:val="17"/>
              </w:rPr>
            </w:pPr>
            <w:r>
              <w:rPr>
                <w:rFonts w:ascii="Times New Roman" w:hAnsi="Times New Roman" w:cs="Times New Roman" w:eastAsia="Times New Roman" w:hint="default"/>
                <w:spacing w:val="-1"/>
                <w:sz w:val="17"/>
                <w:szCs w:val="17"/>
              </w:rPr>
              <w:t>2019</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1</w:t>
            </w:r>
            <w:r>
              <w:rPr>
                <w:rFonts w:ascii="宋体" w:hAnsi="宋体" w:cs="宋体" w:eastAsia="宋体" w:hint="default"/>
                <w:spacing w:val="-1"/>
                <w:sz w:val="17"/>
                <w:szCs w:val="17"/>
              </w:rPr>
              <w:t>日至</w:t>
            </w:r>
            <w:r>
              <w:rPr>
                <w:rFonts w:ascii="Times New Roman" w:hAnsi="Times New Roman" w:cs="Times New Roman" w:eastAsia="Times New Roman" w:hint="default"/>
                <w:spacing w:val="-1"/>
                <w:sz w:val="17"/>
                <w:szCs w:val="17"/>
              </w:rPr>
              <w:t>2019</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12</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31</w:t>
            </w:r>
            <w:r>
              <w:rPr>
                <w:rFonts w:ascii="宋体" w:hAnsi="宋体" w:cs="宋体" w:eastAsia="宋体" w:hint="default"/>
                <w:spacing w:val="-1"/>
                <w:sz w:val="17"/>
                <w:szCs w:val="17"/>
              </w:rPr>
              <w:t>日</w:t>
            </w:r>
          </w:p>
        </w:tc>
        <w:tc>
          <w:tcPr>
            <w:tcW w:w="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0"/>
              <w:jc w:val="right"/>
              <w:rPr>
                <w:rFonts w:ascii="Times New Roman" w:hAnsi="Times New Roman" w:cs="Times New Roman" w:eastAsia="Times New Roman" w:hint="default"/>
                <w:sz w:val="17"/>
                <w:szCs w:val="17"/>
              </w:rPr>
            </w:pPr>
            <w:r>
              <w:rPr>
                <w:rFonts w:ascii="Times New Roman"/>
                <w:spacing w:val="-1"/>
                <w:sz w:val="17"/>
              </w:rPr>
              <w:t>51.102%</w:t>
            </w:r>
          </w:p>
        </w:tc>
        <w:tc>
          <w:tcPr>
            <w:tcW w:w="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0"/>
              <w:jc w:val="right"/>
              <w:rPr>
                <w:rFonts w:ascii="Times New Roman" w:hAnsi="Times New Roman" w:cs="Times New Roman" w:eastAsia="Times New Roman" w:hint="default"/>
                <w:sz w:val="17"/>
                <w:szCs w:val="17"/>
              </w:rPr>
            </w:pPr>
            <w:r>
              <w:rPr>
                <w:rFonts w:ascii="Times New Roman"/>
                <w:spacing w:val="-1"/>
                <w:sz w:val="17"/>
              </w:rPr>
              <w:t>51.102%</w:t>
            </w:r>
          </w:p>
        </w:tc>
      </w:tr>
      <w:tr>
        <w:trPr>
          <w:trHeight w:val="427" w:hRule="exact"/>
        </w:trPr>
        <w:tc>
          <w:tcPr>
            <w:tcW w:w="3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7"/>
              <w:ind w:left="2" w:right="0"/>
              <w:jc w:val="left"/>
              <w:rPr>
                <w:rFonts w:ascii="宋体" w:hAnsi="宋体" w:cs="宋体" w:eastAsia="宋体" w:hint="default"/>
                <w:sz w:val="17"/>
                <w:szCs w:val="17"/>
              </w:rPr>
            </w:pPr>
            <w:r>
              <w:rPr>
                <w:rFonts w:ascii="宋体" w:hAnsi="宋体" w:cs="宋体" w:eastAsia="宋体" w:hint="default"/>
                <w:sz w:val="17"/>
                <w:szCs w:val="17"/>
              </w:rPr>
              <w:t>深圳钱客多信息科技有限公司</w:t>
            </w:r>
          </w:p>
        </w:tc>
        <w:tc>
          <w:tcPr>
            <w:tcW w:w="15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7"/>
              <w:ind w:right="0"/>
              <w:jc w:val="right"/>
              <w:rPr>
                <w:rFonts w:ascii="宋体" w:hAnsi="宋体" w:cs="宋体" w:eastAsia="宋体" w:hint="default"/>
                <w:sz w:val="17"/>
                <w:szCs w:val="17"/>
              </w:rPr>
            </w:pPr>
            <w:r>
              <w:rPr>
                <w:rFonts w:ascii="Times New Roman" w:hAnsi="Times New Roman" w:cs="Times New Roman" w:eastAsia="Times New Roman" w:hint="default"/>
                <w:spacing w:val="-1"/>
                <w:sz w:val="17"/>
                <w:szCs w:val="17"/>
              </w:rPr>
              <w:t>2018</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12</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31</w:t>
            </w:r>
            <w:r>
              <w:rPr>
                <w:rFonts w:ascii="宋体" w:hAnsi="宋体" w:cs="宋体" w:eastAsia="宋体" w:hint="default"/>
                <w:spacing w:val="-1"/>
                <w:sz w:val="17"/>
                <w:szCs w:val="17"/>
              </w:rPr>
              <w:t>日</w:t>
            </w:r>
          </w:p>
        </w:tc>
        <w:tc>
          <w:tcPr>
            <w:tcW w:w="32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7"/>
              <w:ind w:right="0"/>
              <w:jc w:val="right"/>
              <w:rPr>
                <w:rFonts w:ascii="宋体" w:hAnsi="宋体" w:cs="宋体" w:eastAsia="宋体" w:hint="default"/>
                <w:sz w:val="17"/>
                <w:szCs w:val="17"/>
              </w:rPr>
            </w:pPr>
            <w:r>
              <w:rPr>
                <w:rFonts w:ascii="Times New Roman" w:hAnsi="Times New Roman" w:cs="Times New Roman" w:eastAsia="Times New Roman" w:hint="default"/>
                <w:spacing w:val="-1"/>
                <w:sz w:val="17"/>
                <w:szCs w:val="17"/>
              </w:rPr>
              <w:t>2018</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1</w:t>
            </w:r>
            <w:r>
              <w:rPr>
                <w:rFonts w:ascii="宋体" w:hAnsi="宋体" w:cs="宋体" w:eastAsia="宋体" w:hint="default"/>
                <w:spacing w:val="-1"/>
                <w:sz w:val="17"/>
                <w:szCs w:val="17"/>
              </w:rPr>
              <w:t>日至</w:t>
            </w:r>
            <w:r>
              <w:rPr>
                <w:rFonts w:ascii="Times New Roman" w:hAnsi="Times New Roman" w:cs="Times New Roman" w:eastAsia="Times New Roman" w:hint="default"/>
                <w:spacing w:val="-1"/>
                <w:sz w:val="17"/>
                <w:szCs w:val="17"/>
              </w:rPr>
              <w:t>2018</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12</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31</w:t>
            </w:r>
            <w:r>
              <w:rPr>
                <w:rFonts w:ascii="宋体" w:hAnsi="宋体" w:cs="宋体" w:eastAsia="宋体" w:hint="default"/>
                <w:spacing w:val="-1"/>
                <w:sz w:val="17"/>
                <w:szCs w:val="17"/>
              </w:rPr>
              <w:t>日</w:t>
            </w:r>
          </w:p>
        </w:tc>
        <w:tc>
          <w:tcPr>
            <w:tcW w:w="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right="0"/>
              <w:jc w:val="right"/>
              <w:rPr>
                <w:rFonts w:ascii="Times New Roman" w:hAnsi="Times New Roman" w:cs="Times New Roman" w:eastAsia="Times New Roman" w:hint="default"/>
                <w:sz w:val="17"/>
                <w:szCs w:val="17"/>
              </w:rPr>
            </w:pPr>
            <w:r>
              <w:rPr>
                <w:rFonts w:ascii="Times New Roman"/>
                <w:spacing w:val="-1"/>
                <w:sz w:val="17"/>
              </w:rPr>
              <w:t>51.102%</w:t>
            </w:r>
          </w:p>
        </w:tc>
        <w:tc>
          <w:tcPr>
            <w:tcW w:w="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right="0"/>
              <w:jc w:val="right"/>
              <w:rPr>
                <w:rFonts w:ascii="Times New Roman" w:hAnsi="Times New Roman" w:cs="Times New Roman" w:eastAsia="Times New Roman" w:hint="default"/>
                <w:sz w:val="17"/>
                <w:szCs w:val="17"/>
              </w:rPr>
            </w:pPr>
            <w:r>
              <w:rPr>
                <w:rFonts w:ascii="Times New Roman"/>
                <w:spacing w:val="-1"/>
                <w:sz w:val="17"/>
              </w:rPr>
              <w:t>51.102%</w:t>
            </w:r>
          </w:p>
        </w:tc>
      </w:tr>
      <w:tr>
        <w:trPr>
          <w:trHeight w:val="427" w:hRule="exact"/>
        </w:trPr>
        <w:tc>
          <w:tcPr>
            <w:tcW w:w="3302" w:type="dxa"/>
            <w:tcBorders>
              <w:top w:val="single" w:sz="6" w:space="0" w:color="000000"/>
              <w:left w:val="single" w:sz="6" w:space="0" w:color="000000"/>
              <w:bottom w:val="single" w:sz="6" w:space="0" w:color="000000"/>
              <w:right w:val="single" w:sz="6" w:space="0" w:color="000000"/>
            </w:tcBorders>
          </w:tcPr>
          <w:p>
            <w:pPr/>
          </w:p>
        </w:tc>
        <w:tc>
          <w:tcPr>
            <w:tcW w:w="15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right="0"/>
              <w:jc w:val="right"/>
              <w:rPr>
                <w:rFonts w:ascii="宋体" w:hAnsi="宋体" w:cs="宋体" w:eastAsia="宋体" w:hint="default"/>
                <w:sz w:val="17"/>
                <w:szCs w:val="17"/>
              </w:rPr>
            </w:pPr>
            <w:r>
              <w:rPr>
                <w:rFonts w:ascii="Times New Roman" w:hAnsi="Times New Roman" w:cs="Times New Roman" w:eastAsia="Times New Roman" w:hint="default"/>
                <w:spacing w:val="-1"/>
                <w:sz w:val="17"/>
                <w:szCs w:val="17"/>
              </w:rPr>
              <w:t>2019</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12</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31</w:t>
            </w:r>
            <w:r>
              <w:rPr>
                <w:rFonts w:ascii="宋体" w:hAnsi="宋体" w:cs="宋体" w:eastAsia="宋体" w:hint="default"/>
                <w:spacing w:val="-1"/>
                <w:sz w:val="17"/>
                <w:szCs w:val="17"/>
              </w:rPr>
              <w:t>日</w:t>
            </w:r>
          </w:p>
        </w:tc>
        <w:tc>
          <w:tcPr>
            <w:tcW w:w="32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right="0"/>
              <w:jc w:val="right"/>
              <w:rPr>
                <w:rFonts w:ascii="宋体" w:hAnsi="宋体" w:cs="宋体" w:eastAsia="宋体" w:hint="default"/>
                <w:sz w:val="17"/>
                <w:szCs w:val="17"/>
              </w:rPr>
            </w:pPr>
            <w:r>
              <w:rPr>
                <w:rFonts w:ascii="Times New Roman" w:hAnsi="Times New Roman" w:cs="Times New Roman" w:eastAsia="Times New Roman" w:hint="default"/>
                <w:spacing w:val="-1"/>
                <w:sz w:val="17"/>
                <w:szCs w:val="17"/>
              </w:rPr>
              <w:t>2019</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1</w:t>
            </w:r>
            <w:r>
              <w:rPr>
                <w:rFonts w:ascii="宋体" w:hAnsi="宋体" w:cs="宋体" w:eastAsia="宋体" w:hint="default"/>
                <w:spacing w:val="-1"/>
                <w:sz w:val="17"/>
                <w:szCs w:val="17"/>
              </w:rPr>
              <w:t>日至</w:t>
            </w:r>
            <w:r>
              <w:rPr>
                <w:rFonts w:ascii="Times New Roman" w:hAnsi="Times New Roman" w:cs="Times New Roman" w:eastAsia="Times New Roman" w:hint="default"/>
                <w:spacing w:val="-1"/>
                <w:sz w:val="17"/>
                <w:szCs w:val="17"/>
              </w:rPr>
              <w:t>2019</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12</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31</w:t>
            </w:r>
            <w:r>
              <w:rPr>
                <w:rFonts w:ascii="宋体" w:hAnsi="宋体" w:cs="宋体" w:eastAsia="宋体" w:hint="default"/>
                <w:spacing w:val="-1"/>
                <w:sz w:val="17"/>
                <w:szCs w:val="17"/>
              </w:rPr>
              <w:t>日</w:t>
            </w:r>
          </w:p>
        </w:tc>
        <w:tc>
          <w:tcPr>
            <w:tcW w:w="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right="0"/>
              <w:jc w:val="right"/>
              <w:rPr>
                <w:rFonts w:ascii="Times New Roman" w:hAnsi="Times New Roman" w:cs="Times New Roman" w:eastAsia="Times New Roman" w:hint="default"/>
                <w:sz w:val="17"/>
                <w:szCs w:val="17"/>
              </w:rPr>
            </w:pPr>
            <w:r>
              <w:rPr>
                <w:rFonts w:ascii="Times New Roman"/>
                <w:spacing w:val="-1"/>
                <w:sz w:val="17"/>
              </w:rPr>
              <w:t>51.102%</w:t>
            </w:r>
          </w:p>
        </w:tc>
        <w:tc>
          <w:tcPr>
            <w:tcW w:w="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right="0"/>
              <w:jc w:val="right"/>
              <w:rPr>
                <w:rFonts w:ascii="Times New Roman" w:hAnsi="Times New Roman" w:cs="Times New Roman" w:eastAsia="Times New Roman" w:hint="default"/>
                <w:sz w:val="17"/>
                <w:szCs w:val="17"/>
              </w:rPr>
            </w:pPr>
            <w:r>
              <w:rPr>
                <w:rFonts w:ascii="Times New Roman"/>
                <w:spacing w:val="-1"/>
                <w:sz w:val="17"/>
              </w:rPr>
              <w:t>51.102%</w:t>
            </w:r>
          </w:p>
        </w:tc>
      </w:tr>
      <w:tr>
        <w:trPr>
          <w:trHeight w:val="427" w:hRule="exact"/>
        </w:trPr>
        <w:tc>
          <w:tcPr>
            <w:tcW w:w="3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left="2" w:right="0"/>
              <w:jc w:val="left"/>
              <w:rPr>
                <w:rFonts w:ascii="宋体" w:hAnsi="宋体" w:cs="宋体" w:eastAsia="宋体" w:hint="default"/>
                <w:sz w:val="17"/>
                <w:szCs w:val="17"/>
              </w:rPr>
            </w:pPr>
            <w:r>
              <w:rPr>
                <w:rFonts w:ascii="宋体" w:hAnsi="宋体" w:cs="宋体" w:eastAsia="宋体" w:hint="default"/>
                <w:sz w:val="17"/>
                <w:szCs w:val="17"/>
              </w:rPr>
              <w:t>恒宝（中东非洲）有限责任公司</w:t>
            </w:r>
          </w:p>
        </w:tc>
        <w:tc>
          <w:tcPr>
            <w:tcW w:w="15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right="0"/>
              <w:jc w:val="right"/>
              <w:rPr>
                <w:rFonts w:ascii="宋体" w:hAnsi="宋体" w:cs="宋体" w:eastAsia="宋体" w:hint="default"/>
                <w:sz w:val="17"/>
                <w:szCs w:val="17"/>
              </w:rPr>
            </w:pPr>
            <w:r>
              <w:rPr>
                <w:rFonts w:ascii="Times New Roman" w:hAnsi="Times New Roman" w:cs="Times New Roman" w:eastAsia="Times New Roman" w:hint="default"/>
                <w:spacing w:val="-1"/>
                <w:sz w:val="17"/>
                <w:szCs w:val="17"/>
              </w:rPr>
              <w:t>2018</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12</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31</w:t>
            </w:r>
            <w:r>
              <w:rPr>
                <w:rFonts w:ascii="宋体" w:hAnsi="宋体" w:cs="宋体" w:eastAsia="宋体" w:hint="default"/>
                <w:spacing w:val="-1"/>
                <w:sz w:val="17"/>
                <w:szCs w:val="17"/>
              </w:rPr>
              <w:t>日</w:t>
            </w:r>
          </w:p>
        </w:tc>
        <w:tc>
          <w:tcPr>
            <w:tcW w:w="32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right="0"/>
              <w:jc w:val="right"/>
              <w:rPr>
                <w:rFonts w:ascii="宋体" w:hAnsi="宋体" w:cs="宋体" w:eastAsia="宋体" w:hint="default"/>
                <w:sz w:val="17"/>
                <w:szCs w:val="17"/>
              </w:rPr>
            </w:pPr>
            <w:r>
              <w:rPr>
                <w:rFonts w:ascii="Times New Roman" w:hAnsi="Times New Roman" w:cs="Times New Roman" w:eastAsia="Times New Roman" w:hint="default"/>
                <w:spacing w:val="-1"/>
                <w:sz w:val="17"/>
                <w:szCs w:val="17"/>
              </w:rPr>
              <w:t>2018</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1</w:t>
            </w:r>
            <w:r>
              <w:rPr>
                <w:rFonts w:ascii="宋体" w:hAnsi="宋体" w:cs="宋体" w:eastAsia="宋体" w:hint="default"/>
                <w:spacing w:val="-1"/>
                <w:sz w:val="17"/>
                <w:szCs w:val="17"/>
              </w:rPr>
              <w:t>日至</w:t>
            </w:r>
            <w:r>
              <w:rPr>
                <w:rFonts w:ascii="Times New Roman" w:hAnsi="Times New Roman" w:cs="Times New Roman" w:eastAsia="Times New Roman" w:hint="default"/>
                <w:spacing w:val="-1"/>
                <w:sz w:val="17"/>
                <w:szCs w:val="17"/>
              </w:rPr>
              <w:t>2018</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12</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31</w:t>
            </w:r>
            <w:r>
              <w:rPr>
                <w:rFonts w:ascii="宋体" w:hAnsi="宋体" w:cs="宋体" w:eastAsia="宋体" w:hint="default"/>
                <w:spacing w:val="-1"/>
                <w:sz w:val="17"/>
                <w:szCs w:val="17"/>
              </w:rPr>
              <w:t>日</w:t>
            </w:r>
          </w:p>
        </w:tc>
        <w:tc>
          <w:tcPr>
            <w:tcW w:w="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0"/>
              <w:jc w:val="right"/>
              <w:rPr>
                <w:rFonts w:ascii="Times New Roman" w:hAnsi="Times New Roman" w:cs="Times New Roman" w:eastAsia="Times New Roman" w:hint="default"/>
                <w:sz w:val="17"/>
                <w:szCs w:val="17"/>
              </w:rPr>
            </w:pPr>
            <w:r>
              <w:rPr>
                <w:rFonts w:ascii="Times New Roman"/>
                <w:spacing w:val="-1"/>
                <w:sz w:val="17"/>
              </w:rPr>
              <w:t>100%</w:t>
            </w:r>
          </w:p>
        </w:tc>
        <w:tc>
          <w:tcPr>
            <w:tcW w:w="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0"/>
              <w:jc w:val="right"/>
              <w:rPr>
                <w:rFonts w:ascii="Times New Roman" w:hAnsi="Times New Roman" w:cs="Times New Roman" w:eastAsia="Times New Roman" w:hint="default"/>
                <w:sz w:val="17"/>
                <w:szCs w:val="17"/>
              </w:rPr>
            </w:pPr>
            <w:r>
              <w:rPr>
                <w:rFonts w:ascii="Times New Roman"/>
                <w:spacing w:val="-1"/>
                <w:sz w:val="17"/>
              </w:rPr>
              <w:t>100%</w:t>
            </w:r>
          </w:p>
        </w:tc>
      </w:tr>
      <w:tr>
        <w:trPr>
          <w:trHeight w:val="427" w:hRule="exact"/>
        </w:trPr>
        <w:tc>
          <w:tcPr>
            <w:tcW w:w="3302" w:type="dxa"/>
            <w:tcBorders>
              <w:top w:val="single" w:sz="6" w:space="0" w:color="000000"/>
              <w:left w:val="single" w:sz="6" w:space="0" w:color="000000"/>
              <w:bottom w:val="single" w:sz="6" w:space="0" w:color="000000"/>
              <w:right w:val="single" w:sz="6" w:space="0" w:color="000000"/>
            </w:tcBorders>
          </w:tcPr>
          <w:p>
            <w:pPr/>
          </w:p>
        </w:tc>
        <w:tc>
          <w:tcPr>
            <w:tcW w:w="15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right="0"/>
              <w:jc w:val="right"/>
              <w:rPr>
                <w:rFonts w:ascii="宋体" w:hAnsi="宋体" w:cs="宋体" w:eastAsia="宋体" w:hint="default"/>
                <w:sz w:val="17"/>
                <w:szCs w:val="17"/>
              </w:rPr>
            </w:pPr>
            <w:r>
              <w:rPr>
                <w:rFonts w:ascii="Times New Roman" w:hAnsi="Times New Roman" w:cs="Times New Roman" w:eastAsia="Times New Roman" w:hint="default"/>
                <w:spacing w:val="-1"/>
                <w:sz w:val="17"/>
                <w:szCs w:val="17"/>
              </w:rPr>
              <w:t>2019</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12</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31</w:t>
            </w:r>
            <w:r>
              <w:rPr>
                <w:rFonts w:ascii="宋体" w:hAnsi="宋体" w:cs="宋体" w:eastAsia="宋体" w:hint="default"/>
                <w:spacing w:val="-1"/>
                <w:sz w:val="17"/>
                <w:szCs w:val="17"/>
              </w:rPr>
              <w:t>日</w:t>
            </w:r>
          </w:p>
        </w:tc>
        <w:tc>
          <w:tcPr>
            <w:tcW w:w="32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right="0"/>
              <w:jc w:val="right"/>
              <w:rPr>
                <w:rFonts w:ascii="宋体" w:hAnsi="宋体" w:cs="宋体" w:eastAsia="宋体" w:hint="default"/>
                <w:sz w:val="17"/>
                <w:szCs w:val="17"/>
              </w:rPr>
            </w:pPr>
            <w:r>
              <w:rPr>
                <w:rFonts w:ascii="Times New Roman" w:hAnsi="Times New Roman" w:cs="Times New Roman" w:eastAsia="Times New Roman" w:hint="default"/>
                <w:spacing w:val="-1"/>
                <w:sz w:val="17"/>
                <w:szCs w:val="17"/>
              </w:rPr>
              <w:t>2019</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1</w:t>
            </w:r>
            <w:r>
              <w:rPr>
                <w:rFonts w:ascii="宋体" w:hAnsi="宋体" w:cs="宋体" w:eastAsia="宋体" w:hint="default"/>
                <w:spacing w:val="-1"/>
                <w:sz w:val="17"/>
                <w:szCs w:val="17"/>
              </w:rPr>
              <w:t>日至</w:t>
            </w:r>
            <w:r>
              <w:rPr>
                <w:rFonts w:ascii="Times New Roman" w:hAnsi="Times New Roman" w:cs="Times New Roman" w:eastAsia="Times New Roman" w:hint="default"/>
                <w:spacing w:val="-1"/>
                <w:sz w:val="17"/>
                <w:szCs w:val="17"/>
              </w:rPr>
              <w:t>2019</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12</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31</w:t>
            </w:r>
            <w:r>
              <w:rPr>
                <w:rFonts w:ascii="宋体" w:hAnsi="宋体" w:cs="宋体" w:eastAsia="宋体" w:hint="default"/>
                <w:spacing w:val="-1"/>
                <w:sz w:val="17"/>
                <w:szCs w:val="17"/>
              </w:rPr>
              <w:t>日</w:t>
            </w:r>
          </w:p>
        </w:tc>
        <w:tc>
          <w:tcPr>
            <w:tcW w:w="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right="0"/>
              <w:jc w:val="right"/>
              <w:rPr>
                <w:rFonts w:ascii="Times New Roman" w:hAnsi="Times New Roman" w:cs="Times New Roman" w:eastAsia="Times New Roman" w:hint="default"/>
                <w:sz w:val="17"/>
                <w:szCs w:val="17"/>
              </w:rPr>
            </w:pPr>
            <w:r>
              <w:rPr>
                <w:rFonts w:ascii="Times New Roman"/>
                <w:spacing w:val="-1"/>
                <w:sz w:val="17"/>
              </w:rPr>
              <w:t>100%</w:t>
            </w:r>
          </w:p>
        </w:tc>
        <w:tc>
          <w:tcPr>
            <w:tcW w:w="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right="0"/>
              <w:jc w:val="right"/>
              <w:rPr>
                <w:rFonts w:ascii="Times New Roman" w:hAnsi="Times New Roman" w:cs="Times New Roman" w:eastAsia="Times New Roman" w:hint="default"/>
                <w:sz w:val="17"/>
                <w:szCs w:val="17"/>
              </w:rPr>
            </w:pPr>
            <w:r>
              <w:rPr>
                <w:rFonts w:ascii="Times New Roman"/>
                <w:spacing w:val="-1"/>
                <w:sz w:val="17"/>
              </w:rPr>
              <w:t>100%</w:t>
            </w:r>
          </w:p>
        </w:tc>
      </w:tr>
      <w:tr>
        <w:trPr>
          <w:trHeight w:val="427" w:hRule="exact"/>
        </w:trPr>
        <w:tc>
          <w:tcPr>
            <w:tcW w:w="3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left="2" w:right="0"/>
              <w:jc w:val="left"/>
              <w:rPr>
                <w:rFonts w:ascii="Times New Roman" w:hAnsi="Times New Roman" w:cs="Times New Roman" w:eastAsia="Times New Roman" w:hint="default"/>
                <w:sz w:val="17"/>
                <w:szCs w:val="17"/>
              </w:rPr>
            </w:pPr>
            <w:r>
              <w:rPr>
                <w:rFonts w:ascii="Times New Roman" w:hAnsi="Times New Roman" w:cs="Times New Roman" w:eastAsia="Times New Roman" w:hint="default"/>
                <w:sz w:val="17"/>
                <w:szCs w:val="17"/>
              </w:rPr>
              <w:t>MODULARSOFT SDN.</w:t>
            </w:r>
            <w:r>
              <w:rPr>
                <w:rFonts w:ascii="Times New Roman" w:hAnsi="Times New Roman" w:cs="Times New Roman" w:eastAsia="Times New Roman" w:hint="default"/>
                <w:spacing w:val="-12"/>
                <w:sz w:val="17"/>
                <w:szCs w:val="17"/>
              </w:rPr>
              <w:t> </w:t>
            </w:r>
            <w:r>
              <w:rPr>
                <w:rFonts w:ascii="Times New Roman" w:hAnsi="Times New Roman" w:cs="Times New Roman" w:eastAsia="Times New Roman" w:hint="default"/>
                <w:sz w:val="17"/>
                <w:szCs w:val="17"/>
              </w:rPr>
              <w:t>BHD.(</w:t>
            </w:r>
            <w:r>
              <w:rPr>
                <w:rFonts w:ascii="宋体" w:hAnsi="宋体" w:cs="宋体" w:eastAsia="宋体" w:hint="default"/>
                <w:sz w:val="17"/>
                <w:szCs w:val="17"/>
              </w:rPr>
              <w:t>注</w:t>
            </w:r>
            <w:r>
              <w:rPr>
                <w:rFonts w:ascii="Times New Roman" w:hAnsi="Times New Roman" w:cs="Times New Roman" w:eastAsia="Times New Roman" w:hint="default"/>
                <w:sz w:val="17"/>
                <w:szCs w:val="17"/>
              </w:rPr>
              <w:t>)</w:t>
            </w:r>
          </w:p>
        </w:tc>
        <w:tc>
          <w:tcPr>
            <w:tcW w:w="15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right="0"/>
              <w:jc w:val="right"/>
              <w:rPr>
                <w:rFonts w:ascii="宋体" w:hAnsi="宋体" w:cs="宋体" w:eastAsia="宋体" w:hint="default"/>
                <w:sz w:val="17"/>
                <w:szCs w:val="17"/>
              </w:rPr>
            </w:pPr>
            <w:r>
              <w:rPr>
                <w:rFonts w:ascii="Times New Roman" w:hAnsi="Times New Roman" w:cs="Times New Roman" w:eastAsia="Times New Roman" w:hint="default"/>
                <w:spacing w:val="-1"/>
                <w:sz w:val="17"/>
                <w:szCs w:val="17"/>
              </w:rPr>
              <w:t>2019</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12</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31</w:t>
            </w:r>
            <w:r>
              <w:rPr>
                <w:rFonts w:ascii="宋体" w:hAnsi="宋体" w:cs="宋体" w:eastAsia="宋体" w:hint="default"/>
                <w:spacing w:val="-1"/>
                <w:sz w:val="17"/>
                <w:szCs w:val="17"/>
              </w:rPr>
              <w:t>日</w:t>
            </w:r>
          </w:p>
        </w:tc>
        <w:tc>
          <w:tcPr>
            <w:tcW w:w="32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right="0"/>
              <w:jc w:val="right"/>
              <w:rPr>
                <w:rFonts w:ascii="宋体" w:hAnsi="宋体" w:cs="宋体" w:eastAsia="宋体" w:hint="default"/>
                <w:sz w:val="17"/>
                <w:szCs w:val="17"/>
              </w:rPr>
            </w:pPr>
            <w:r>
              <w:rPr>
                <w:rFonts w:ascii="Times New Roman" w:hAnsi="Times New Roman" w:cs="Times New Roman" w:eastAsia="Times New Roman" w:hint="default"/>
                <w:spacing w:val="-1"/>
                <w:sz w:val="17"/>
                <w:szCs w:val="17"/>
              </w:rPr>
              <w:t>2019</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2</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1</w:t>
            </w:r>
            <w:r>
              <w:rPr>
                <w:rFonts w:ascii="宋体" w:hAnsi="宋体" w:cs="宋体" w:eastAsia="宋体" w:hint="default"/>
                <w:spacing w:val="-1"/>
                <w:sz w:val="17"/>
                <w:szCs w:val="17"/>
              </w:rPr>
              <w:t>日至</w:t>
            </w:r>
            <w:r>
              <w:rPr>
                <w:rFonts w:ascii="Times New Roman" w:hAnsi="Times New Roman" w:cs="Times New Roman" w:eastAsia="Times New Roman" w:hint="default"/>
                <w:spacing w:val="-1"/>
                <w:sz w:val="17"/>
                <w:szCs w:val="17"/>
              </w:rPr>
              <w:t>2019</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12</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31</w:t>
            </w:r>
            <w:r>
              <w:rPr>
                <w:rFonts w:ascii="宋体" w:hAnsi="宋体" w:cs="宋体" w:eastAsia="宋体" w:hint="default"/>
                <w:spacing w:val="-1"/>
                <w:sz w:val="17"/>
                <w:szCs w:val="17"/>
              </w:rPr>
              <w:t>日</w:t>
            </w:r>
          </w:p>
        </w:tc>
        <w:tc>
          <w:tcPr>
            <w:tcW w:w="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right="0"/>
              <w:jc w:val="right"/>
              <w:rPr>
                <w:rFonts w:ascii="Times New Roman" w:hAnsi="Times New Roman" w:cs="Times New Roman" w:eastAsia="Times New Roman" w:hint="default"/>
                <w:sz w:val="17"/>
                <w:szCs w:val="17"/>
              </w:rPr>
            </w:pPr>
            <w:r>
              <w:rPr>
                <w:rFonts w:ascii="Times New Roman"/>
                <w:spacing w:val="-1"/>
                <w:sz w:val="17"/>
              </w:rPr>
              <w:t>100%</w:t>
            </w:r>
          </w:p>
        </w:tc>
        <w:tc>
          <w:tcPr>
            <w:tcW w:w="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right="0"/>
              <w:jc w:val="right"/>
              <w:rPr>
                <w:rFonts w:ascii="Times New Roman" w:hAnsi="Times New Roman" w:cs="Times New Roman" w:eastAsia="Times New Roman" w:hint="default"/>
                <w:sz w:val="17"/>
                <w:szCs w:val="17"/>
              </w:rPr>
            </w:pPr>
            <w:r>
              <w:rPr>
                <w:rFonts w:ascii="Times New Roman"/>
                <w:spacing w:val="-1"/>
                <w:sz w:val="17"/>
              </w:rPr>
              <w:t>100%</w:t>
            </w:r>
          </w:p>
        </w:tc>
      </w:tr>
      <w:tr>
        <w:trPr>
          <w:trHeight w:val="739" w:hRule="exact"/>
        </w:trPr>
        <w:tc>
          <w:tcPr>
            <w:tcW w:w="3302" w:type="dxa"/>
            <w:tcBorders>
              <w:top w:val="single" w:sz="6" w:space="0" w:color="000000"/>
              <w:left w:val="single" w:sz="6" w:space="0" w:color="000000"/>
              <w:bottom w:val="single" w:sz="6" w:space="0" w:color="000000"/>
              <w:right w:val="single" w:sz="6" w:space="0" w:color="000000"/>
            </w:tcBorders>
          </w:tcPr>
          <w:p>
            <w:pPr>
              <w:pStyle w:val="TableParagraph"/>
              <w:spacing w:line="336" w:lineRule="auto" w:before="107"/>
              <w:ind w:left="2" w:right="237"/>
              <w:jc w:val="left"/>
              <w:rPr>
                <w:rFonts w:ascii="Times New Roman" w:hAnsi="Times New Roman" w:cs="Times New Roman" w:eastAsia="Times New Roman" w:hint="default"/>
                <w:sz w:val="17"/>
                <w:szCs w:val="17"/>
              </w:rPr>
            </w:pPr>
            <w:r>
              <w:rPr>
                <w:rFonts w:ascii="Times New Roman" w:hAnsi="Times New Roman" w:cs="Times New Roman" w:eastAsia="Times New Roman" w:hint="default"/>
                <w:sz w:val="17"/>
                <w:szCs w:val="17"/>
              </w:rPr>
              <w:t>ASIA </w:t>
            </w:r>
            <w:r>
              <w:rPr>
                <w:rFonts w:ascii="Times New Roman" w:hAnsi="Times New Roman" w:cs="Times New Roman" w:eastAsia="Times New Roman" w:hint="default"/>
                <w:spacing w:val="-3"/>
                <w:sz w:val="17"/>
                <w:szCs w:val="17"/>
              </w:rPr>
              <w:t>SMART </w:t>
            </w:r>
            <w:r>
              <w:rPr>
                <w:rFonts w:ascii="Times New Roman" w:hAnsi="Times New Roman" w:cs="Times New Roman" w:eastAsia="Times New Roman" w:hint="default"/>
                <w:sz w:val="17"/>
                <w:szCs w:val="17"/>
              </w:rPr>
              <w:t>CARDS CENTRE (M)</w:t>
            </w:r>
            <w:r>
              <w:rPr>
                <w:rFonts w:ascii="Times New Roman" w:hAnsi="Times New Roman" w:cs="Times New Roman" w:eastAsia="Times New Roman" w:hint="default"/>
                <w:spacing w:val="-16"/>
                <w:sz w:val="17"/>
                <w:szCs w:val="17"/>
              </w:rPr>
              <w:t> </w:t>
            </w:r>
            <w:r>
              <w:rPr>
                <w:rFonts w:ascii="Times New Roman" w:hAnsi="Times New Roman" w:cs="Times New Roman" w:eastAsia="Times New Roman" w:hint="default"/>
                <w:sz w:val="17"/>
                <w:szCs w:val="17"/>
              </w:rPr>
              <w:t>SDN.</w:t>
            </w:r>
            <w:r>
              <w:rPr>
                <w:rFonts w:ascii="Times New Roman" w:hAnsi="Times New Roman" w:cs="Times New Roman" w:eastAsia="Times New Roman" w:hint="default"/>
                <w:sz w:val="17"/>
                <w:szCs w:val="17"/>
              </w:rPr>
              <w:t> BHD.(</w:t>
            </w:r>
            <w:r>
              <w:rPr>
                <w:rFonts w:ascii="宋体" w:hAnsi="宋体" w:cs="宋体" w:eastAsia="宋体" w:hint="default"/>
                <w:sz w:val="17"/>
                <w:szCs w:val="17"/>
              </w:rPr>
              <w:t>注</w:t>
            </w:r>
            <w:r>
              <w:rPr>
                <w:rFonts w:ascii="Times New Roman" w:hAnsi="Times New Roman" w:cs="Times New Roman" w:eastAsia="Times New Roman" w:hint="default"/>
                <w:sz w:val="17"/>
                <w:szCs w:val="17"/>
              </w:rPr>
              <w:t>)</w:t>
            </w:r>
          </w:p>
        </w:tc>
        <w:tc>
          <w:tcPr>
            <w:tcW w:w="15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right="0"/>
              <w:jc w:val="right"/>
              <w:rPr>
                <w:rFonts w:ascii="宋体" w:hAnsi="宋体" w:cs="宋体" w:eastAsia="宋体" w:hint="default"/>
                <w:sz w:val="17"/>
                <w:szCs w:val="17"/>
              </w:rPr>
            </w:pPr>
            <w:r>
              <w:rPr>
                <w:rFonts w:ascii="Times New Roman" w:hAnsi="Times New Roman" w:cs="Times New Roman" w:eastAsia="Times New Roman" w:hint="default"/>
                <w:spacing w:val="-1"/>
                <w:sz w:val="17"/>
                <w:szCs w:val="17"/>
              </w:rPr>
              <w:t>2019</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12</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31</w:t>
            </w:r>
            <w:r>
              <w:rPr>
                <w:rFonts w:ascii="宋体" w:hAnsi="宋体" w:cs="宋体" w:eastAsia="宋体" w:hint="default"/>
                <w:spacing w:val="-1"/>
                <w:sz w:val="17"/>
                <w:szCs w:val="17"/>
              </w:rPr>
              <w:t>日</w:t>
            </w:r>
          </w:p>
        </w:tc>
        <w:tc>
          <w:tcPr>
            <w:tcW w:w="32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right="0"/>
              <w:jc w:val="right"/>
              <w:rPr>
                <w:rFonts w:ascii="宋体" w:hAnsi="宋体" w:cs="宋体" w:eastAsia="宋体" w:hint="default"/>
                <w:sz w:val="17"/>
                <w:szCs w:val="17"/>
              </w:rPr>
            </w:pPr>
            <w:r>
              <w:rPr>
                <w:rFonts w:ascii="Times New Roman" w:hAnsi="Times New Roman" w:cs="Times New Roman" w:eastAsia="Times New Roman" w:hint="default"/>
                <w:spacing w:val="-1"/>
                <w:sz w:val="17"/>
                <w:szCs w:val="17"/>
              </w:rPr>
              <w:t>2019</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2</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1</w:t>
            </w:r>
            <w:r>
              <w:rPr>
                <w:rFonts w:ascii="宋体" w:hAnsi="宋体" w:cs="宋体" w:eastAsia="宋体" w:hint="default"/>
                <w:spacing w:val="-1"/>
                <w:sz w:val="17"/>
                <w:szCs w:val="17"/>
              </w:rPr>
              <w:t>日至</w:t>
            </w:r>
            <w:r>
              <w:rPr>
                <w:rFonts w:ascii="Times New Roman" w:hAnsi="Times New Roman" w:cs="Times New Roman" w:eastAsia="Times New Roman" w:hint="default"/>
                <w:spacing w:val="-1"/>
                <w:sz w:val="17"/>
                <w:szCs w:val="17"/>
              </w:rPr>
              <w:t>2019</w:t>
            </w:r>
            <w:r>
              <w:rPr>
                <w:rFonts w:ascii="宋体" w:hAnsi="宋体" w:cs="宋体" w:eastAsia="宋体" w:hint="default"/>
                <w:spacing w:val="-1"/>
                <w:sz w:val="17"/>
                <w:szCs w:val="17"/>
              </w:rPr>
              <w:t>年</w:t>
            </w:r>
            <w:r>
              <w:rPr>
                <w:rFonts w:ascii="Times New Roman" w:hAnsi="Times New Roman" w:cs="Times New Roman" w:eastAsia="Times New Roman" w:hint="default"/>
                <w:spacing w:val="-1"/>
                <w:sz w:val="17"/>
                <w:szCs w:val="17"/>
              </w:rPr>
              <w:t>12</w:t>
            </w:r>
            <w:r>
              <w:rPr>
                <w:rFonts w:ascii="宋体" w:hAnsi="宋体" w:cs="宋体" w:eastAsia="宋体" w:hint="default"/>
                <w:spacing w:val="-1"/>
                <w:sz w:val="17"/>
                <w:szCs w:val="17"/>
              </w:rPr>
              <w:t>月</w:t>
            </w:r>
            <w:r>
              <w:rPr>
                <w:rFonts w:ascii="Times New Roman" w:hAnsi="Times New Roman" w:cs="Times New Roman" w:eastAsia="Times New Roman" w:hint="default"/>
                <w:spacing w:val="-1"/>
                <w:sz w:val="17"/>
                <w:szCs w:val="17"/>
              </w:rPr>
              <w:t>31</w:t>
            </w:r>
            <w:r>
              <w:rPr>
                <w:rFonts w:ascii="宋体" w:hAnsi="宋体" w:cs="宋体" w:eastAsia="宋体" w:hint="default"/>
                <w:spacing w:val="-1"/>
                <w:sz w:val="17"/>
                <w:szCs w:val="17"/>
              </w:rPr>
              <w:t>日</w:t>
            </w:r>
          </w:p>
        </w:tc>
        <w:tc>
          <w:tcPr>
            <w:tcW w:w="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0"/>
              <w:jc w:val="right"/>
              <w:rPr>
                <w:rFonts w:ascii="Times New Roman" w:hAnsi="Times New Roman" w:cs="Times New Roman" w:eastAsia="Times New Roman" w:hint="default"/>
                <w:sz w:val="17"/>
                <w:szCs w:val="17"/>
              </w:rPr>
            </w:pPr>
            <w:r>
              <w:rPr>
                <w:rFonts w:ascii="Times New Roman"/>
                <w:spacing w:val="-1"/>
                <w:sz w:val="17"/>
              </w:rPr>
              <w:t>100%</w:t>
            </w:r>
          </w:p>
        </w:tc>
        <w:tc>
          <w:tcPr>
            <w:tcW w:w="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0"/>
              <w:jc w:val="right"/>
              <w:rPr>
                <w:rFonts w:ascii="Times New Roman" w:hAnsi="Times New Roman" w:cs="Times New Roman" w:eastAsia="Times New Roman" w:hint="default"/>
                <w:sz w:val="17"/>
                <w:szCs w:val="17"/>
              </w:rPr>
            </w:pPr>
            <w:r>
              <w:rPr>
                <w:rFonts w:ascii="Times New Roman"/>
                <w:spacing w:val="-1"/>
                <w:sz w:val="17"/>
              </w:rPr>
              <w:t>100%</w:t>
            </w:r>
          </w:p>
        </w:tc>
      </w:tr>
    </w:tbl>
    <w:p>
      <w:pPr>
        <w:spacing w:line="240" w:lineRule="auto" w:before="5"/>
        <w:rPr>
          <w:rFonts w:ascii="宋体" w:hAnsi="宋体" w:cs="宋体" w:eastAsia="宋体" w:hint="default"/>
          <w:sz w:val="27"/>
          <w:szCs w:val="27"/>
        </w:rPr>
      </w:pPr>
    </w:p>
    <w:p>
      <w:pPr>
        <w:pStyle w:val="BodyText"/>
        <w:spacing w:line="240" w:lineRule="auto" w:before="44"/>
        <w:ind w:right="0"/>
        <w:jc w:val="left"/>
      </w:pPr>
      <w:r>
        <w:rPr/>
        <w:t>注：详见附注八。</w:t>
      </w:r>
    </w:p>
    <w:p>
      <w:pPr>
        <w:spacing w:line="240" w:lineRule="auto" w:before="1"/>
        <w:rPr>
          <w:rFonts w:ascii="宋体" w:hAnsi="宋体" w:cs="宋体" w:eastAsia="宋体" w:hint="default"/>
          <w:sz w:val="25"/>
          <w:szCs w:val="25"/>
        </w:rPr>
      </w:pPr>
    </w:p>
    <w:p>
      <w:pPr>
        <w:pStyle w:val="Heading2"/>
        <w:spacing w:line="240" w:lineRule="auto"/>
        <w:ind w:right="0"/>
        <w:jc w:val="left"/>
        <w:rPr>
          <w:b w:val="0"/>
          <w:bCs w:val="0"/>
        </w:rPr>
      </w:pPr>
      <w:r>
        <w:rPr/>
        <w:t>四、财务报表的编制基础</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r>
        <w:rPr>
          <w:rFonts w:ascii="Times New Roman" w:hAnsi="Times New Roman" w:cs="Times New Roman" w:eastAsia="Times New Roman" w:hint="default"/>
        </w:rPr>
        <w:t>1</w:t>
      </w:r>
      <w:r>
        <w:rPr/>
        <w:t>、编制基础</w:t>
      </w:r>
      <w:r>
        <w:rPr>
          <w:b w:val="0"/>
          <w:bCs w:val="0"/>
        </w:rPr>
      </w:r>
    </w:p>
    <w:p>
      <w:pPr>
        <w:spacing w:line="240" w:lineRule="auto" w:before="6"/>
        <w:rPr>
          <w:rFonts w:ascii="宋体" w:hAnsi="宋体" w:cs="宋体" w:eastAsia="宋体" w:hint="default"/>
          <w:b/>
          <w:bCs/>
          <w:sz w:val="26"/>
          <w:szCs w:val="26"/>
        </w:rPr>
      </w:pPr>
    </w:p>
    <w:p>
      <w:pPr>
        <w:pStyle w:val="BodyText"/>
        <w:spacing w:line="316" w:lineRule="auto"/>
        <w:ind w:right="0"/>
        <w:jc w:val="left"/>
      </w:pPr>
      <w:r>
        <w:rPr/>
        <w:t>公司以持续经营为财务报表的编制基础，以权责发生制为记账基础。 </w:t>
      </w:r>
      <w:r>
        <w:rPr>
          <w:spacing w:val="-2"/>
        </w:rPr>
        <w:t>公司一般采用历史成本对会计要素进行计量，在保证所确定的会计要素金额能够取得并可靠计量的前提下采用重置成本、可</w:t>
      </w:r>
      <w:r>
        <w:rPr>
          <w:spacing w:val="-64"/>
        </w:rPr>
        <w:t> </w:t>
      </w:r>
      <w:r>
        <w:rPr>
          <w:spacing w:val="-64"/>
        </w:rPr>
      </w:r>
      <w:r>
        <w:rPr/>
        <w:t>变现净值、现值及公允价值进行计量。</w:t>
      </w:r>
    </w:p>
    <w:p>
      <w:pPr>
        <w:spacing w:line="240" w:lineRule="auto" w:before="7"/>
        <w:rPr>
          <w:rFonts w:ascii="宋体" w:hAnsi="宋体" w:cs="宋体" w:eastAsia="宋体" w:hint="default"/>
          <w:sz w:val="22"/>
          <w:szCs w:val="22"/>
        </w:rPr>
      </w:pPr>
    </w:p>
    <w:p>
      <w:pPr>
        <w:pStyle w:val="Heading3"/>
        <w:spacing w:line="240" w:lineRule="auto"/>
        <w:ind w:right="0"/>
        <w:jc w:val="left"/>
        <w:rPr>
          <w:b w:val="0"/>
          <w:bCs w:val="0"/>
        </w:rPr>
      </w:pPr>
      <w:r>
        <w:rPr>
          <w:rFonts w:ascii="Times New Roman" w:hAnsi="Times New Roman" w:cs="Times New Roman" w:eastAsia="Times New Roman" w:hint="default"/>
        </w:rPr>
        <w:t>2</w:t>
      </w:r>
      <w:r>
        <w:rPr/>
        <w:t>、持续经营</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公司自本报告期末至少12个月内具备持续经营能力，无影响持续经营能力的重大事项。</w:t>
      </w:r>
    </w:p>
    <w:p>
      <w:pPr>
        <w:spacing w:line="240" w:lineRule="auto" w:before="1"/>
        <w:rPr>
          <w:rFonts w:ascii="宋体" w:hAnsi="宋体" w:cs="宋体" w:eastAsia="宋体" w:hint="default"/>
          <w:sz w:val="25"/>
          <w:szCs w:val="25"/>
        </w:rPr>
      </w:pPr>
    </w:p>
    <w:p>
      <w:pPr>
        <w:pStyle w:val="Heading2"/>
        <w:spacing w:line="240" w:lineRule="auto"/>
        <w:ind w:right="0"/>
        <w:jc w:val="left"/>
        <w:rPr>
          <w:b w:val="0"/>
          <w:bCs w:val="0"/>
        </w:rPr>
      </w:pPr>
      <w:r>
        <w:rPr/>
        <w:t>五、重要会计政策及会计估计</w:t>
      </w:r>
      <w:r>
        <w:rPr>
          <w:b w:val="0"/>
          <w:bCs w:val="0"/>
        </w:rPr>
      </w:r>
    </w:p>
    <w:p>
      <w:pPr>
        <w:spacing w:line="240" w:lineRule="auto" w:before="8"/>
        <w:rPr>
          <w:rFonts w:ascii="宋体" w:hAnsi="宋体" w:cs="宋体" w:eastAsia="宋体" w:hint="default"/>
          <w:b/>
          <w:bCs/>
          <w:sz w:val="26"/>
          <w:szCs w:val="26"/>
        </w:rPr>
      </w:pPr>
    </w:p>
    <w:p>
      <w:pPr>
        <w:pStyle w:val="BodyText"/>
        <w:spacing w:line="360" w:lineRule="auto"/>
        <w:ind w:right="1685"/>
        <w:jc w:val="left"/>
      </w:pPr>
      <w:r>
        <w:rPr/>
        <w:t>具体会计政策和会计估计提示： 以下披露内容已涵盖了本公司根据实际生产经营特点制定的具体会计政策和会计估计。详见本附注</w:t>
      </w:r>
      <w:r>
        <w:rPr>
          <w:spacing w:val="-3"/>
        </w:rPr>
        <w:t> </w:t>
      </w:r>
      <w:r>
        <w:rPr>
          <w:rFonts w:ascii="Times New Roman" w:hAnsi="Times New Roman" w:cs="Times New Roman" w:eastAsia="Times New Roman" w:hint="default"/>
        </w:rPr>
        <w:t>“</w:t>
      </w:r>
      <w:r>
        <w:rPr/>
        <w:t>五、</w:t>
      </w:r>
      <w:r>
        <w:rPr>
          <w:rFonts w:ascii="Times New Roman" w:hAnsi="Times New Roman" w:cs="Times New Roman" w:eastAsia="Times New Roman" w:hint="default"/>
        </w:rPr>
        <w:t>39</w:t>
      </w:r>
      <w:r>
        <w:rPr/>
        <w:t>收入</w:t>
      </w:r>
      <w:r>
        <w:rPr>
          <w:rFonts w:ascii="Times New Roman" w:hAnsi="Times New Roman" w:cs="Times New Roman" w:eastAsia="Times New Roman" w:hint="default"/>
        </w:rPr>
        <w:t>”</w:t>
      </w:r>
      <w:r>
        <w:rPr/>
        <w:t>。</w:t>
      </w:r>
    </w:p>
    <w:p>
      <w:pPr>
        <w:spacing w:after="0" w:line="360" w:lineRule="auto"/>
        <w:jc w:val="left"/>
        <w:sectPr>
          <w:pgSz w:w="11910" w:h="16840"/>
          <w:pgMar w:header="906" w:footer="1018" w:top="1100" w:bottom="1200" w:left="1020" w:right="0"/>
        </w:sectPr>
      </w:pPr>
    </w:p>
    <w:p>
      <w:pPr>
        <w:spacing w:line="240" w:lineRule="auto" w:before="9"/>
        <w:rPr>
          <w:rFonts w:ascii="宋体" w:hAnsi="宋体" w:cs="宋体" w:eastAsia="宋体" w:hint="default"/>
          <w:sz w:val="21"/>
          <w:szCs w:val="21"/>
        </w:rPr>
      </w:pPr>
    </w:p>
    <w:p>
      <w:pPr>
        <w:pStyle w:val="Heading3"/>
        <w:spacing w:line="240" w:lineRule="auto" w:before="35"/>
        <w:ind w:right="0"/>
        <w:jc w:val="left"/>
        <w:rPr>
          <w:b w:val="0"/>
          <w:bCs w:val="0"/>
        </w:rPr>
      </w:pPr>
      <w:r>
        <w:rPr>
          <w:rFonts w:ascii="Times New Roman" w:hAnsi="Times New Roman" w:cs="Times New Roman" w:eastAsia="Times New Roman" w:hint="default"/>
        </w:rPr>
        <w:t>1</w:t>
      </w:r>
      <w:r>
        <w:rPr/>
        <w:t>、遵循企业会计准则的声明</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公司财务报表及附注系按财政部颁布</w:t>
      </w:r>
      <w:r>
        <w:rPr>
          <w:spacing w:val="-1"/>
        </w:rPr>
        <w:t>的</w:t>
      </w:r>
      <w:r>
        <w:rPr/>
        <w:t>《企业会计准则</w:t>
      </w:r>
      <w:r>
        <w:rPr>
          <w:spacing w:val="-90"/>
        </w:rPr>
        <w:t>》</w:t>
      </w:r>
      <w:r>
        <w:rPr/>
        <w:t>、应用指南、企业会计准则解</w:t>
      </w:r>
      <w:r>
        <w:rPr>
          <w:spacing w:val="-1"/>
        </w:rPr>
        <w:t>释</w:t>
      </w:r>
      <w:r>
        <w:rPr/>
        <w:t>、</w:t>
      </w:r>
      <w:r>
        <w:rPr>
          <w:color w:val="6D6D6D"/>
        </w:rPr>
      </w:r>
      <w:r>
        <w:rPr>
          <w:color w:val="6D6D6D"/>
          <w:u w:val="single" w:color="6D6D6D"/>
        </w:rPr>
        <w:t>中国证券监督管理委员会</w:t>
      </w:r>
      <w:r>
        <w:rPr>
          <w:color w:val="6D6D6D"/>
        </w:rPr>
      </w:r>
      <w:r>
        <w:rPr/>
        <w:t>发布的</w:t>
      </w:r>
    </w:p>
    <w:p>
      <w:pPr>
        <w:pStyle w:val="BodyText"/>
        <w:spacing w:line="300" w:lineRule="auto" w:before="76"/>
        <w:ind w:right="1029"/>
        <w:jc w:val="left"/>
      </w:pPr>
      <w:r>
        <w:rPr>
          <w:spacing w:val="-3"/>
        </w:rPr>
        <w:t>《公开发行证券的公司信息披露编报规则第15号</w:t>
      </w:r>
      <w:r>
        <w:rPr>
          <w:rFonts w:ascii="Times New Roman" w:hAnsi="Times New Roman" w:cs="Times New Roman" w:eastAsia="Times New Roman" w:hint="default"/>
          <w:spacing w:val="-3"/>
        </w:rPr>
        <w:t>—</w:t>
      </w:r>
      <w:r>
        <w:rPr>
          <w:spacing w:val="-3"/>
        </w:rPr>
        <w:t>财务报告的一般规定[2014年修订]》以及相关补充规定的要求编制，真实、</w:t>
      </w:r>
      <w:r>
        <w:rPr>
          <w:spacing w:val="-85"/>
        </w:rPr>
        <w:t> </w:t>
      </w:r>
      <w:r>
        <w:rPr>
          <w:spacing w:val="-85"/>
        </w:rPr>
      </w:r>
      <w:r>
        <w:rPr/>
        <w:t>完整地反映了公司的财务状况、经营成果和现金流量等有关信息。</w:t>
      </w:r>
    </w:p>
    <w:p>
      <w:pPr>
        <w:spacing w:line="240" w:lineRule="auto" w:before="7"/>
        <w:rPr>
          <w:rFonts w:ascii="宋体" w:hAnsi="宋体" w:cs="宋体" w:eastAsia="宋体" w:hint="default"/>
          <w:sz w:val="23"/>
          <w:szCs w:val="23"/>
        </w:rPr>
      </w:pPr>
    </w:p>
    <w:p>
      <w:pPr>
        <w:spacing w:line="544" w:lineRule="auto" w:before="0"/>
        <w:ind w:left="113" w:right="679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、会计期间</w:t>
      </w:r>
      <w:r>
        <w:rPr>
          <w:rFonts w:ascii="宋体" w:hAnsi="宋体" w:cs="宋体" w:eastAsia="宋体" w:hint="default"/>
          <w:b/>
          <w:bCs/>
          <w:w w:val="99"/>
          <w:sz w:val="21"/>
          <w:szCs w:val="21"/>
        </w:rPr>
        <w:t> </w:t>
      </w:r>
      <w:r>
        <w:rPr>
          <w:rFonts w:ascii="宋体" w:hAnsi="宋体" w:cs="宋体" w:eastAsia="宋体" w:hint="default"/>
          <w:sz w:val="18"/>
          <w:szCs w:val="18"/>
        </w:rPr>
        <w:t>会计年度自公历</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r>
        <w:rPr>
          <w:rFonts w:ascii="Times New Roman" w:hAnsi="Times New Roman" w:cs="Times New Roman" w:eastAsia="Times New Roman" w:hint="default"/>
          <w:sz w:val="18"/>
          <w:szCs w:val="18"/>
        </w:rPr>
        <w:t>1</w:t>
      </w:r>
      <w:r>
        <w:rPr>
          <w:rFonts w:ascii="宋体" w:hAnsi="宋体" w:cs="宋体" w:eastAsia="宋体" w:hint="default"/>
          <w:sz w:val="18"/>
          <w:szCs w:val="18"/>
        </w:rPr>
        <w:t>日起至</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31</w:t>
      </w:r>
      <w:r>
        <w:rPr>
          <w:rFonts w:ascii="宋体" w:hAnsi="宋体" w:cs="宋体" w:eastAsia="宋体" w:hint="default"/>
          <w:sz w:val="18"/>
          <w:szCs w:val="18"/>
        </w:rPr>
        <w:t>日止。 </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、营业周期</w:t>
      </w:r>
      <w:r>
        <w:rPr>
          <w:rFonts w:ascii="宋体" w:hAnsi="宋体" w:cs="宋体" w:eastAsia="宋体" w:hint="default"/>
          <w:sz w:val="21"/>
          <w:szCs w:val="21"/>
        </w:rPr>
      </w:r>
    </w:p>
    <w:p>
      <w:pPr>
        <w:pStyle w:val="BodyText"/>
        <w:spacing w:line="240" w:lineRule="auto" w:before="51"/>
        <w:ind w:right="0"/>
        <w:jc w:val="left"/>
      </w:pPr>
      <w:r>
        <w:rPr/>
        <w:t>公司经营周期为上述会计期间所对应的</w:t>
      </w:r>
      <w:r>
        <w:rPr>
          <w:rFonts w:ascii="Times New Roman" w:hAnsi="Times New Roman" w:cs="Times New Roman" w:eastAsia="Times New Roman" w:hint="default"/>
        </w:rPr>
        <w:t>12</w:t>
      </w:r>
      <w:r>
        <w:rPr/>
        <w:t>个月。</w:t>
      </w:r>
    </w:p>
    <w:p>
      <w:pPr>
        <w:spacing w:line="240" w:lineRule="auto" w:before="12"/>
        <w:rPr>
          <w:rFonts w:ascii="宋体" w:hAnsi="宋体" w:cs="宋体" w:eastAsia="宋体" w:hint="default"/>
          <w:sz w:val="25"/>
          <w:szCs w:val="25"/>
        </w:rPr>
      </w:pPr>
    </w:p>
    <w:p>
      <w:pPr>
        <w:pStyle w:val="Heading3"/>
        <w:spacing w:line="240" w:lineRule="auto"/>
        <w:ind w:right="0"/>
        <w:jc w:val="left"/>
        <w:rPr>
          <w:b w:val="0"/>
          <w:bCs w:val="0"/>
        </w:rPr>
      </w:pPr>
      <w:r>
        <w:rPr>
          <w:rFonts w:ascii="Times New Roman" w:hAnsi="Times New Roman" w:cs="Times New Roman" w:eastAsia="Times New Roman" w:hint="default"/>
        </w:rPr>
        <w:t>4</w:t>
      </w:r>
      <w:r>
        <w:rPr/>
        <w:t>、记账本位币</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人民币元。</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5</w:t>
      </w:r>
      <w:r>
        <w:rPr/>
        <w:t>、同一控制下和非同一控制下企业合并的会计处理方法</w:t>
      </w:r>
      <w:r>
        <w:rPr>
          <w:b w:val="0"/>
          <w:bCs w:val="0"/>
        </w:rPr>
      </w:r>
    </w:p>
    <w:p>
      <w:pPr>
        <w:spacing w:line="240" w:lineRule="auto" w:before="6"/>
        <w:rPr>
          <w:rFonts w:ascii="宋体" w:hAnsi="宋体" w:cs="宋体" w:eastAsia="宋体" w:hint="default"/>
          <w:b/>
          <w:bCs/>
          <w:sz w:val="26"/>
          <w:szCs w:val="26"/>
        </w:rPr>
      </w:pPr>
    </w:p>
    <w:p>
      <w:pPr>
        <w:pStyle w:val="BodyText"/>
        <w:spacing w:line="316" w:lineRule="auto"/>
        <w:ind w:right="0"/>
        <w:jc w:val="left"/>
      </w:pPr>
      <w:r>
        <w:rPr/>
        <w:t>（1）在同一控制下的企业合并中，公司作为购买方取得对其他参与合并企业的控制权，如以支付现金、转让非现金资产或</w:t>
      </w:r>
      <w:r>
        <w:rPr>
          <w:spacing w:val="-85"/>
        </w:rPr>
        <w:t> </w:t>
      </w:r>
      <w:r>
        <w:rPr>
          <w:spacing w:val="-85"/>
        </w:rPr>
      </w:r>
      <w:r>
        <w:rPr>
          <w:spacing w:val="-2"/>
        </w:rPr>
        <w:t>承担债务方式作为合并对价的，在合并日按照被合并方所有者权益在最终控制方合并财务报表中的账面价值的份额作为长期</w:t>
      </w:r>
      <w:r>
        <w:rPr>
          <w:spacing w:val="-64"/>
        </w:rPr>
        <w:t> </w:t>
      </w:r>
      <w:r>
        <w:rPr>
          <w:spacing w:val="-64"/>
        </w:rPr>
      </w:r>
      <w:r>
        <w:rPr>
          <w:spacing w:val="-2"/>
        </w:rPr>
        <w:t>股权投资的初始投资成本，长期股权投资初始投资成本与支付的现金、转让的非现金资产以及所承担债务账面价值之间的差</w:t>
      </w:r>
      <w:r>
        <w:rPr>
          <w:spacing w:val="-64"/>
        </w:rPr>
        <w:t> </w:t>
      </w:r>
      <w:r>
        <w:rPr>
          <w:spacing w:val="-64"/>
        </w:rPr>
      </w:r>
      <w:r>
        <w:rPr>
          <w:spacing w:val="-2"/>
        </w:rPr>
        <w:t>额，调整资本公积；资本公积不足冲减的，调整留存收益；如以发行权益性证券作为合并对价的，在合并日按照被合并方所</w:t>
      </w:r>
      <w:r>
        <w:rPr>
          <w:spacing w:val="-65"/>
        </w:rPr>
        <w:t> </w:t>
      </w:r>
      <w:r>
        <w:rPr>
          <w:spacing w:val="-65"/>
        </w:rPr>
      </w:r>
      <w:r>
        <w:rPr>
          <w:spacing w:val="-2"/>
        </w:rPr>
        <w:t>有者权益在最终控制方合并财务报表中的账面价值的份额作为长期股权投资的初始投资成本，按照发行股份的面值总额作为</w:t>
      </w:r>
      <w:r>
        <w:rPr>
          <w:spacing w:val="-64"/>
        </w:rPr>
        <w:t> </w:t>
      </w:r>
      <w:r>
        <w:rPr>
          <w:spacing w:val="-64"/>
        </w:rPr>
      </w:r>
      <w:r>
        <w:rPr>
          <w:spacing w:val="-4"/>
        </w:rPr>
        <w:t>股本，长期股权投资初始投资成本与所发行股份面值总额之间的差额，调整资本公积，资本公积不足冲减的，调整留存收益。</w:t>
      </w:r>
      <w:r>
        <w:rPr>
          <w:spacing w:val="-44"/>
        </w:rPr>
        <w:t> </w:t>
      </w:r>
      <w:r>
        <w:rPr>
          <w:spacing w:val="-44"/>
        </w:rPr>
      </w:r>
      <w:r>
        <w:rPr>
          <w:spacing w:val="-2"/>
        </w:rPr>
        <w:t>为进行企业合并发生的审计、法律服务、评估咨询等中介费用以及其他相关管理费用，于发生时计入当期损益。为企业合并</w:t>
      </w:r>
      <w:r>
        <w:rPr>
          <w:spacing w:val="-69"/>
        </w:rPr>
        <w:t> </w:t>
      </w:r>
      <w:r>
        <w:rPr>
          <w:spacing w:val="-69"/>
        </w:rPr>
      </w:r>
      <w:r>
        <w:rPr>
          <w:spacing w:val="-2"/>
        </w:rPr>
        <w:t>发行的债券或承担其他债务支付的手续费、佣金等，应当计入所发行债券及其他债务的初始计量金额。企业合并中发行权益</w:t>
      </w:r>
      <w:r>
        <w:rPr>
          <w:spacing w:val="-64"/>
        </w:rPr>
        <w:t> </w:t>
      </w:r>
      <w:r>
        <w:rPr>
          <w:spacing w:val="-64"/>
        </w:rPr>
      </w:r>
      <w:r>
        <w:rPr/>
        <w:t>性证券发生的手续费、佣金等费用，应当抵减权益性证券溢价收入，溢价收入不足冲减的，冲减留存收益。</w:t>
      </w:r>
    </w:p>
    <w:p>
      <w:pPr>
        <w:pStyle w:val="BodyText"/>
        <w:spacing w:line="240" w:lineRule="auto" w:before="58"/>
        <w:ind w:right="0"/>
        <w:jc w:val="left"/>
      </w:pPr>
      <w:r>
        <w:rPr/>
        <w:t>（2）公司对外合并如属非同一控制下的企业合并，按下列情况确定长期股权投资的初始投资成本：</w:t>
      </w:r>
    </w:p>
    <w:p>
      <w:pPr>
        <w:pStyle w:val="BodyText"/>
        <w:spacing w:line="316" w:lineRule="auto" w:before="116"/>
        <w:ind w:right="0"/>
        <w:jc w:val="left"/>
      </w:pPr>
      <w:r>
        <w:rPr/>
        <w:t>①一次交换交易实现的企业合并，长期股权投资的初始投资成本为购买方在购买日为取得对被购买方的控制权而付出的资</w:t>
      </w:r>
      <w:r>
        <w:rPr>
          <w:spacing w:val="-22"/>
        </w:rPr>
        <w:t> </w:t>
      </w:r>
      <w:r>
        <w:rPr>
          <w:spacing w:val="-22"/>
        </w:rPr>
      </w:r>
      <w:r>
        <w:rPr/>
        <w:t>产、发生或承担的负债以及发行的权益性证券的公允价值；</w:t>
      </w:r>
    </w:p>
    <w:p>
      <w:pPr>
        <w:pStyle w:val="BodyText"/>
        <w:spacing w:line="240" w:lineRule="auto" w:before="18"/>
        <w:ind w:right="0"/>
        <w:jc w:val="left"/>
      </w:pPr>
      <w:r>
        <w:rPr/>
        <w:t>②通过多次交换交易分步实现的企业合并，长期股权投资的初始投资成本为每一单项交易成本之和；</w:t>
      </w:r>
    </w:p>
    <w:p>
      <w:pPr>
        <w:pStyle w:val="BodyText"/>
        <w:spacing w:line="316" w:lineRule="auto" w:before="76"/>
        <w:ind w:right="0"/>
        <w:jc w:val="left"/>
      </w:pPr>
      <w:r>
        <w:rPr>
          <w:spacing w:val="-2"/>
        </w:rPr>
        <w:t>③为进行企业合并发生的审计、法律服务、评估咨询等中介费用以及其他相关管理费用，于发生时计入当期损益；作为合并</w:t>
      </w:r>
      <w:r>
        <w:rPr>
          <w:spacing w:val="-68"/>
        </w:rPr>
        <w:t> </w:t>
      </w:r>
      <w:r>
        <w:rPr>
          <w:spacing w:val="-68"/>
        </w:rPr>
      </w:r>
      <w:r>
        <w:rPr/>
        <w:t>对价发行的权益性证券或债务性证券的交易费用，计入权益性证券或债务性证券的初始确认金额；</w:t>
      </w:r>
    </w:p>
    <w:p>
      <w:pPr>
        <w:pStyle w:val="BodyText"/>
        <w:spacing w:line="319" w:lineRule="auto" w:before="18"/>
        <w:ind w:right="0"/>
        <w:jc w:val="left"/>
      </w:pPr>
      <w:r>
        <w:rPr>
          <w:spacing w:val="-2"/>
        </w:rPr>
        <w:t>④在合并合同或协议中对可能影响合并成本的未来事项作出约定的，在购买日如果估计未来事项很可能发生并且对合并成本</w:t>
      </w:r>
      <w:r>
        <w:rPr>
          <w:spacing w:val="-64"/>
        </w:rPr>
        <w:t> </w:t>
      </w:r>
      <w:r>
        <w:rPr>
          <w:spacing w:val="-64"/>
        </w:rPr>
      </w:r>
      <w:r>
        <w:rPr/>
        <w:t>的影响金额能够可靠计量的，将其计入长期股权投资的初始投资成本。</w:t>
      </w:r>
    </w:p>
    <w:p>
      <w:pPr>
        <w:pStyle w:val="BodyText"/>
        <w:spacing w:line="338" w:lineRule="auto" w:before="17"/>
        <w:ind w:right="1122"/>
        <w:jc w:val="left"/>
      </w:pPr>
      <w:r>
        <w:rPr/>
        <w:t>（3）公司对外合并如属非同一控制下的企业合并，对长期股权投资的初始投资成本大于合并中取得的被购买方可辨认净资</w:t>
      </w:r>
      <w:r>
        <w:rPr>
          <w:spacing w:val="-82"/>
        </w:rPr>
        <w:t> </w:t>
      </w:r>
      <w:r>
        <w:rPr>
          <w:spacing w:val="-82"/>
        </w:rPr>
      </w:r>
      <w:r>
        <w:rPr/>
        <w:t>产公允价值份额的差额，确认为商誉。</w:t>
      </w:r>
      <w:r>
        <w:rPr/>
        <w:t> 对长期股权投资的初始投资成本小于合并中取得的被购买方可辨认净资产公允价值份额的差额，按照下列方法处理：</w:t>
      </w:r>
    </w:p>
    <w:p>
      <w:pPr>
        <w:pStyle w:val="BodyText"/>
        <w:spacing w:line="240" w:lineRule="auto" w:before="42"/>
        <w:ind w:right="0"/>
        <w:jc w:val="left"/>
      </w:pPr>
      <w:r>
        <w:rPr/>
        <w:t>①对取得的被购买方各项可辨认资产、负债及或有负债的公允价值以及合并成本的计量进行复核；</w:t>
      </w:r>
    </w:p>
    <w:p>
      <w:pPr>
        <w:pStyle w:val="BodyText"/>
        <w:spacing w:line="240" w:lineRule="auto" w:before="76"/>
        <w:ind w:right="0"/>
        <w:jc w:val="left"/>
      </w:pPr>
      <w:r>
        <w:rPr/>
        <w:t>②经复核后合并成本仍小于合并中取得的被购买方可辨认净资产公允价值份额的，其差额应当计入当期损益。</w:t>
      </w:r>
    </w:p>
    <w:p>
      <w:pPr>
        <w:spacing w:after="0" w:line="240" w:lineRule="auto"/>
        <w:jc w:val="left"/>
        <w:sectPr>
          <w:pgSz w:w="11910" w:h="16840"/>
          <w:pgMar w:header="906" w:footer="1018" w:top="1100" w:bottom="1200" w:left="1020" w:right="0"/>
        </w:sectPr>
      </w:pPr>
    </w:p>
    <w:p>
      <w:pPr>
        <w:spacing w:line="240" w:lineRule="auto" w:before="9"/>
        <w:rPr>
          <w:rFonts w:ascii="宋体" w:hAnsi="宋体" w:cs="宋体" w:eastAsia="宋体" w:hint="default"/>
          <w:sz w:val="21"/>
          <w:szCs w:val="21"/>
        </w:rPr>
      </w:pPr>
    </w:p>
    <w:p>
      <w:pPr>
        <w:pStyle w:val="Heading3"/>
        <w:spacing w:line="240" w:lineRule="auto" w:before="35"/>
        <w:ind w:right="0"/>
        <w:jc w:val="left"/>
        <w:rPr>
          <w:b w:val="0"/>
          <w:bCs w:val="0"/>
        </w:rPr>
      </w:pPr>
      <w:r>
        <w:rPr>
          <w:rFonts w:ascii="Times New Roman" w:hAnsi="Times New Roman" w:cs="Times New Roman" w:eastAsia="Times New Roman" w:hint="default"/>
        </w:rPr>
        <w:t>6</w:t>
      </w:r>
      <w:r>
        <w:rPr/>
        <w:t>、合并财务报表的编制方法</w:t>
      </w:r>
      <w:r>
        <w:rPr>
          <w:b w:val="0"/>
          <w:bCs w:val="0"/>
        </w:rPr>
      </w:r>
    </w:p>
    <w:p>
      <w:pPr>
        <w:spacing w:line="240" w:lineRule="auto" w:before="6"/>
        <w:rPr>
          <w:rFonts w:ascii="宋体" w:hAnsi="宋体" w:cs="宋体" w:eastAsia="宋体" w:hint="default"/>
          <w:b/>
          <w:bCs/>
          <w:sz w:val="26"/>
          <w:szCs w:val="26"/>
        </w:rPr>
      </w:pPr>
    </w:p>
    <w:p>
      <w:pPr>
        <w:pStyle w:val="BodyText"/>
        <w:spacing w:line="338" w:lineRule="auto"/>
        <w:ind w:right="0"/>
        <w:jc w:val="left"/>
      </w:pPr>
      <w:r>
        <w:rPr>
          <w:spacing w:val="-2"/>
        </w:rPr>
        <w:t>合并财务报表的合并范围以控制为基础予以确定。控制，是指投资方拥有对被投资方的权力，通过参与被投资方的相关活动</w:t>
      </w:r>
      <w:r>
        <w:rPr>
          <w:spacing w:val="-64"/>
        </w:rPr>
        <w:t> </w:t>
      </w:r>
      <w:r>
        <w:rPr>
          <w:spacing w:val="-64"/>
        </w:rPr>
      </w:r>
      <w:r>
        <w:rPr/>
        <w:t>而享有可变回报，并且有能力运用对被投资方的权力影响其回报金额。</w:t>
      </w:r>
      <w:r>
        <w:rPr/>
        <w:t> 母公司应当将其全部子公司纳入合并财务报表的合并范围。子公司，是指被公司控制的主体</w:t>
      </w:r>
      <w:r>
        <w:rPr>
          <w:rFonts w:ascii="Times New Roman" w:hAnsi="Times New Roman" w:cs="Times New Roman" w:eastAsia="Times New Roman" w:hint="default"/>
        </w:rPr>
        <w:t>(</w:t>
      </w:r>
      <w:r>
        <w:rPr/>
        <w:t>含企业、被投资单位中可分割</w:t>
      </w:r>
    </w:p>
    <w:p>
      <w:pPr>
        <w:pStyle w:val="BodyText"/>
        <w:spacing w:line="230" w:lineRule="exact"/>
        <w:ind w:right="0"/>
        <w:jc w:val="left"/>
      </w:pPr>
      <w:r>
        <w:rPr/>
        <w:t>的部分，以及企业所控制的结构化主体等</w:t>
      </w:r>
      <w:r>
        <w:rPr>
          <w:rFonts w:ascii="Times New Roman" w:hAnsi="Times New Roman" w:cs="Times New Roman" w:eastAsia="Times New Roman" w:hint="default"/>
        </w:rPr>
        <w:t>)</w:t>
      </w:r>
      <w:r>
        <w:rPr/>
        <w:t>。</w:t>
      </w:r>
    </w:p>
    <w:p>
      <w:pPr>
        <w:pStyle w:val="BodyText"/>
        <w:spacing w:line="309" w:lineRule="auto" w:before="103"/>
        <w:ind w:right="1131"/>
        <w:jc w:val="both"/>
      </w:pPr>
      <w:r>
        <w:rPr>
          <w:spacing w:val="2"/>
        </w:rPr>
        <w:t>如果母公司是投资性主体，则母公司应当仅将为其投资活动提供相关服务的子公司</w:t>
      </w:r>
      <w:r>
        <w:rPr>
          <w:rFonts w:ascii="Times New Roman" w:hAnsi="Times New Roman" w:cs="Times New Roman" w:eastAsia="Times New Roman" w:hint="default"/>
          <w:spacing w:val="2"/>
        </w:rPr>
        <w:t>(</w:t>
      </w:r>
      <w:r>
        <w:rPr>
          <w:spacing w:val="2"/>
        </w:rPr>
        <w:t>如有</w:t>
      </w:r>
      <w:r>
        <w:rPr>
          <w:rFonts w:ascii="Times New Roman" w:hAnsi="Times New Roman" w:cs="Times New Roman" w:eastAsia="Times New Roman" w:hint="default"/>
          <w:spacing w:val="2"/>
        </w:rPr>
        <w:t>)</w:t>
      </w:r>
      <w:r>
        <w:rPr>
          <w:spacing w:val="2"/>
        </w:rPr>
        <w:t>纳入合并范围并编制合并财务报</w:t>
      </w:r>
      <w:r>
        <w:rPr>
          <w:spacing w:val="-43"/>
        </w:rPr>
        <w:t> </w:t>
      </w:r>
      <w:r>
        <w:rPr>
          <w:spacing w:val="-43"/>
        </w:rPr>
      </w:r>
      <w:r>
        <w:rPr>
          <w:spacing w:val="-2"/>
        </w:rPr>
        <w:t>表；其他子公司不应当予以合并，母公司对其他子公司的投资应当按照公允价值计量且其变动计入当期损益。当母公司同时</w:t>
      </w:r>
      <w:r>
        <w:rPr>
          <w:spacing w:val="-66"/>
        </w:rPr>
        <w:t> </w:t>
      </w:r>
      <w:r>
        <w:rPr>
          <w:spacing w:val="-66"/>
        </w:rPr>
      </w:r>
      <w:r>
        <w:rPr/>
        <w:t>满足下列条件时，该母公司属于投资性主体：</w:t>
      </w:r>
    </w:p>
    <w:p>
      <w:pPr>
        <w:pStyle w:val="BodyText"/>
        <w:spacing w:line="240" w:lineRule="auto" w:before="63"/>
        <w:ind w:right="0"/>
        <w:jc w:val="left"/>
      </w:pPr>
      <w:r>
        <w:rPr/>
        <w:t>（1）该母公司是以向投资者提供投资管理服务为目的，从一个或多个投资者处获取资金；</w:t>
      </w:r>
    </w:p>
    <w:p>
      <w:pPr>
        <w:pStyle w:val="BodyText"/>
        <w:spacing w:line="240" w:lineRule="auto" w:before="76"/>
        <w:ind w:right="0"/>
        <w:jc w:val="left"/>
      </w:pPr>
      <w:r>
        <w:rPr/>
        <w:t>（2）该母公司的唯一经营目的，是通过资本增值、投资收益或两者兼有而让投资者获得回报；</w:t>
      </w:r>
    </w:p>
    <w:p>
      <w:pPr>
        <w:pStyle w:val="BodyText"/>
        <w:spacing w:line="316" w:lineRule="auto" w:before="76"/>
        <w:ind w:right="0"/>
        <w:jc w:val="left"/>
      </w:pPr>
      <w:r>
        <w:rPr/>
        <w:t>（3）该母公司按照公允价值对几乎所有投资的业绩进行考量和评价。 </w:t>
      </w:r>
      <w:r>
        <w:rPr>
          <w:spacing w:val="-2"/>
        </w:rPr>
        <w:t>编制合并报表时，公司与被合并子公司采用的统一的会计政策和期间。合并财务报表以公司和子公司的财务报表为基础，在</w:t>
      </w:r>
      <w:r>
        <w:rPr>
          <w:spacing w:val="-64"/>
        </w:rPr>
        <w:t> </w:t>
      </w:r>
      <w:r>
        <w:rPr>
          <w:spacing w:val="-64"/>
        </w:rPr>
      </w:r>
      <w:r>
        <w:rPr>
          <w:spacing w:val="-2"/>
        </w:rPr>
        <w:t>抵销公司与子公司、子公司相互之间发生的内部交易对合并财务报表的影响后，由公司合并编制。公司在报告期内因同一控</w:t>
      </w:r>
      <w:r>
        <w:rPr>
          <w:spacing w:val="-63"/>
        </w:rPr>
        <w:t> </w:t>
      </w:r>
      <w:r>
        <w:rPr>
          <w:spacing w:val="-63"/>
        </w:rPr>
      </w:r>
      <w:r>
        <w:rPr>
          <w:spacing w:val="-2"/>
        </w:rPr>
        <w:t>制下企业合并增加的子公司，编制合并资产负债表时，调整合并资产负债表的期初数。因非同一控制下企业合并增加的子公</w:t>
      </w:r>
      <w:r>
        <w:rPr>
          <w:spacing w:val="-65"/>
        </w:rPr>
        <w:t> </w:t>
      </w:r>
      <w:r>
        <w:rPr>
          <w:spacing w:val="-65"/>
        </w:rPr>
      </w:r>
      <w:r>
        <w:rPr>
          <w:spacing w:val="-2"/>
        </w:rPr>
        <w:t>司，编制合并资产负债表时，不调整合并资产负债表的期初数。公司在报告期内因同一控制下企业合并增加的子公司，将该</w:t>
      </w:r>
      <w:r>
        <w:rPr>
          <w:spacing w:val="-68"/>
        </w:rPr>
        <w:t> </w:t>
      </w:r>
      <w:r>
        <w:rPr>
          <w:spacing w:val="-68"/>
        </w:rPr>
      </w:r>
      <w:r>
        <w:rPr>
          <w:spacing w:val="-2"/>
        </w:rPr>
        <w:t>子公司合并当期期初至报告期末的收入、费用、利润及现金流量纳入合并利润表及现金流量表。因非同一控制下企业合并增</w:t>
      </w:r>
      <w:r>
        <w:rPr>
          <w:spacing w:val="-64"/>
        </w:rPr>
        <w:t> </w:t>
      </w:r>
      <w:r>
        <w:rPr>
          <w:spacing w:val="-64"/>
        </w:rPr>
      </w:r>
      <w:r>
        <w:rPr>
          <w:spacing w:val="-2"/>
        </w:rPr>
        <w:t>加的子公司，将该子公司购买日至报告期末的收入、费用、利润及现金流量纳入合并利润表及现金流量表。公司在报告期内</w:t>
      </w:r>
      <w:r>
        <w:rPr>
          <w:spacing w:val="-67"/>
        </w:rPr>
        <w:t> </w:t>
      </w:r>
      <w:r>
        <w:rPr>
          <w:spacing w:val="-67"/>
        </w:rPr>
      </w:r>
      <w:r>
        <w:rPr/>
        <w:t>处置子公司，将该子公司期初至处置日的收入、费用、利润及现金流量纳入合并利润表及现金流量表。</w:t>
      </w:r>
    </w:p>
    <w:p>
      <w:pPr>
        <w:spacing w:line="240" w:lineRule="auto" w:before="4"/>
        <w:rPr>
          <w:rFonts w:ascii="宋体" w:hAnsi="宋体" w:cs="宋体" w:eastAsia="宋体" w:hint="default"/>
          <w:sz w:val="25"/>
          <w:szCs w:val="25"/>
        </w:rPr>
      </w:pPr>
    </w:p>
    <w:p>
      <w:pPr>
        <w:pStyle w:val="BodyText"/>
        <w:spacing w:line="314" w:lineRule="auto"/>
        <w:ind w:right="0"/>
        <w:jc w:val="left"/>
      </w:pPr>
      <w:r>
        <w:rPr>
          <w:spacing w:val="-2"/>
        </w:rPr>
        <w:t>母公司购买子公司少数股东拥有的子公司股权，在合并财务报表中，因购买少数股权新取得的长期股权投资与按照新增持股</w:t>
      </w:r>
      <w:r>
        <w:rPr>
          <w:spacing w:val="-64"/>
        </w:rPr>
        <w:t> </w:t>
      </w:r>
      <w:r>
        <w:rPr>
          <w:spacing w:val="-64"/>
        </w:rPr>
      </w:r>
      <w:r>
        <w:rPr>
          <w:spacing w:val="3"/>
        </w:rPr>
        <w:t>比例计算应享有子公司自购买日或合并日开始持续计算的净资产份额之间的差额，应当调整资本公积</w:t>
      </w:r>
      <w:r>
        <w:rPr>
          <w:rFonts w:ascii="Times New Roman" w:hAnsi="Times New Roman" w:cs="Times New Roman" w:eastAsia="Times New Roman" w:hint="default"/>
          <w:spacing w:val="3"/>
        </w:rPr>
        <w:t>(</w:t>
      </w:r>
      <w:r>
        <w:rPr>
          <w:spacing w:val="3"/>
        </w:rPr>
        <w:t>资本溢价或股本溢</w:t>
      </w:r>
      <w:r>
        <w:rPr>
          <w:spacing w:val="-50"/>
        </w:rPr>
        <w:t> </w:t>
      </w:r>
      <w:r>
        <w:rPr>
          <w:spacing w:val="-50"/>
        </w:rPr>
      </w:r>
      <w:r>
        <w:rPr/>
        <w:t>价</w:t>
      </w:r>
      <w:r>
        <w:rPr>
          <w:rFonts w:ascii="Times New Roman" w:hAnsi="Times New Roman" w:cs="Times New Roman" w:eastAsia="Times New Roman" w:hint="default"/>
        </w:rPr>
        <w:t>)</w:t>
      </w:r>
      <w:r>
        <w:rPr/>
        <w:t>，资本公积不足冲减的，调整留存收益。 </w:t>
      </w:r>
      <w:r>
        <w:rPr>
          <w:spacing w:val="-2"/>
        </w:rPr>
        <w:t>母公司在不丧失控制权的情况下部分处置对子公司的长期股权投资，在合并财务报表中，处置价款与处置长期股权投资相对</w:t>
      </w:r>
      <w:r>
        <w:rPr>
          <w:spacing w:val="-64"/>
        </w:rPr>
        <w:t> </w:t>
      </w:r>
      <w:r>
        <w:rPr>
          <w:spacing w:val="-64"/>
        </w:rPr>
      </w:r>
      <w:r>
        <w:rPr>
          <w:spacing w:val="-1"/>
        </w:rPr>
        <w:t>应享有子公司自购买日或合并日开始持续计算的净资产份额之间的差额，应当调整资本公积</w:t>
      </w:r>
      <w:r>
        <w:rPr>
          <w:rFonts w:ascii="Times New Roman" w:hAnsi="Times New Roman" w:cs="Times New Roman" w:eastAsia="Times New Roman" w:hint="default"/>
          <w:spacing w:val="-1"/>
        </w:rPr>
        <w:t>(</w:t>
      </w:r>
      <w:r>
        <w:rPr>
          <w:spacing w:val="-1"/>
        </w:rPr>
        <w:t>资本溢价或股本溢价</w:t>
      </w:r>
      <w:r>
        <w:rPr>
          <w:rFonts w:ascii="Times New Roman" w:hAnsi="Times New Roman" w:cs="Times New Roman" w:eastAsia="Times New Roman" w:hint="default"/>
          <w:spacing w:val="-1"/>
        </w:rPr>
        <w:t>)</w:t>
      </w:r>
      <w:r>
        <w:rPr>
          <w:spacing w:val="-1"/>
        </w:rPr>
        <w:t>，资本公</w:t>
      </w:r>
      <w:r>
        <w:rPr>
          <w:spacing w:val="-58"/>
        </w:rPr>
        <w:t> </w:t>
      </w:r>
      <w:r>
        <w:rPr>
          <w:spacing w:val="-58"/>
        </w:rPr>
      </w:r>
      <w:r>
        <w:rPr/>
        <w:t>积不足冲减的，调整留存收益。</w:t>
      </w:r>
    </w:p>
    <w:p>
      <w:pPr>
        <w:pStyle w:val="BodyText"/>
        <w:spacing w:line="316" w:lineRule="auto" w:before="61"/>
        <w:ind w:right="1131"/>
        <w:jc w:val="both"/>
      </w:pPr>
      <w:r>
        <w:rPr>
          <w:spacing w:val="-2"/>
        </w:rPr>
        <w:t>企业因处置部分股权投资等原因丧失了对被投资方的控制权的，在编制合并财务报表时，对于剩余股权，应当按照其在丧失</w:t>
      </w:r>
      <w:r>
        <w:rPr>
          <w:spacing w:val="-68"/>
        </w:rPr>
        <w:t> </w:t>
      </w:r>
      <w:r>
        <w:rPr>
          <w:spacing w:val="-68"/>
        </w:rPr>
      </w:r>
      <w:r>
        <w:rPr>
          <w:spacing w:val="-2"/>
        </w:rPr>
        <w:t>控制权日的公允价值进行重新计量。处置股权取得的对价与剩余股权公允价值之和，减去按原持股比例计算应享有原有子公</w:t>
      </w:r>
      <w:r>
        <w:rPr>
          <w:spacing w:val="-64"/>
        </w:rPr>
        <w:t> </w:t>
      </w:r>
      <w:r>
        <w:rPr>
          <w:spacing w:val="-64"/>
        </w:rPr>
      </w:r>
      <w:r>
        <w:rPr>
          <w:spacing w:val="-2"/>
        </w:rPr>
        <w:t>司自购买日或合并日开始持续计算的净资产的份额之间的差额，计入丧失控制权当期的投资收益，同时冲减商誉。与原有子</w:t>
      </w:r>
      <w:r>
        <w:rPr>
          <w:spacing w:val="-68"/>
        </w:rPr>
        <w:t> </w:t>
      </w:r>
      <w:r>
        <w:rPr>
          <w:spacing w:val="-68"/>
        </w:rPr>
      </w:r>
      <w:r>
        <w:rPr>
          <w:spacing w:val="-2"/>
        </w:rPr>
        <w:t>公司股权投资相关的其他综合收益等，应当在丧失控制权时转为当期投资收益，由于被投资方重新计量设定受益计划净负债</w:t>
      </w:r>
      <w:r>
        <w:rPr>
          <w:spacing w:val="-64"/>
        </w:rPr>
        <w:t> </w:t>
      </w:r>
      <w:r>
        <w:rPr>
          <w:spacing w:val="-64"/>
        </w:rPr>
      </w:r>
      <w:r>
        <w:rPr/>
        <w:t>或净资产变动而产生的其他综合收益除外。</w:t>
      </w:r>
    </w:p>
    <w:p>
      <w:pPr>
        <w:spacing w:line="240" w:lineRule="auto" w:before="7"/>
        <w:rPr>
          <w:rFonts w:ascii="宋体" w:hAnsi="宋体" w:cs="宋体" w:eastAsia="宋体" w:hint="default"/>
          <w:sz w:val="22"/>
          <w:szCs w:val="22"/>
        </w:rPr>
      </w:pPr>
    </w:p>
    <w:p>
      <w:pPr>
        <w:pStyle w:val="Heading3"/>
        <w:spacing w:line="240" w:lineRule="auto"/>
        <w:ind w:right="0"/>
        <w:jc w:val="left"/>
        <w:rPr>
          <w:b w:val="0"/>
          <w:bCs w:val="0"/>
        </w:rPr>
      </w:pPr>
      <w:r>
        <w:rPr>
          <w:rFonts w:ascii="Times New Roman" w:hAnsi="Times New Roman" w:cs="Times New Roman" w:eastAsia="Times New Roman" w:hint="default"/>
        </w:rPr>
        <w:t>7</w:t>
      </w:r>
      <w:r>
        <w:rPr/>
        <w:t>、合营安排分类及共同经营会计处理方法</w:t>
      </w:r>
      <w:r>
        <w:rPr>
          <w:b w:val="0"/>
          <w:bCs w:val="0"/>
        </w:rPr>
      </w:r>
    </w:p>
    <w:p>
      <w:pPr>
        <w:spacing w:line="240" w:lineRule="auto" w:before="6"/>
        <w:rPr>
          <w:rFonts w:ascii="宋体" w:hAnsi="宋体" w:cs="宋体" w:eastAsia="宋体" w:hint="default"/>
          <w:b/>
          <w:bCs/>
          <w:sz w:val="26"/>
          <w:szCs w:val="26"/>
        </w:rPr>
      </w:pPr>
    </w:p>
    <w:p>
      <w:pPr>
        <w:pStyle w:val="BodyText"/>
        <w:spacing w:line="338" w:lineRule="auto"/>
        <w:ind w:right="0"/>
        <w:jc w:val="left"/>
      </w:pPr>
      <w:r>
        <w:rPr/>
        <w:t>合营安排分为共同经营和合营企业。 </w:t>
      </w:r>
      <w:r>
        <w:rPr>
          <w:spacing w:val="-2"/>
        </w:rPr>
        <w:t>共同经营，是指合营方享有该安排相关资产且承担该安排相关负债的合营安排。公司确认其与共同经营中利益份额相关的下</w:t>
      </w:r>
      <w:r>
        <w:rPr>
          <w:spacing w:val="-64"/>
        </w:rPr>
        <w:t> </w:t>
      </w:r>
      <w:r>
        <w:rPr>
          <w:spacing w:val="-64"/>
        </w:rPr>
      </w:r>
      <w:r>
        <w:rPr/>
        <w:t>列项目，并按照相关企业会计准则的规定进行会计处理：</w:t>
      </w:r>
    </w:p>
    <w:p>
      <w:pPr>
        <w:pStyle w:val="BodyText"/>
        <w:spacing w:line="240" w:lineRule="auto" w:before="2"/>
        <w:ind w:right="0"/>
        <w:jc w:val="left"/>
      </w:pPr>
      <w:r>
        <w:rPr/>
        <w:t>（1）确认单独所持有的资产，以及按其份额确认共同持有的资产；</w:t>
      </w:r>
    </w:p>
    <w:p>
      <w:pPr>
        <w:pStyle w:val="BodyText"/>
        <w:spacing w:line="240" w:lineRule="auto" w:before="76"/>
        <w:ind w:right="0"/>
        <w:jc w:val="left"/>
      </w:pPr>
      <w:r>
        <w:rPr/>
        <w:t>（2）确认单独所承担的负债，以及按其份额确认共同承担的负债；</w:t>
      </w:r>
    </w:p>
    <w:p>
      <w:pPr>
        <w:pStyle w:val="BodyText"/>
        <w:spacing w:line="240" w:lineRule="auto" w:before="76"/>
        <w:ind w:right="0"/>
        <w:jc w:val="left"/>
      </w:pPr>
      <w:r>
        <w:rPr/>
        <w:t>（3）确认出售其享有的共同经营产出份额所产生的收入；</w:t>
      </w:r>
    </w:p>
    <w:p>
      <w:pPr>
        <w:pStyle w:val="BodyText"/>
        <w:spacing w:line="240" w:lineRule="auto" w:before="76"/>
        <w:ind w:right="0"/>
        <w:jc w:val="left"/>
      </w:pPr>
      <w:r>
        <w:rPr/>
        <w:t>（4）按其份额确认共同经营因出售产出所产生的收入；</w:t>
      </w:r>
    </w:p>
    <w:p>
      <w:pPr>
        <w:pStyle w:val="BodyText"/>
        <w:spacing w:line="360" w:lineRule="auto" w:before="76"/>
        <w:ind w:right="1572"/>
        <w:jc w:val="left"/>
      </w:pPr>
      <w:r>
        <w:rPr/>
        <w:t>（5）确认单独所发生的费用，以及按其份额确认共同经营发生的费用。 合营企业，是指合营方仅对该安排的净资产享有权利的合营安排。公司按照权益法对合营企业的投资进行会计处理。</w:t>
      </w:r>
    </w:p>
    <w:p>
      <w:pPr>
        <w:spacing w:after="0" w:line="360" w:lineRule="auto"/>
        <w:jc w:val="left"/>
        <w:sectPr>
          <w:pgSz w:w="11910" w:h="16840"/>
          <w:pgMar w:header="906" w:footer="1018" w:top="1100" w:bottom="1200" w:left="1020" w:right="0"/>
        </w:sectPr>
      </w:pPr>
    </w:p>
    <w:p>
      <w:pPr>
        <w:spacing w:line="240" w:lineRule="auto" w:before="9"/>
        <w:rPr>
          <w:rFonts w:ascii="宋体" w:hAnsi="宋体" w:cs="宋体" w:eastAsia="宋体" w:hint="default"/>
          <w:sz w:val="21"/>
          <w:szCs w:val="21"/>
        </w:rPr>
      </w:pPr>
    </w:p>
    <w:p>
      <w:pPr>
        <w:pStyle w:val="Heading3"/>
        <w:spacing w:line="240" w:lineRule="auto" w:before="35"/>
        <w:ind w:right="0"/>
        <w:jc w:val="both"/>
        <w:rPr>
          <w:b w:val="0"/>
          <w:bCs w:val="0"/>
        </w:rPr>
      </w:pPr>
      <w:r>
        <w:rPr>
          <w:rFonts w:ascii="Times New Roman" w:hAnsi="Times New Roman" w:cs="Times New Roman" w:eastAsia="Times New Roman" w:hint="default"/>
        </w:rPr>
        <w:t>8</w:t>
      </w:r>
      <w:r>
        <w:rPr/>
        <w:t>、现金及现金等价物的确定标准</w:t>
      </w:r>
      <w:r>
        <w:rPr>
          <w:b w:val="0"/>
          <w:bCs w:val="0"/>
        </w:rPr>
      </w:r>
    </w:p>
    <w:p>
      <w:pPr>
        <w:spacing w:line="240" w:lineRule="auto" w:before="6"/>
        <w:rPr>
          <w:rFonts w:ascii="宋体" w:hAnsi="宋体" w:cs="宋体" w:eastAsia="宋体" w:hint="default"/>
          <w:b/>
          <w:bCs/>
          <w:sz w:val="26"/>
          <w:szCs w:val="26"/>
        </w:rPr>
      </w:pPr>
    </w:p>
    <w:p>
      <w:pPr>
        <w:pStyle w:val="BodyText"/>
        <w:spacing w:line="319" w:lineRule="auto"/>
        <w:ind w:right="0"/>
        <w:jc w:val="left"/>
      </w:pPr>
      <w:r>
        <w:rPr>
          <w:spacing w:val="-2"/>
        </w:rPr>
        <w:t>现金，是指公司库存现金以及可以随时用于支付的存款；现金等价物，是指公司持有的期限短、流动性强、易于转换为已知</w:t>
      </w:r>
      <w:r>
        <w:rPr>
          <w:spacing w:val="-66"/>
        </w:rPr>
        <w:t> </w:t>
      </w:r>
      <w:r>
        <w:rPr>
          <w:spacing w:val="-66"/>
        </w:rPr>
      </w:r>
      <w:r>
        <w:rPr/>
        <w:t>金额现金、价值变动风险很小的投资。</w:t>
      </w:r>
    </w:p>
    <w:p>
      <w:pPr>
        <w:spacing w:line="240" w:lineRule="auto" w:before="5"/>
        <w:rPr>
          <w:rFonts w:ascii="宋体" w:hAnsi="宋体" w:cs="宋体" w:eastAsia="宋体" w:hint="default"/>
          <w:sz w:val="22"/>
          <w:szCs w:val="22"/>
        </w:rPr>
      </w:pPr>
    </w:p>
    <w:p>
      <w:pPr>
        <w:pStyle w:val="Heading3"/>
        <w:spacing w:line="240" w:lineRule="auto"/>
        <w:ind w:right="0"/>
        <w:jc w:val="both"/>
        <w:rPr>
          <w:b w:val="0"/>
          <w:bCs w:val="0"/>
        </w:rPr>
      </w:pPr>
      <w:r>
        <w:rPr>
          <w:rFonts w:ascii="Times New Roman" w:hAnsi="Times New Roman" w:cs="Times New Roman" w:eastAsia="Times New Roman" w:hint="default"/>
        </w:rPr>
        <w:t>9</w:t>
      </w:r>
      <w:r>
        <w:rPr/>
        <w:t>、外币业务和外币报表折算</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both"/>
      </w:pPr>
      <w:r>
        <w:rPr/>
        <w:t>（1）外币交易在初始确认时，采用交易发生当日中国人民银行公布的人民币外汇牌价中间价将外币金额折算为人民币金额。</w:t>
      </w:r>
    </w:p>
    <w:p>
      <w:pPr>
        <w:pStyle w:val="BodyText"/>
        <w:spacing w:line="240" w:lineRule="auto" w:before="76"/>
        <w:ind w:right="0"/>
        <w:jc w:val="both"/>
      </w:pPr>
      <w:r>
        <w:rPr/>
        <w:t>（2）于资产负债表日，按照下列方法对外币货币性项目和外币非货币性项目进行处理：</w:t>
      </w:r>
    </w:p>
    <w:p>
      <w:pPr>
        <w:pStyle w:val="BodyText"/>
        <w:spacing w:line="316" w:lineRule="auto" w:before="76"/>
        <w:ind w:right="0"/>
        <w:jc w:val="left"/>
      </w:pPr>
      <w:r>
        <w:rPr>
          <w:spacing w:val="-2"/>
        </w:rPr>
        <w:t>①外币货币性项目，采用资产负债表日中国人民银行公布的人民币外汇牌价中间价折算。因资产负债表日即期汇率与初始确</w:t>
      </w:r>
      <w:r>
        <w:rPr>
          <w:spacing w:val="-64"/>
        </w:rPr>
        <w:t> </w:t>
      </w:r>
      <w:r>
        <w:rPr>
          <w:spacing w:val="-64"/>
        </w:rPr>
      </w:r>
      <w:r>
        <w:rPr/>
        <w:t>认时或者前一资产负债表日即期汇率不同而产生的汇兑差额，计入当期损益。</w:t>
      </w:r>
    </w:p>
    <w:p>
      <w:pPr>
        <w:pStyle w:val="BodyText"/>
        <w:spacing w:line="316" w:lineRule="auto" w:before="19"/>
        <w:ind w:right="1131"/>
        <w:jc w:val="both"/>
      </w:pPr>
      <w:r>
        <w:rPr>
          <w:spacing w:val="-2"/>
        </w:rPr>
        <w:t>②以历史成本计量的外币非货币性项目，仍采用交易发生日的即期汇率折算，不改变其记账本位币金额；以公允价值计量的</w:t>
      </w:r>
      <w:r>
        <w:rPr>
          <w:spacing w:val="-67"/>
        </w:rPr>
        <w:t> </w:t>
      </w:r>
      <w:r>
        <w:rPr>
          <w:spacing w:val="-67"/>
        </w:rPr>
      </w:r>
      <w:r>
        <w:rPr>
          <w:spacing w:val="-2"/>
        </w:rPr>
        <w:t>外币非货币性项目，采用公允价值确定日的即期汇率折算，折算后的记账本位币金额与原记账本位币金额的差额，作为公允</w:t>
      </w:r>
      <w:r>
        <w:rPr>
          <w:spacing w:val="-66"/>
        </w:rPr>
        <w:t> </w:t>
      </w:r>
      <w:r>
        <w:rPr>
          <w:spacing w:val="-66"/>
        </w:rPr>
      </w:r>
      <w:r>
        <w:rPr/>
        <w:t>价值变动(含汇率变动)处理，并根据非货币性项目的性质计入当期损益或其他综合收益。</w:t>
      </w:r>
    </w:p>
    <w:p>
      <w:pPr>
        <w:pStyle w:val="BodyText"/>
        <w:spacing w:line="357" w:lineRule="auto" w:before="59"/>
        <w:ind w:right="3192"/>
        <w:jc w:val="left"/>
      </w:pPr>
      <w:r>
        <w:rPr/>
        <w:t>货币性项目，是指公司持有的货币资金和将以固定或可确定的金额收取的资产或者偿付的负债。 非货币性项目，是指货币性项目以外的项目。</w:t>
      </w:r>
    </w:p>
    <w:p>
      <w:pPr>
        <w:pStyle w:val="BodyText"/>
        <w:spacing w:line="240" w:lineRule="auto" w:before="28"/>
        <w:ind w:right="0"/>
        <w:jc w:val="both"/>
      </w:pPr>
      <w:r>
        <w:rPr/>
        <w:t>（3）境外经营实体的外币财务报表的折算方法：</w:t>
      </w:r>
    </w:p>
    <w:p>
      <w:pPr>
        <w:pStyle w:val="BodyText"/>
        <w:spacing w:line="300" w:lineRule="auto" w:before="76"/>
        <w:ind w:right="0"/>
        <w:jc w:val="left"/>
      </w:pPr>
      <w:r>
        <w:rPr>
          <w:spacing w:val="-2"/>
        </w:rPr>
        <w:t>①资产负债表中的资产和负债项目，采用资产负债表日的即期汇率折算，所有者权益项目除</w:t>
      </w:r>
      <w:r>
        <w:rPr>
          <w:rFonts w:ascii="Times New Roman" w:hAnsi="Times New Roman" w:cs="Times New Roman" w:eastAsia="Times New Roman" w:hint="default"/>
          <w:spacing w:val="-2"/>
        </w:rPr>
        <w:t>“</w:t>
      </w:r>
      <w:r>
        <w:rPr>
          <w:spacing w:val="-2"/>
        </w:rPr>
        <w:t>未分配利润</w:t>
      </w:r>
      <w:r>
        <w:rPr>
          <w:rFonts w:ascii="Times New Roman" w:hAnsi="Times New Roman" w:cs="Times New Roman" w:eastAsia="Times New Roman" w:hint="default"/>
          <w:spacing w:val="-2"/>
        </w:rPr>
        <w:t>”</w:t>
      </w:r>
      <w:r>
        <w:rPr>
          <w:spacing w:val="-2"/>
        </w:rPr>
        <w:t>项目外，其他项目</w:t>
      </w:r>
      <w:r>
        <w:rPr>
          <w:spacing w:val="-46"/>
        </w:rPr>
        <w:t> </w:t>
      </w:r>
      <w:r>
        <w:rPr>
          <w:spacing w:val="-46"/>
        </w:rPr>
      </w:r>
      <w:r>
        <w:rPr/>
        <w:t>采用发生时的即期汇率折算；</w:t>
      </w:r>
    </w:p>
    <w:p>
      <w:pPr>
        <w:pStyle w:val="BodyText"/>
        <w:spacing w:line="240" w:lineRule="auto" w:before="31"/>
        <w:ind w:right="0"/>
        <w:jc w:val="both"/>
      </w:pPr>
      <w:r>
        <w:rPr/>
        <w:t>②利润表中的收入和费用项目，采用按照系统合理的方法确定的、与交易发生日即期汇率近似的汇率折算；</w:t>
      </w:r>
    </w:p>
    <w:p>
      <w:pPr>
        <w:pStyle w:val="BodyText"/>
        <w:spacing w:line="240" w:lineRule="auto" w:before="116"/>
        <w:ind w:right="0"/>
        <w:jc w:val="both"/>
      </w:pPr>
      <w:r>
        <w:rPr/>
        <w:t>③按照上述①、②折算产生的外币财务报表折算差额，在资产负债表中所有者权益项目下单独列示。</w:t>
      </w:r>
    </w:p>
    <w:p>
      <w:pPr>
        <w:pStyle w:val="BodyText"/>
        <w:spacing w:line="338" w:lineRule="auto" w:before="116"/>
        <w:ind w:right="0"/>
        <w:jc w:val="left"/>
      </w:pPr>
      <w:r>
        <w:rPr/>
        <w:t>（4）公司对处于恶性通货膨胀经济中的境外经营的财务报表，按照下列方法进行折算： </w:t>
      </w:r>
      <w:r>
        <w:rPr>
          <w:spacing w:val="-2"/>
        </w:rPr>
        <w:t>对资产负债表项目运用一般物价指数予以重述，对利润表项目运用一般物价指数变动予以重述，再按照最近资产负债表日的</w:t>
      </w:r>
      <w:r>
        <w:rPr>
          <w:spacing w:val="-64"/>
        </w:rPr>
        <w:t> </w:t>
      </w:r>
      <w:r>
        <w:rPr>
          <w:spacing w:val="-64"/>
        </w:rPr>
      </w:r>
      <w:r>
        <w:rPr/>
        <w:t>即期汇率进行折算。</w:t>
      </w:r>
    </w:p>
    <w:p>
      <w:pPr>
        <w:pStyle w:val="BodyText"/>
        <w:spacing w:line="240" w:lineRule="auto" w:before="43"/>
        <w:ind w:right="0"/>
        <w:jc w:val="both"/>
      </w:pPr>
      <w:r>
        <w:rPr/>
        <w:t>在境外经营不再处于恶性通货膨胀经济中时，停止重述，按照停止之日的价格水平重述的财务报表进行折算。</w:t>
      </w:r>
    </w:p>
    <w:p>
      <w:pPr>
        <w:pStyle w:val="BodyText"/>
        <w:spacing w:line="316" w:lineRule="auto" w:before="116"/>
        <w:ind w:right="1128"/>
        <w:jc w:val="both"/>
      </w:pPr>
      <w:r>
        <w:rPr/>
        <w:t>（5）公司在处置境外经营时，将资产负债表中所有者权益项目下列示的、与该境外经营相关的外币财务报表折算差额，自</w:t>
      </w:r>
      <w:r>
        <w:rPr>
          <w:spacing w:val="-84"/>
        </w:rPr>
        <w:t> </w:t>
      </w:r>
      <w:r>
        <w:rPr>
          <w:spacing w:val="-84"/>
        </w:rPr>
      </w:r>
      <w:r>
        <w:rPr>
          <w:spacing w:val="-2"/>
        </w:rPr>
        <w:t>所有者权益项目转入处置当期损益；部分处置境外经营的，按处置的比例计算处置部分的外币财务报表折算差额，转入处置</w:t>
      </w:r>
      <w:r>
        <w:rPr>
          <w:spacing w:val="-67"/>
        </w:rPr>
        <w:t> </w:t>
      </w:r>
      <w:r>
        <w:rPr>
          <w:spacing w:val="-67"/>
        </w:rPr>
      </w:r>
      <w:r>
        <w:rPr/>
        <w:t>当期损益。</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Heading3"/>
        <w:spacing w:line="240" w:lineRule="auto" w:before="136"/>
        <w:ind w:right="0"/>
        <w:jc w:val="both"/>
        <w:rPr>
          <w:b w:val="0"/>
          <w:bCs w:val="0"/>
        </w:rPr>
      </w:pPr>
      <w:r>
        <w:rPr>
          <w:rFonts w:ascii="Times New Roman" w:hAnsi="Times New Roman" w:cs="Times New Roman" w:eastAsia="Times New Roman" w:hint="default"/>
        </w:rPr>
        <w:t>10</w:t>
      </w:r>
      <w:r>
        <w:rPr/>
        <w:t>、金融工具</w:t>
      </w:r>
      <w:r>
        <w:rPr>
          <w:b w:val="0"/>
          <w:bCs w:val="0"/>
        </w:rPr>
      </w:r>
    </w:p>
    <w:p>
      <w:pPr>
        <w:spacing w:line="240" w:lineRule="auto" w:before="6"/>
        <w:rPr>
          <w:rFonts w:ascii="宋体" w:hAnsi="宋体" w:cs="宋体" w:eastAsia="宋体" w:hint="default"/>
          <w:b/>
          <w:bCs/>
          <w:sz w:val="26"/>
          <w:szCs w:val="26"/>
        </w:rPr>
      </w:pPr>
    </w:p>
    <w:p>
      <w:pPr>
        <w:pStyle w:val="BodyText"/>
        <w:spacing w:line="316" w:lineRule="auto"/>
        <w:ind w:right="0"/>
        <w:jc w:val="left"/>
      </w:pPr>
      <w:r>
        <w:rPr>
          <w:spacing w:val="-2"/>
        </w:rPr>
        <w:t>金融工具，是指形成一方的金融资产并形成其他方的金融负债或权益工具的合同。当公司成为金融工具合同的一方时，确认</w:t>
      </w:r>
      <w:r>
        <w:rPr>
          <w:spacing w:val="-67"/>
        </w:rPr>
        <w:t> </w:t>
      </w:r>
      <w:r>
        <w:rPr>
          <w:spacing w:val="-67"/>
        </w:rPr>
      </w:r>
      <w:r>
        <w:rPr/>
        <w:t>相关的金融资产或金融负债。</w:t>
      </w:r>
    </w:p>
    <w:p>
      <w:pPr>
        <w:pStyle w:val="BodyText"/>
        <w:spacing w:line="240" w:lineRule="auto" w:before="59"/>
        <w:ind w:right="0"/>
        <w:jc w:val="both"/>
      </w:pPr>
      <w:r>
        <w:rPr/>
        <w:t>（1）金融资产</w:t>
      </w:r>
    </w:p>
    <w:p>
      <w:pPr>
        <w:pStyle w:val="BodyText"/>
        <w:spacing w:line="360" w:lineRule="auto" w:before="116"/>
        <w:ind w:right="3732"/>
        <w:jc w:val="left"/>
      </w:pPr>
      <w:r>
        <w:rPr/>
        <w:t>①分类和初始计量 公司根据管理金融资产的业务模式和金融资产的合同现金流量特征，将金融资产划分为： 以摊余成本计量的金融资产；</w:t>
      </w:r>
    </w:p>
    <w:p>
      <w:pPr>
        <w:pStyle w:val="BodyText"/>
        <w:spacing w:line="357" w:lineRule="auto" w:before="26"/>
        <w:ind w:right="6252"/>
        <w:jc w:val="left"/>
      </w:pPr>
      <w:r>
        <w:rPr/>
        <w:t>以公允价值计量且其变动计入其他综合收益的金融资产； 以公允价值计量且其变动计入当期损益的金融资产。</w:t>
      </w:r>
    </w:p>
    <w:p>
      <w:pPr>
        <w:pStyle w:val="BodyText"/>
        <w:spacing w:line="316" w:lineRule="auto" w:before="28"/>
        <w:ind w:right="1131"/>
        <w:jc w:val="both"/>
      </w:pPr>
      <w:r>
        <w:rPr>
          <w:spacing w:val="-2"/>
        </w:rPr>
        <w:t>金融资产在初始确认时以公允价值计量。对于以公允价值计量且其变动计入当期损益的金融资产，相关交易费用直接计入当</w:t>
      </w:r>
      <w:r>
        <w:rPr>
          <w:spacing w:val="-64"/>
        </w:rPr>
        <w:t> </w:t>
      </w:r>
      <w:r>
        <w:rPr>
          <w:spacing w:val="-64"/>
        </w:rPr>
      </w:r>
      <w:r>
        <w:rPr>
          <w:spacing w:val="-2"/>
        </w:rPr>
        <w:t>期损益；对于其他类别的金融资产，相关交易费用计入初始确认金额。因销售产品或提供劳务而产生的、未包含或不考虑重</w:t>
      </w:r>
      <w:r>
        <w:rPr>
          <w:spacing w:val="-68"/>
        </w:rPr>
        <w:t> </w:t>
      </w:r>
      <w:r>
        <w:rPr>
          <w:spacing w:val="-68"/>
        </w:rPr>
      </w:r>
      <w:r>
        <w:rPr/>
        <w:t>大融资成分的应收账款或应收票据，公司按照预期所有权收取的对价金额作为初始确认金额。</w:t>
      </w:r>
    </w:p>
    <w:p>
      <w:pPr>
        <w:spacing w:after="0" w:line="316" w:lineRule="auto"/>
        <w:jc w:val="both"/>
        <w:sectPr>
          <w:pgSz w:w="11910" w:h="16840"/>
          <w:pgMar w:header="906" w:footer="1018" w:top="1100" w:bottom="1200" w:left="10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6"/>
          <w:szCs w:val="16"/>
        </w:rPr>
      </w:pPr>
    </w:p>
    <w:p>
      <w:pPr>
        <w:pStyle w:val="BodyText"/>
        <w:spacing w:line="717" w:lineRule="auto" w:before="44"/>
        <w:ind w:right="2472"/>
        <w:jc w:val="left"/>
      </w:pPr>
      <w:r>
        <w:rPr>
          <w:rFonts w:ascii="宋体" w:hAnsi="宋体" w:cs="宋体" w:eastAsia="宋体" w:hint="default"/>
          <w:b/>
          <w:bCs/>
        </w:rPr>
        <w:t>债务工具</w:t>
      </w:r>
      <w:r>
        <w:rPr>
          <w:rFonts w:ascii="宋体" w:hAnsi="宋体" w:cs="宋体" w:eastAsia="宋体" w:hint="default"/>
          <w:b/>
          <w:bCs/>
          <w:w w:val="99"/>
        </w:rPr>
        <w:t> </w:t>
      </w:r>
      <w:r>
        <w:rPr/>
        <w:t>公司持有的债务工具是指从发行方角度分析符合金融负债定义的工具，分别采用以下三种方式进行计量：</w:t>
      </w:r>
    </w:p>
    <w:p>
      <w:pPr>
        <w:pStyle w:val="BodyText"/>
        <w:spacing w:line="338" w:lineRule="auto" w:before="110"/>
        <w:ind w:right="0"/>
        <w:jc w:val="left"/>
      </w:pPr>
      <w:r>
        <w:rPr/>
        <w:t>以摊余成本计量： </w:t>
      </w:r>
      <w:r>
        <w:rPr>
          <w:spacing w:val="-2"/>
        </w:rPr>
        <w:t>公司管理此类金融资产的业务模式为以收取合同现金流量为目标，且此类金融资产的合同现金流量特征与基本借贷安排相一</w:t>
      </w:r>
      <w:r>
        <w:rPr>
          <w:spacing w:val="-64"/>
        </w:rPr>
        <w:t> </w:t>
      </w:r>
      <w:r>
        <w:rPr>
          <w:spacing w:val="-64"/>
        </w:rPr>
      </w:r>
      <w:r>
        <w:rPr>
          <w:spacing w:val="-2"/>
        </w:rPr>
        <w:t>致，即在特定日期产生的现金流量，仅为对本金和以未偿付本金金额为基础的利息的支付。公司对于此类金融资产按照实际</w:t>
      </w:r>
    </w:p>
    <w:p>
      <w:pPr>
        <w:pStyle w:val="BodyText"/>
        <w:spacing w:line="316" w:lineRule="auto" w:before="2"/>
        <w:ind w:right="1128"/>
        <w:jc w:val="both"/>
      </w:pPr>
      <w:r>
        <w:rPr>
          <w:spacing w:val="-2"/>
        </w:rPr>
        <w:t>利率法确认利息收入。此类金融资产主要包括货币资金、应收票据及应收账款、其他应收款、债权投资和长期应收款等。公</w:t>
      </w:r>
      <w:r>
        <w:rPr>
          <w:spacing w:val="-66"/>
        </w:rPr>
        <w:t> </w:t>
      </w:r>
      <w:r>
        <w:rPr>
          <w:spacing w:val="-66"/>
        </w:rPr>
      </w:r>
      <w:r>
        <w:rPr>
          <w:spacing w:val="-2"/>
        </w:rPr>
        <w:t>司将自资产负债表日起一年内(含一年)到期的债权投资和长期应收款，列示为一年内到期的非流动资产；取得时期限在一年</w:t>
      </w:r>
      <w:r>
        <w:rPr>
          <w:spacing w:val="-62"/>
        </w:rPr>
        <w:t> </w:t>
      </w:r>
      <w:r>
        <w:rPr>
          <w:spacing w:val="-62"/>
        </w:rPr>
      </w:r>
      <w:r>
        <w:rPr/>
        <w:t>内(含一年)的债权投资列示为其他流动资产。</w:t>
      </w: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13"/>
          <w:szCs w:val="13"/>
        </w:rPr>
      </w:pPr>
    </w:p>
    <w:p>
      <w:pPr>
        <w:pStyle w:val="BodyText"/>
        <w:spacing w:line="338" w:lineRule="auto"/>
        <w:ind w:right="0"/>
        <w:jc w:val="left"/>
      </w:pPr>
      <w:r>
        <w:rPr/>
        <w:t>以公允价值计量且其变动计入其他综合收益： </w:t>
      </w:r>
      <w:r>
        <w:rPr>
          <w:spacing w:val="-2"/>
        </w:rPr>
        <w:t>公司管理此类金融资产的业务模式为既以收取合同现金流量为目标又以出售为目标，且此类金融资产的合同现金流量特征与</w:t>
      </w:r>
      <w:r>
        <w:rPr>
          <w:spacing w:val="-64"/>
        </w:rPr>
        <w:t> </w:t>
      </w:r>
      <w:r>
        <w:rPr>
          <w:spacing w:val="-64"/>
        </w:rPr>
      </w:r>
      <w:r>
        <w:rPr>
          <w:spacing w:val="-2"/>
        </w:rPr>
        <w:t>基本借贷安排相一致。此类金融资产按照公允价值计量且其变动计入其他综合收益，但减值损失或利得、汇兑损益和按照实</w:t>
      </w:r>
    </w:p>
    <w:p>
      <w:pPr>
        <w:pStyle w:val="BodyText"/>
        <w:spacing w:line="319" w:lineRule="auto" w:before="2"/>
        <w:ind w:right="0"/>
        <w:jc w:val="left"/>
      </w:pPr>
      <w:r>
        <w:rPr>
          <w:spacing w:val="-2"/>
        </w:rPr>
        <w:t>际利率法计算的利息收入计入当期损益。此类金融资产列示为其他债权投资，自资产负债表日起一年内(含一年)到期的其他</w:t>
      </w:r>
      <w:r>
        <w:rPr>
          <w:spacing w:val="-62"/>
        </w:rPr>
        <w:t> </w:t>
      </w:r>
      <w:r>
        <w:rPr>
          <w:spacing w:val="-62"/>
        </w:rPr>
      </w:r>
      <w:r>
        <w:rPr/>
        <w:t>债权投资，列示为一年内到期的非流动资产；取得时期限在一年内(含一年)的其他债权投资列示为其他流动资产。</w:t>
      </w: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13"/>
          <w:szCs w:val="13"/>
        </w:rPr>
      </w:pPr>
    </w:p>
    <w:p>
      <w:pPr>
        <w:pStyle w:val="BodyText"/>
        <w:spacing w:line="338" w:lineRule="auto"/>
        <w:ind w:right="0"/>
        <w:jc w:val="left"/>
      </w:pPr>
      <w:r>
        <w:rPr/>
        <w:t>以公允价值计量且其变动计入当期损益： </w:t>
      </w:r>
      <w:r>
        <w:rPr>
          <w:spacing w:val="-2"/>
        </w:rPr>
        <w:t>公司将持有的未划分为以摊余成本计量和以公允价值计量且其变动计入其他综合收益的债务工具，以公允价值计量且其变动</w:t>
      </w:r>
      <w:r>
        <w:rPr>
          <w:spacing w:val="-64"/>
        </w:rPr>
        <w:t> </w:t>
      </w:r>
      <w:r>
        <w:rPr>
          <w:spacing w:val="-64"/>
        </w:rPr>
      </w:r>
      <w:r>
        <w:rPr>
          <w:spacing w:val="-2"/>
        </w:rPr>
        <w:t>计入当期损益，列示为交易性金融资产。自资产负债表日起超过一年到期且预期持有超过一年的，列示为其他非流动金融资</w:t>
      </w:r>
    </w:p>
    <w:p>
      <w:pPr>
        <w:spacing w:line="717" w:lineRule="auto" w:before="2"/>
        <w:ind w:left="113" w:right="10029" w:firstLine="0"/>
        <w:jc w:val="left"/>
        <w:rPr>
          <w:rFonts w:ascii="宋体" w:hAnsi="宋体" w:cs="宋体" w:eastAsia="宋体" w:hint="default"/>
          <w:sz w:val="18"/>
          <w:szCs w:val="18"/>
        </w:rPr>
      </w:pPr>
      <w:r>
        <w:rPr>
          <w:rFonts w:ascii="宋体" w:hAnsi="宋体" w:cs="宋体" w:eastAsia="宋体" w:hint="default"/>
          <w:sz w:val="18"/>
          <w:szCs w:val="18"/>
        </w:rPr>
        <w:t>产。 </w:t>
      </w:r>
      <w:r>
        <w:rPr>
          <w:rFonts w:ascii="宋体" w:hAnsi="宋体" w:cs="宋体" w:eastAsia="宋体" w:hint="default"/>
          <w:b/>
          <w:bCs/>
          <w:sz w:val="18"/>
          <w:szCs w:val="18"/>
        </w:rPr>
        <w:t>权益工具</w:t>
      </w:r>
      <w:r>
        <w:rPr>
          <w:rFonts w:ascii="宋体" w:hAnsi="宋体" w:cs="宋体" w:eastAsia="宋体" w:hint="default"/>
          <w:sz w:val="18"/>
          <w:szCs w:val="18"/>
        </w:rPr>
      </w:r>
    </w:p>
    <w:p>
      <w:pPr>
        <w:pStyle w:val="BodyText"/>
        <w:spacing w:line="319" w:lineRule="auto" w:before="110"/>
        <w:ind w:right="0"/>
        <w:jc w:val="left"/>
      </w:pPr>
      <w:r>
        <w:rPr>
          <w:spacing w:val="-2"/>
        </w:rPr>
        <w:t>公司将对其没有控制、共同控制和重大影响的权益工具投资按照公允价值计量且其变动计入当期损益，列示为交易性金融资</w:t>
      </w:r>
      <w:r>
        <w:rPr>
          <w:spacing w:val="-64"/>
        </w:rPr>
        <w:t> </w:t>
      </w:r>
      <w:r>
        <w:rPr>
          <w:spacing w:val="-64"/>
        </w:rPr>
      </w:r>
      <w:r>
        <w:rPr/>
        <w:t>产；自资产负债表日起预期持有超过一年的，列示为其他非流动金融资产。</w:t>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13"/>
          <w:szCs w:val="13"/>
        </w:rPr>
      </w:pPr>
    </w:p>
    <w:p>
      <w:pPr>
        <w:pStyle w:val="BodyText"/>
        <w:spacing w:line="316" w:lineRule="auto"/>
        <w:ind w:right="0"/>
        <w:jc w:val="left"/>
      </w:pPr>
      <w:r>
        <w:rPr>
          <w:spacing w:val="-2"/>
        </w:rPr>
        <w:t>此外，公司将部分非交易性权益工具投资指定为以公允价值计量且其变动计入其他综合收益的金融资产，列示为其他权益工</w:t>
      </w:r>
      <w:r>
        <w:rPr>
          <w:spacing w:val="-64"/>
        </w:rPr>
        <w:t> </w:t>
      </w:r>
      <w:r>
        <w:rPr>
          <w:spacing w:val="-64"/>
        </w:rPr>
      </w:r>
      <w:r>
        <w:rPr/>
        <w:t>具投资。该类金融资产的相关股利收入计入当期损益。</w:t>
      </w: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13"/>
          <w:szCs w:val="13"/>
        </w:rPr>
      </w:pPr>
    </w:p>
    <w:p>
      <w:pPr>
        <w:pStyle w:val="BodyText"/>
        <w:spacing w:line="338" w:lineRule="auto"/>
        <w:ind w:right="1032"/>
        <w:jc w:val="left"/>
      </w:pPr>
      <w:r>
        <w:rPr/>
        <w:t>②减值 </w:t>
      </w:r>
      <w:r>
        <w:rPr>
          <w:spacing w:val="-2"/>
        </w:rPr>
        <w:t>公司对于以摊余成本计量的金融资产、以公允价值计量且其变动计入其他综合收益的债务工具投资和财务担保合同等，以预</w:t>
      </w:r>
      <w:r>
        <w:rPr>
          <w:spacing w:val="-64"/>
        </w:rPr>
        <w:t> </w:t>
      </w:r>
      <w:r>
        <w:rPr>
          <w:spacing w:val="-64"/>
        </w:rPr>
      </w:r>
      <w:r>
        <w:rPr>
          <w:spacing w:val="-2"/>
        </w:rPr>
        <w:t>期信用损失为基础确认损失准备。公司考虑有关过去事项、当前状况以及对未来经济状况的预测等合理且有依据的信息，以</w:t>
      </w:r>
    </w:p>
    <w:p>
      <w:pPr>
        <w:pStyle w:val="BodyText"/>
        <w:spacing w:line="319" w:lineRule="auto" w:before="2"/>
        <w:ind w:right="1032"/>
        <w:jc w:val="left"/>
      </w:pPr>
      <w:r>
        <w:rPr>
          <w:spacing w:val="-2"/>
        </w:rPr>
        <w:t>发生违约的风险为权重，计算合同应收的现金流量与预期能收到的现金流量之间差额的现值的概率加权金额，确认预期信用</w:t>
      </w:r>
      <w:r>
        <w:rPr>
          <w:spacing w:val="-64"/>
        </w:rPr>
        <w:t> </w:t>
      </w:r>
      <w:r>
        <w:rPr>
          <w:spacing w:val="-64"/>
        </w:rPr>
      </w:r>
      <w:r>
        <w:rPr/>
        <w:t>损失。</w:t>
      </w: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13"/>
          <w:szCs w:val="13"/>
        </w:rPr>
      </w:pPr>
    </w:p>
    <w:p>
      <w:pPr>
        <w:pStyle w:val="BodyText"/>
        <w:spacing w:line="316" w:lineRule="auto"/>
        <w:ind w:right="1129"/>
        <w:jc w:val="both"/>
      </w:pPr>
      <w:r>
        <w:rPr>
          <w:spacing w:val="-2"/>
        </w:rPr>
        <w:t>于每个资产负债表日，公司对于处于不同阶段的金融工具的预期信用损失分别进行计量。金融工具自初始确认后信用风险未</w:t>
      </w:r>
      <w:r>
        <w:rPr>
          <w:spacing w:val="-64"/>
        </w:rPr>
        <w:t> </w:t>
      </w:r>
      <w:r>
        <w:rPr>
          <w:spacing w:val="-64"/>
        </w:rPr>
      </w:r>
      <w:r>
        <w:rPr/>
        <w:t>显著增加的，处于第一阶段，公司按照未来12</w:t>
      </w:r>
      <w:r>
        <w:rPr>
          <w:spacing w:val="2"/>
        </w:rPr>
        <w:t> </w:t>
      </w:r>
      <w:r>
        <w:rPr/>
        <w:t>个月内的预期信用损失计量损失准备；金融工具自初始确认后信用风险已显</w:t>
      </w:r>
      <w:r>
        <w:rPr/>
        <w:t> </w:t>
      </w:r>
      <w:r>
        <w:rPr>
          <w:spacing w:val="-2"/>
        </w:rPr>
        <w:t>著增加但尚未发生信用减值的，处于第二阶段，公司按照该工具整个存续期的预期信用损失计量损失准备；金融工具自初始</w:t>
      </w:r>
    </w:p>
    <w:p>
      <w:pPr>
        <w:spacing w:after="0" w:line="316" w:lineRule="auto"/>
        <w:jc w:val="both"/>
        <w:sectPr>
          <w:pgSz w:w="11910" w:h="16840"/>
          <w:pgMar w:header="906" w:footer="1018" w:top="1100" w:bottom="1200" w:left="1020" w:right="0"/>
        </w:sectPr>
      </w:pPr>
    </w:p>
    <w:p>
      <w:pPr>
        <w:spacing w:line="240" w:lineRule="auto" w:before="11"/>
        <w:rPr>
          <w:rFonts w:ascii="宋体" w:hAnsi="宋体" w:cs="宋体" w:eastAsia="宋体" w:hint="default"/>
          <w:sz w:val="22"/>
          <w:szCs w:val="22"/>
        </w:rPr>
      </w:pPr>
    </w:p>
    <w:p>
      <w:pPr>
        <w:pStyle w:val="BodyText"/>
        <w:spacing w:line="240" w:lineRule="auto" w:before="44"/>
        <w:ind w:right="0"/>
        <w:jc w:val="left"/>
      </w:pPr>
      <w:r>
        <w:rPr/>
        <w:t>确认后已经发生信用减值的，处于第三阶段，公司按照该工具整个存续期的预期信用损失计量损失准备。</w:t>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7"/>
          <w:szCs w:val="17"/>
        </w:rPr>
      </w:pPr>
    </w:p>
    <w:p>
      <w:pPr>
        <w:pStyle w:val="BodyText"/>
        <w:spacing w:line="316" w:lineRule="auto"/>
        <w:ind w:right="1120"/>
        <w:jc w:val="left"/>
      </w:pPr>
      <w:r>
        <w:rPr/>
        <w:t>对于在资产负债表日具有较低信用风险的金融工具，公司假设其信用风险自初始确认后并未显著增加，按照未来12</w:t>
      </w:r>
      <w:r>
        <w:rPr>
          <w:spacing w:val="2"/>
        </w:rPr>
        <w:t> </w:t>
      </w:r>
      <w:r>
        <w:rPr/>
        <w:t>个月内</w:t>
      </w:r>
      <w:r>
        <w:rPr/>
        <w:t> 的预期信用损失计量损失准备。</w:t>
      </w:r>
    </w:p>
    <w:p>
      <w:pPr>
        <w:spacing w:line="240" w:lineRule="auto" w:before="0"/>
        <w:rPr>
          <w:rFonts w:ascii="宋体" w:hAnsi="宋体" w:cs="宋体" w:eastAsia="宋体" w:hint="default"/>
          <w:sz w:val="18"/>
          <w:szCs w:val="18"/>
        </w:rPr>
      </w:pPr>
    </w:p>
    <w:p>
      <w:pPr>
        <w:spacing w:line="240" w:lineRule="auto" w:before="5"/>
        <w:rPr>
          <w:rFonts w:ascii="宋体" w:hAnsi="宋体" w:cs="宋体" w:eastAsia="宋体" w:hint="default"/>
          <w:sz w:val="13"/>
          <w:szCs w:val="13"/>
        </w:rPr>
      </w:pPr>
    </w:p>
    <w:p>
      <w:pPr>
        <w:pStyle w:val="BodyText"/>
        <w:spacing w:line="319" w:lineRule="auto"/>
        <w:ind w:right="0"/>
        <w:jc w:val="left"/>
      </w:pPr>
      <w:r>
        <w:rPr>
          <w:spacing w:val="-2"/>
        </w:rPr>
        <w:t>公司对于处于第一阶段和第二阶段、以及较低信用风险的金融工具，按照其未扣除减值准备的账面余额和实际利率计算利息</w:t>
      </w:r>
      <w:r>
        <w:rPr>
          <w:spacing w:val="-64"/>
        </w:rPr>
        <w:t> </w:t>
      </w:r>
      <w:r>
        <w:rPr>
          <w:spacing w:val="-64"/>
        </w:rPr>
      </w:r>
      <w:r>
        <w:rPr/>
        <w:t>收入。对于处于第三阶段的金融工具，按照其账面余额减已计提减值准备后的摊余成本和实际利率计算利息收入。</w:t>
      </w: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13"/>
          <w:szCs w:val="13"/>
        </w:rPr>
      </w:pPr>
    </w:p>
    <w:p>
      <w:pPr>
        <w:pStyle w:val="BodyText"/>
        <w:spacing w:line="338" w:lineRule="auto"/>
        <w:ind w:right="0"/>
        <w:jc w:val="left"/>
      </w:pPr>
      <w:r>
        <w:rPr>
          <w:spacing w:val="-2"/>
        </w:rPr>
        <w:t>对于因销售商品、提供劳务等日常经营活动形成的应收票据、应收账款和应收款项融资，无论是否存在重大融资成分，公司</w:t>
      </w:r>
      <w:r>
        <w:rPr>
          <w:spacing w:val="-68"/>
        </w:rPr>
        <w:t> </w:t>
      </w:r>
      <w:r>
        <w:rPr>
          <w:spacing w:val="-68"/>
        </w:rPr>
      </w:r>
      <w:r>
        <w:rPr/>
        <w:t>均可以按照整个存续期的预期信用损失计量损失准备。</w:t>
      </w:r>
      <w:r>
        <w:rPr/>
        <w:t> </w:t>
      </w:r>
      <w:r>
        <w:rPr>
          <w:spacing w:val="-4"/>
        </w:rPr>
        <w:t>因预付账款无法收回转入的其他应收款，公司作为处于第三阶段的金融工具，按照整个存续期的预期信用损失计量损失准备。</w:t>
      </w:r>
    </w:p>
    <w:p>
      <w:pPr>
        <w:pStyle w:val="BodyText"/>
        <w:spacing w:line="319" w:lineRule="auto" w:before="42"/>
        <w:ind w:right="0"/>
        <w:jc w:val="left"/>
      </w:pPr>
      <w:r>
        <w:rPr>
          <w:spacing w:val="-2"/>
        </w:rPr>
        <w:t>当单项金融资产无法以合理成本评估预期信用损失的信息时，公司依据信用风险特征将应收款项划分为若干组合，在组合基</w:t>
      </w:r>
      <w:r>
        <w:rPr>
          <w:spacing w:val="-64"/>
        </w:rPr>
        <w:t> </w:t>
      </w:r>
      <w:r>
        <w:rPr>
          <w:spacing w:val="-64"/>
        </w:rPr>
      </w:r>
      <w:r>
        <w:rPr/>
        <w:t>础上计算预期信用损失，确定组合的依据如下：</w:t>
      </w:r>
    </w:p>
    <w:p>
      <w:pPr>
        <w:spacing w:line="240" w:lineRule="auto" w:before="8"/>
        <w:rPr>
          <w:rFonts w:ascii="宋体" w:hAnsi="宋体" w:cs="宋体" w:eastAsia="宋体" w:hint="default"/>
          <w:sz w:val="3"/>
          <w:szCs w:val="3"/>
        </w:rPr>
      </w:pPr>
    </w:p>
    <w:tbl>
      <w:tblPr>
        <w:tblW w:w="0" w:type="auto"/>
        <w:jc w:val="left"/>
        <w:tblInd w:w="106" w:type="dxa"/>
        <w:tblLayout w:type="fixed"/>
        <w:tblCellMar>
          <w:top w:w="0" w:type="dxa"/>
          <w:left w:w="0" w:type="dxa"/>
          <w:bottom w:w="0" w:type="dxa"/>
          <w:right w:w="0" w:type="dxa"/>
        </w:tblCellMar>
        <w:tblLook w:val="01E0"/>
      </w:tblPr>
      <w:tblGrid>
        <w:gridCol w:w="3110"/>
        <w:gridCol w:w="6584"/>
      </w:tblGrid>
      <w:tr>
        <w:trPr>
          <w:trHeight w:val="427" w:hRule="exact"/>
        </w:trPr>
        <w:tc>
          <w:tcPr>
            <w:tcW w:w="31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组合一</w:t>
            </w:r>
          </w:p>
        </w:tc>
        <w:tc>
          <w:tcPr>
            <w:tcW w:w="6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宋体" w:hAnsi="宋体" w:cs="宋体" w:eastAsia="宋体" w:hint="default"/>
                <w:sz w:val="18"/>
                <w:szCs w:val="18"/>
              </w:rPr>
            </w:pPr>
            <w:r>
              <w:rPr>
                <w:rFonts w:ascii="宋体" w:hAnsi="宋体" w:cs="宋体" w:eastAsia="宋体" w:hint="default"/>
                <w:sz w:val="18"/>
                <w:szCs w:val="18"/>
              </w:rPr>
              <w:t>银行承兑汇票</w:t>
            </w:r>
          </w:p>
        </w:tc>
      </w:tr>
      <w:tr>
        <w:trPr>
          <w:trHeight w:val="427" w:hRule="exact"/>
        </w:trPr>
        <w:tc>
          <w:tcPr>
            <w:tcW w:w="31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组合二</w:t>
            </w:r>
          </w:p>
        </w:tc>
        <w:tc>
          <w:tcPr>
            <w:tcW w:w="6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宋体" w:hAnsi="宋体" w:cs="宋体" w:eastAsia="宋体" w:hint="default"/>
                <w:sz w:val="18"/>
                <w:szCs w:val="18"/>
              </w:rPr>
            </w:pPr>
            <w:r>
              <w:rPr>
                <w:rFonts w:ascii="宋体" w:hAnsi="宋体" w:cs="宋体" w:eastAsia="宋体" w:hint="default"/>
                <w:sz w:val="18"/>
                <w:szCs w:val="18"/>
              </w:rPr>
              <w:t>应收合并范围内公司款项</w:t>
            </w:r>
          </w:p>
        </w:tc>
      </w:tr>
      <w:tr>
        <w:trPr>
          <w:trHeight w:val="427" w:hRule="exact"/>
        </w:trPr>
        <w:tc>
          <w:tcPr>
            <w:tcW w:w="31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组合三</w:t>
            </w:r>
          </w:p>
        </w:tc>
        <w:tc>
          <w:tcPr>
            <w:tcW w:w="6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宋体" w:hAnsi="宋体" w:cs="宋体" w:eastAsia="宋体" w:hint="default"/>
                <w:sz w:val="18"/>
                <w:szCs w:val="18"/>
              </w:rPr>
            </w:pPr>
            <w:r>
              <w:rPr>
                <w:rFonts w:ascii="宋体" w:hAnsi="宋体" w:cs="宋体" w:eastAsia="宋体" w:hint="default"/>
                <w:sz w:val="18"/>
                <w:szCs w:val="18"/>
              </w:rPr>
              <w:t>按行业类型及客户信用等级组合分类的客户</w:t>
            </w:r>
          </w:p>
        </w:tc>
      </w:tr>
      <w:tr>
        <w:trPr>
          <w:trHeight w:val="427" w:hRule="exact"/>
        </w:trPr>
        <w:tc>
          <w:tcPr>
            <w:tcW w:w="31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组合四</w:t>
            </w:r>
          </w:p>
        </w:tc>
        <w:tc>
          <w:tcPr>
            <w:tcW w:w="6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宋体" w:hAnsi="宋体" w:cs="宋体" w:eastAsia="宋体" w:hint="default"/>
                <w:sz w:val="18"/>
                <w:szCs w:val="18"/>
              </w:rPr>
            </w:pPr>
            <w:r>
              <w:rPr>
                <w:rFonts w:ascii="宋体" w:hAnsi="宋体" w:cs="宋体" w:eastAsia="宋体" w:hint="default"/>
                <w:sz w:val="18"/>
                <w:szCs w:val="18"/>
              </w:rPr>
              <w:t>其他应收款项</w:t>
            </w:r>
          </w:p>
        </w:tc>
      </w:tr>
    </w:tbl>
    <w:p>
      <w:pPr>
        <w:spacing w:line="240" w:lineRule="auto" w:before="5"/>
        <w:rPr>
          <w:rFonts w:ascii="宋体" w:hAnsi="宋体" w:cs="宋体" w:eastAsia="宋体" w:hint="default"/>
          <w:sz w:val="27"/>
          <w:szCs w:val="27"/>
        </w:rPr>
      </w:pPr>
    </w:p>
    <w:p>
      <w:pPr>
        <w:pStyle w:val="BodyText"/>
        <w:spacing w:line="319" w:lineRule="auto" w:before="44"/>
        <w:ind w:right="0"/>
        <w:jc w:val="left"/>
      </w:pPr>
      <w:r>
        <w:rPr>
          <w:spacing w:val="-2"/>
        </w:rPr>
        <w:t>对于划分为组合的应收账款，公司参考历史信用损失经验，结合当前状况以及对未来经济状况的预测，编制应收账款客户信</w:t>
      </w:r>
      <w:r>
        <w:rPr>
          <w:spacing w:val="-65"/>
        </w:rPr>
        <w:t> </w:t>
      </w:r>
      <w:r>
        <w:rPr>
          <w:spacing w:val="-65"/>
        </w:rPr>
      </w:r>
      <w:r>
        <w:rPr/>
        <w:t>用等级与整个存续预期信用损失率对照表，计算预期信用损失。</w:t>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13"/>
          <w:szCs w:val="13"/>
        </w:rPr>
      </w:pPr>
    </w:p>
    <w:p>
      <w:pPr>
        <w:pStyle w:val="BodyText"/>
        <w:spacing w:line="316" w:lineRule="auto"/>
        <w:ind w:right="1129"/>
        <w:jc w:val="both"/>
      </w:pPr>
      <w:r>
        <w:rPr>
          <w:spacing w:val="-2"/>
        </w:rPr>
        <w:t>对于划分为组合的因销售商品、提供劳务等日常经营活动形成的应收票据和应收款项融资，公司参考历史信用损失经验，结</w:t>
      </w:r>
      <w:r>
        <w:rPr>
          <w:spacing w:val="-66"/>
        </w:rPr>
        <w:t> </w:t>
      </w:r>
      <w:r>
        <w:rPr>
          <w:spacing w:val="-66"/>
        </w:rPr>
      </w:r>
      <w:r>
        <w:rPr>
          <w:spacing w:val="-2"/>
        </w:rPr>
        <w:t>合当前状况以及对未来经济状况的预测，通过违约风险敞口和整个存续期预期信用损失率，计算预期信用损失。除此以外的</w:t>
      </w:r>
      <w:r>
        <w:rPr>
          <w:spacing w:val="-67"/>
        </w:rPr>
        <w:t> </w:t>
      </w:r>
      <w:r>
        <w:rPr>
          <w:spacing w:val="-67"/>
        </w:rPr>
      </w:r>
      <w:r>
        <w:rPr>
          <w:spacing w:val="-2"/>
        </w:rPr>
        <w:t>应收票据、应收款项融资和划分为组合的其他应收款，公司参考历史信用损失经验，结合当前状况以及对未来经济状况的预</w:t>
      </w:r>
      <w:r>
        <w:rPr>
          <w:spacing w:val="-64"/>
        </w:rPr>
        <w:t> </w:t>
      </w:r>
      <w:r>
        <w:rPr>
          <w:spacing w:val="-64"/>
        </w:rPr>
      </w:r>
      <w:r>
        <w:rPr/>
        <w:t>测，通过违约风险敞口和未来12个月内或整个存续期预期信用损失率，计算预期信用损失。</w:t>
      </w:r>
    </w:p>
    <w:p>
      <w:pPr>
        <w:spacing w:line="240" w:lineRule="auto" w:before="0"/>
        <w:rPr>
          <w:rFonts w:ascii="宋体" w:hAnsi="宋体" w:cs="宋体" w:eastAsia="宋体" w:hint="default"/>
          <w:sz w:val="18"/>
          <w:szCs w:val="18"/>
        </w:rPr>
      </w:pPr>
    </w:p>
    <w:p>
      <w:pPr>
        <w:spacing w:line="240" w:lineRule="auto" w:before="5"/>
        <w:rPr>
          <w:rFonts w:ascii="宋体" w:hAnsi="宋体" w:cs="宋体" w:eastAsia="宋体" w:hint="default"/>
          <w:sz w:val="13"/>
          <w:szCs w:val="13"/>
        </w:rPr>
      </w:pPr>
    </w:p>
    <w:p>
      <w:pPr>
        <w:pStyle w:val="BodyText"/>
        <w:spacing w:line="240" w:lineRule="auto"/>
        <w:ind w:right="0"/>
        <w:jc w:val="left"/>
      </w:pPr>
      <w:r>
        <w:rPr/>
        <w:t>公司将计提或转回的损失准备计入当期损益。</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7"/>
          <w:szCs w:val="17"/>
        </w:rPr>
      </w:pPr>
    </w:p>
    <w:p>
      <w:pPr>
        <w:pStyle w:val="BodyText"/>
        <w:spacing w:line="338" w:lineRule="auto"/>
        <w:ind w:right="1122"/>
        <w:jc w:val="left"/>
      </w:pPr>
      <w:r>
        <w:rPr/>
        <w:t>③终止确认 </w:t>
      </w:r>
      <w:r>
        <w:rPr>
          <w:spacing w:val="-2"/>
        </w:rPr>
        <w:t>金融资产满足下列条件之一的，予以终止确认：(1)收取该金融资产现金流量的合同权利终止；(2)该金融资产已转移，且公</w:t>
      </w:r>
      <w:r>
        <w:rPr>
          <w:spacing w:val="-60"/>
        </w:rPr>
        <w:t> </w:t>
      </w:r>
      <w:r>
        <w:rPr>
          <w:spacing w:val="-60"/>
        </w:rPr>
      </w:r>
      <w:r>
        <w:rPr/>
        <w:t>司将金融资产所有权上几乎所有的风险和报酬转移给转入方；(3)该金融资产已转移，虽然公司既没有转移也没有保留金融</w:t>
      </w:r>
    </w:p>
    <w:p>
      <w:pPr>
        <w:pStyle w:val="BodyText"/>
        <w:spacing w:line="240" w:lineRule="auto" w:before="2"/>
        <w:ind w:right="0"/>
        <w:jc w:val="left"/>
      </w:pPr>
      <w:r>
        <w:rPr/>
        <w:t>资产所有权上几乎所有的风险和报酬，但是放弃了对该金融资产控制。</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7"/>
          <w:szCs w:val="17"/>
        </w:rPr>
      </w:pPr>
    </w:p>
    <w:p>
      <w:pPr>
        <w:pStyle w:val="BodyText"/>
        <w:spacing w:line="316" w:lineRule="auto"/>
        <w:ind w:right="1032"/>
        <w:jc w:val="left"/>
      </w:pPr>
      <w:r>
        <w:rPr/>
        <w:t>其他权益工具投资终止确认时，其账面价值与收到的对价以及原直接计入其他综合收益的公允价值变动累计额之和的差额， </w:t>
      </w:r>
      <w:r>
        <w:rPr>
          <w:spacing w:val="-2"/>
        </w:rPr>
        <w:t>计入留存收益；其余金融资产终止确认时，其账面价值与收到的对价以及原直接计入其他综合收益的公允价值变动累计额之</w:t>
      </w:r>
      <w:r>
        <w:rPr>
          <w:spacing w:val="-64"/>
        </w:rPr>
        <w:t> </w:t>
      </w:r>
      <w:r>
        <w:rPr>
          <w:spacing w:val="-64"/>
        </w:rPr>
      </w:r>
      <w:r>
        <w:rPr/>
        <w:t>和的差额，计入当期损益。</w:t>
      </w:r>
    </w:p>
    <w:p>
      <w:pPr>
        <w:spacing w:line="240" w:lineRule="auto" w:before="0"/>
        <w:rPr>
          <w:rFonts w:ascii="宋体" w:hAnsi="宋体" w:cs="宋体" w:eastAsia="宋体" w:hint="default"/>
          <w:sz w:val="18"/>
          <w:szCs w:val="18"/>
        </w:rPr>
      </w:pPr>
    </w:p>
    <w:p>
      <w:pPr>
        <w:spacing w:line="240" w:lineRule="auto" w:before="5"/>
        <w:rPr>
          <w:rFonts w:ascii="宋体" w:hAnsi="宋体" w:cs="宋体" w:eastAsia="宋体" w:hint="default"/>
          <w:sz w:val="13"/>
          <w:szCs w:val="13"/>
        </w:rPr>
      </w:pPr>
    </w:p>
    <w:p>
      <w:pPr>
        <w:pStyle w:val="BodyText"/>
        <w:spacing w:line="338" w:lineRule="auto"/>
        <w:ind w:right="1032"/>
        <w:jc w:val="left"/>
      </w:pPr>
      <w:r>
        <w:rPr/>
        <w:t>④核销 </w:t>
      </w:r>
      <w:r>
        <w:rPr>
          <w:spacing w:val="-2"/>
        </w:rPr>
        <w:t>如果公司及其子公司不再合理预期金融资产合同现金流量能够全部或部分收回，则直接减记该金融资产的账面余额。这种减</w:t>
      </w:r>
      <w:r>
        <w:rPr>
          <w:spacing w:val="-64"/>
        </w:rPr>
        <w:t> </w:t>
      </w:r>
      <w:r>
        <w:rPr>
          <w:spacing w:val="-64"/>
        </w:rPr>
      </w:r>
      <w:r>
        <w:rPr>
          <w:spacing w:val="-2"/>
        </w:rPr>
        <w:t>记构成相关金融资产的终止确认。这种情况通常发生在公司及其子公司确定债务人没有资产或收入来源可产生足够的现金流</w:t>
      </w:r>
    </w:p>
    <w:p>
      <w:pPr>
        <w:spacing w:after="0" w:line="338" w:lineRule="auto"/>
        <w:jc w:val="left"/>
        <w:sectPr>
          <w:pgSz w:w="11910" w:h="16840"/>
          <w:pgMar w:header="906" w:footer="1018" w:top="1100" w:bottom="1200" w:left="1020" w:right="0"/>
        </w:sectPr>
      </w:pPr>
    </w:p>
    <w:p>
      <w:pPr>
        <w:spacing w:line="240" w:lineRule="auto" w:before="11"/>
        <w:rPr>
          <w:rFonts w:ascii="宋体" w:hAnsi="宋体" w:cs="宋体" w:eastAsia="宋体" w:hint="default"/>
          <w:sz w:val="22"/>
          <w:szCs w:val="22"/>
        </w:rPr>
      </w:pPr>
    </w:p>
    <w:p>
      <w:pPr>
        <w:pStyle w:val="BodyText"/>
        <w:spacing w:line="357" w:lineRule="auto" w:before="44"/>
        <w:ind w:right="1041"/>
        <w:jc w:val="both"/>
      </w:pPr>
      <w:r>
        <w:rPr>
          <w:spacing w:val="-4"/>
        </w:rPr>
        <w:t>量以偿还将被减记的金额。但是，按照公司及其子公司收回到期款项的程序，被减记的金融资产仍可能受到执行活动的影响。</w:t>
      </w:r>
      <w:r>
        <w:rPr>
          <w:spacing w:val="-44"/>
        </w:rPr>
        <w:t> </w:t>
      </w:r>
      <w:r>
        <w:rPr>
          <w:spacing w:val="-44"/>
        </w:rPr>
      </w:r>
      <w:r>
        <w:rPr/>
        <w:t>已减记的金融资产以后又收回的，作为减值损失的转回计入收回当期的损益。</w:t>
      </w:r>
    </w:p>
    <w:p>
      <w:pPr>
        <w:spacing w:line="240" w:lineRule="auto" w:before="0"/>
        <w:rPr>
          <w:rFonts w:ascii="宋体" w:hAnsi="宋体" w:cs="宋体" w:eastAsia="宋体" w:hint="default"/>
          <w:sz w:val="18"/>
          <w:szCs w:val="18"/>
        </w:rPr>
      </w:pPr>
    </w:p>
    <w:p>
      <w:pPr>
        <w:pStyle w:val="BodyText"/>
        <w:spacing w:line="357" w:lineRule="auto" w:before="145"/>
        <w:ind w:right="1932"/>
        <w:jc w:val="left"/>
      </w:pPr>
      <w:r>
        <w:rPr/>
        <w:t>(2) 金融负债 金融负债于初始确认时分类为以摊余成本计量的金融负债和以公允价值计量且其变动计入当期损益的金融负债。</w:t>
      </w:r>
    </w:p>
    <w:p>
      <w:pPr>
        <w:spacing w:line="240" w:lineRule="auto" w:before="0"/>
        <w:rPr>
          <w:rFonts w:ascii="宋体" w:hAnsi="宋体" w:cs="宋体" w:eastAsia="宋体" w:hint="default"/>
          <w:sz w:val="18"/>
          <w:szCs w:val="18"/>
        </w:rPr>
      </w:pPr>
    </w:p>
    <w:p>
      <w:pPr>
        <w:pStyle w:val="BodyText"/>
        <w:spacing w:line="240" w:lineRule="auto" w:before="145"/>
        <w:ind w:right="0"/>
        <w:jc w:val="both"/>
      </w:pPr>
      <w:r>
        <w:rPr/>
        <w:t>除下列各项外，公司将金融负债分类为以摊余成本计量的金融负债：</w:t>
      </w:r>
    </w:p>
    <w:p>
      <w:pPr>
        <w:pStyle w:val="BodyText"/>
        <w:spacing w:line="316" w:lineRule="auto" w:before="116"/>
        <w:ind w:right="1131"/>
        <w:jc w:val="both"/>
      </w:pPr>
      <w:r>
        <w:rPr>
          <w:spacing w:val="-2"/>
        </w:rPr>
        <w:t>①以公允价值计量且其变动计入当期损益的金融负债，包括交易性金融负债（含属于金融负债的衍生工具）和指定为以公允</w:t>
      </w:r>
      <w:r>
        <w:rPr>
          <w:spacing w:val="-67"/>
        </w:rPr>
        <w:t> </w:t>
      </w:r>
      <w:r>
        <w:rPr>
          <w:spacing w:val="-67"/>
        </w:rPr>
      </w:r>
      <w:r>
        <w:rPr/>
        <w:t>价值计量且其变动计入当期损益的金融负债。</w:t>
      </w:r>
    </w:p>
    <w:p>
      <w:pPr>
        <w:pStyle w:val="BodyText"/>
        <w:spacing w:line="240" w:lineRule="auto" w:before="59"/>
        <w:ind w:right="0"/>
        <w:jc w:val="both"/>
      </w:pPr>
      <w:r>
        <w:rPr/>
        <w:t>②金融资产转移不符合终止确认条件或继续涉入被转移金融资产所形成的金融负债。</w:t>
      </w:r>
    </w:p>
    <w:p>
      <w:pPr>
        <w:pStyle w:val="BodyText"/>
        <w:spacing w:line="316" w:lineRule="auto" w:before="116"/>
        <w:ind w:right="1041"/>
        <w:jc w:val="both"/>
      </w:pPr>
      <w:r>
        <w:rPr/>
        <w:t>③不属于本条第1）项或第2）项情形的财务担保合同，以及不属于本条第1）项情形的以低于市场利率贷款的贷款承诺。在</w:t>
      </w:r>
      <w:r>
        <w:rPr>
          <w:spacing w:val="-87"/>
        </w:rPr>
        <w:t> </w:t>
      </w:r>
      <w:r>
        <w:rPr>
          <w:spacing w:val="-87"/>
        </w:rPr>
      </w:r>
      <w:r>
        <w:rPr>
          <w:spacing w:val="-2"/>
        </w:rPr>
        <w:t>非同一控制下的企业合并中，公司作为购买方确认的或有对价形成金融负债的，该金融负债按照以公允价值计量且其变动计</w:t>
      </w:r>
      <w:r>
        <w:rPr>
          <w:spacing w:val="-64"/>
        </w:rPr>
        <w:t> </w:t>
      </w:r>
      <w:r>
        <w:rPr>
          <w:spacing w:val="-64"/>
        </w:rPr>
      </w:r>
      <w:r>
        <w:rPr/>
        <w:t>入当期损益进行会计处理。</w:t>
      </w:r>
    </w:p>
    <w:p>
      <w:pPr>
        <w:spacing w:line="240" w:lineRule="auto" w:before="0"/>
        <w:rPr>
          <w:rFonts w:ascii="宋体" w:hAnsi="宋体" w:cs="宋体" w:eastAsia="宋体" w:hint="default"/>
          <w:sz w:val="18"/>
          <w:szCs w:val="18"/>
        </w:rPr>
      </w:pPr>
    </w:p>
    <w:p>
      <w:pPr>
        <w:spacing w:line="240" w:lineRule="auto" w:before="5"/>
        <w:rPr>
          <w:rFonts w:ascii="宋体" w:hAnsi="宋体" w:cs="宋体" w:eastAsia="宋体" w:hint="default"/>
          <w:sz w:val="13"/>
          <w:szCs w:val="13"/>
        </w:rPr>
      </w:pPr>
    </w:p>
    <w:p>
      <w:pPr>
        <w:pStyle w:val="BodyText"/>
        <w:spacing w:line="316" w:lineRule="auto"/>
        <w:ind w:right="1041"/>
        <w:jc w:val="both"/>
      </w:pPr>
      <w:r>
        <w:rPr>
          <w:spacing w:val="-4"/>
        </w:rPr>
        <w:t>在初始确认时，为了提供更相关的会计信息，公司可以将金融负债指定为以公允价值计量且其变动计入当期损益的金融负债，</w:t>
      </w:r>
      <w:r>
        <w:rPr>
          <w:spacing w:val="-42"/>
        </w:rPr>
        <w:t> </w:t>
      </w:r>
      <w:r>
        <w:rPr>
          <w:spacing w:val="-42"/>
        </w:rPr>
      </w:r>
      <w:r>
        <w:rPr/>
        <w:t>该指定满足下列条件之一：</w:t>
      </w:r>
    </w:p>
    <w:p>
      <w:pPr>
        <w:pStyle w:val="BodyText"/>
        <w:spacing w:line="240" w:lineRule="auto" w:before="59"/>
        <w:ind w:right="0"/>
        <w:jc w:val="both"/>
      </w:pPr>
      <w:r>
        <w:rPr/>
        <w:t>①能够消除或显著减少会计错配。</w:t>
      </w:r>
    </w:p>
    <w:p>
      <w:pPr>
        <w:pStyle w:val="BodyText"/>
        <w:spacing w:line="319" w:lineRule="auto" w:before="116"/>
        <w:ind w:right="1131"/>
        <w:jc w:val="both"/>
      </w:pPr>
      <w:r>
        <w:rPr>
          <w:spacing w:val="-2"/>
        </w:rPr>
        <w:t>②根据正式书面文件载明的企业风险管理或投资策略，以公允价值为基础对金融负债组合或金融资产和金融负债组合进行管</w:t>
      </w:r>
      <w:r>
        <w:rPr>
          <w:spacing w:val="-64"/>
        </w:rPr>
        <w:t> </w:t>
      </w:r>
      <w:r>
        <w:rPr>
          <w:spacing w:val="-64"/>
        </w:rPr>
      </w:r>
      <w:r>
        <w:rPr/>
        <w:t>理和业绩评价，并在公司内部以此为基础向关键管理人员报告。该指定一经做出，不得撤销。</w:t>
      </w: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13"/>
          <w:szCs w:val="13"/>
        </w:rPr>
      </w:pPr>
    </w:p>
    <w:p>
      <w:pPr>
        <w:pStyle w:val="BodyText"/>
        <w:spacing w:line="316" w:lineRule="auto"/>
        <w:ind w:right="1129"/>
        <w:jc w:val="both"/>
      </w:pPr>
      <w:r>
        <w:rPr>
          <w:spacing w:val="-2"/>
        </w:rPr>
        <w:t>公司的金融负债主要为以摊余成本计量的金融负债，包括应付票据及应付账款、其他应付款、借款及应付债券等。该类金融</w:t>
      </w:r>
      <w:r>
        <w:rPr>
          <w:spacing w:val="-66"/>
        </w:rPr>
        <w:t> </w:t>
      </w:r>
      <w:r>
        <w:rPr>
          <w:spacing w:val="-66"/>
        </w:rPr>
      </w:r>
      <w:r>
        <w:rPr>
          <w:spacing w:val="-2"/>
        </w:rPr>
        <w:t>负债按其公允价值扣除交易费用后的金额进行初始计量，并采用实际利率法进行后续计量。期限在一年以下(含一年)的，列</w:t>
      </w:r>
      <w:r>
        <w:rPr>
          <w:spacing w:val="-63"/>
        </w:rPr>
        <w:t> </w:t>
      </w:r>
      <w:r>
        <w:rPr>
          <w:spacing w:val="-63"/>
        </w:rPr>
      </w:r>
      <w:r>
        <w:rPr>
          <w:spacing w:val="-2"/>
        </w:rPr>
        <w:t>示为流动负债；期限在一年以上但自资产负债表日起一年内(含一年)到期的，列示为一年内到期的非流动负债；其余列示为</w:t>
      </w:r>
      <w:r>
        <w:rPr>
          <w:spacing w:val="-64"/>
        </w:rPr>
        <w:t> </w:t>
      </w:r>
      <w:r>
        <w:rPr>
          <w:spacing w:val="-64"/>
        </w:rPr>
      </w:r>
      <w:r>
        <w:rPr/>
        <w:t>非流动负债。</w:t>
      </w:r>
    </w:p>
    <w:p>
      <w:pPr>
        <w:spacing w:line="240" w:lineRule="auto" w:before="0"/>
        <w:rPr>
          <w:rFonts w:ascii="宋体" w:hAnsi="宋体" w:cs="宋体" w:eastAsia="宋体" w:hint="default"/>
          <w:sz w:val="18"/>
          <w:szCs w:val="18"/>
        </w:rPr>
      </w:pPr>
    </w:p>
    <w:p>
      <w:pPr>
        <w:spacing w:line="240" w:lineRule="auto" w:before="5"/>
        <w:rPr>
          <w:rFonts w:ascii="宋体" w:hAnsi="宋体" w:cs="宋体" w:eastAsia="宋体" w:hint="default"/>
          <w:sz w:val="13"/>
          <w:szCs w:val="13"/>
        </w:rPr>
      </w:pPr>
    </w:p>
    <w:p>
      <w:pPr>
        <w:pStyle w:val="BodyText"/>
        <w:spacing w:line="316" w:lineRule="auto"/>
        <w:ind w:right="1131"/>
        <w:jc w:val="both"/>
      </w:pPr>
      <w:r>
        <w:rPr>
          <w:spacing w:val="-2"/>
        </w:rPr>
        <w:t>当金融负债的现时义务全部或部分已经解除时，公司终止确认该金融负债或义务已解除的部分。终止确认部分的账面价值与</w:t>
      </w:r>
      <w:r>
        <w:rPr>
          <w:spacing w:val="-64"/>
        </w:rPr>
        <w:t> </w:t>
      </w:r>
      <w:r>
        <w:rPr>
          <w:spacing w:val="-64"/>
        </w:rPr>
      </w:r>
      <w:r>
        <w:rPr/>
        <w:t>支付的对价之间的差额，计入当期损益。</w:t>
      </w:r>
    </w:p>
    <w:p>
      <w:pPr>
        <w:spacing w:line="240" w:lineRule="auto" w:before="0"/>
        <w:rPr>
          <w:rFonts w:ascii="宋体" w:hAnsi="宋体" w:cs="宋体" w:eastAsia="宋体" w:hint="default"/>
          <w:sz w:val="18"/>
          <w:szCs w:val="18"/>
        </w:rPr>
      </w:pPr>
    </w:p>
    <w:p>
      <w:pPr>
        <w:spacing w:line="240" w:lineRule="auto" w:before="5"/>
        <w:rPr>
          <w:rFonts w:ascii="宋体" w:hAnsi="宋体" w:cs="宋体" w:eastAsia="宋体" w:hint="default"/>
          <w:sz w:val="13"/>
          <w:szCs w:val="13"/>
        </w:rPr>
      </w:pPr>
    </w:p>
    <w:p>
      <w:pPr>
        <w:pStyle w:val="BodyText"/>
        <w:spacing w:line="240" w:lineRule="auto"/>
        <w:ind w:right="0"/>
        <w:jc w:val="both"/>
      </w:pPr>
      <w:r>
        <w:rPr/>
        <w:t>金融负债（或其一部分）的现时义务已经解除的</w:t>
      </w:r>
      <w:r>
        <w:rPr>
          <w:spacing w:val="-1"/>
        </w:rPr>
        <w:t>，</w:t>
      </w:r>
      <w:r>
        <w:rPr/>
        <w:t>公司终止确认该金融负债（或该部分金融负债</w:t>
      </w:r>
      <w:r>
        <w:rPr>
          <w:spacing w:val="-90"/>
        </w:rPr>
        <w:t>）</w:t>
      </w:r>
      <w:r>
        <w:rPr/>
        <w:t>。</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7"/>
          <w:szCs w:val="17"/>
        </w:rPr>
      </w:pPr>
    </w:p>
    <w:p>
      <w:pPr>
        <w:pStyle w:val="BodyText"/>
        <w:spacing w:line="240" w:lineRule="auto"/>
        <w:ind w:right="0"/>
        <w:jc w:val="both"/>
      </w:pPr>
      <w:r>
        <w:rPr/>
        <w:t>(3)金融工具的公允价值确定</w:t>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7"/>
          <w:szCs w:val="17"/>
        </w:rPr>
      </w:pPr>
    </w:p>
    <w:p>
      <w:pPr>
        <w:pStyle w:val="BodyText"/>
        <w:spacing w:line="316" w:lineRule="auto"/>
        <w:ind w:right="1129"/>
        <w:jc w:val="both"/>
      </w:pPr>
      <w:r>
        <w:rPr>
          <w:spacing w:val="-2"/>
        </w:rPr>
        <w:t>存在活跃市场的金融工具，以活跃市场中的报价确定其公允价值。不存在活跃市场的金融工具，采用估值技术确定其公允价</w:t>
      </w:r>
      <w:r>
        <w:rPr>
          <w:spacing w:val="-65"/>
        </w:rPr>
        <w:t> </w:t>
      </w:r>
      <w:r>
        <w:rPr>
          <w:spacing w:val="-65"/>
        </w:rPr>
      </w:r>
      <w:r>
        <w:rPr>
          <w:spacing w:val="-2"/>
        </w:rPr>
        <w:t>值。在估值时，公司采用在当前情况下适用并且有足够可利用数据和其他信息支持的估值技术，选择与市场参与者在相关资</w:t>
      </w:r>
      <w:r>
        <w:rPr>
          <w:spacing w:val="-64"/>
        </w:rPr>
        <w:t> </w:t>
      </w:r>
      <w:r>
        <w:rPr>
          <w:spacing w:val="-64"/>
        </w:rPr>
      </w:r>
      <w:r>
        <w:rPr>
          <w:spacing w:val="-2"/>
        </w:rPr>
        <w:t>产或负债的交易中所考虑的资产或负债特征相一致的输入值，并尽可能优先使用相关可观察输入值。在相关可观察输入值无</w:t>
      </w:r>
      <w:r>
        <w:rPr>
          <w:spacing w:val="-64"/>
        </w:rPr>
        <w:t> </w:t>
      </w:r>
      <w:r>
        <w:rPr>
          <w:spacing w:val="-64"/>
        </w:rPr>
      </w:r>
      <w:r>
        <w:rPr/>
        <w:t>法取得或取得不切实可行的情况下，使用不可观察输入值。</w:t>
      </w:r>
    </w:p>
    <w:p>
      <w:pPr>
        <w:spacing w:line="240" w:lineRule="auto" w:before="0"/>
        <w:rPr>
          <w:rFonts w:ascii="宋体" w:hAnsi="宋体" w:cs="宋体" w:eastAsia="宋体" w:hint="default"/>
          <w:sz w:val="18"/>
          <w:szCs w:val="18"/>
        </w:rPr>
      </w:pPr>
    </w:p>
    <w:p>
      <w:pPr>
        <w:spacing w:line="240" w:lineRule="auto" w:before="5"/>
        <w:rPr>
          <w:rFonts w:ascii="宋体" w:hAnsi="宋体" w:cs="宋体" w:eastAsia="宋体" w:hint="default"/>
          <w:sz w:val="13"/>
          <w:szCs w:val="13"/>
        </w:rPr>
      </w:pPr>
    </w:p>
    <w:p>
      <w:pPr>
        <w:pStyle w:val="BodyText"/>
        <w:spacing w:line="338" w:lineRule="auto"/>
        <w:ind w:right="1032"/>
        <w:jc w:val="left"/>
      </w:pPr>
      <w:r>
        <w:rPr/>
        <w:t>(4)后续计量 </w:t>
      </w:r>
      <w:r>
        <w:rPr>
          <w:spacing w:val="-2"/>
        </w:rPr>
        <w:t>初始确认后，公司对不同类别的金融资产，分别以摊余成本、以公允价值计量且其变动计入其他综合收益或以公允价值计量</w:t>
      </w:r>
      <w:r>
        <w:rPr>
          <w:spacing w:val="-62"/>
        </w:rPr>
        <w:t> </w:t>
      </w:r>
      <w:r>
        <w:rPr>
          <w:spacing w:val="-62"/>
        </w:rPr>
      </w:r>
      <w:r>
        <w:rPr/>
        <w:t>且其变动计入当期损益进行后续计量。</w:t>
      </w:r>
    </w:p>
    <w:p>
      <w:pPr>
        <w:pStyle w:val="BodyText"/>
        <w:spacing w:line="240" w:lineRule="auto" w:before="42"/>
        <w:ind w:right="0"/>
        <w:jc w:val="both"/>
      </w:pPr>
      <w:r>
        <w:rPr/>
        <w:t>初始确认后，公司对不同类别的金融负债，分别以摊余成本、以公允价值计量且其变动计入当期损益或以其他适当方法进行</w:t>
      </w:r>
    </w:p>
    <w:p>
      <w:pPr>
        <w:spacing w:after="0" w:line="240" w:lineRule="auto"/>
        <w:jc w:val="both"/>
        <w:sectPr>
          <w:pgSz w:w="11910" w:h="16840"/>
          <w:pgMar w:header="906" w:footer="1018" w:top="1100" w:bottom="1200" w:left="1020" w:right="0"/>
        </w:sectPr>
      </w:pPr>
    </w:p>
    <w:p>
      <w:pPr>
        <w:spacing w:line="240" w:lineRule="auto" w:before="11"/>
        <w:rPr>
          <w:rFonts w:ascii="宋体" w:hAnsi="宋体" w:cs="宋体" w:eastAsia="宋体" w:hint="default"/>
          <w:sz w:val="22"/>
          <w:szCs w:val="22"/>
        </w:rPr>
      </w:pPr>
    </w:p>
    <w:p>
      <w:pPr>
        <w:pStyle w:val="BodyText"/>
        <w:spacing w:line="357" w:lineRule="auto" w:before="44"/>
        <w:ind w:right="2652"/>
        <w:jc w:val="left"/>
      </w:pPr>
      <w:r>
        <w:rPr/>
        <w:t>后续计量。 金融资产或金融负债的摊余成本，以该金融资产或金融负债的初始确认金额经下列调整后的结果确定： 1）扣除已偿还的本金。</w:t>
      </w:r>
    </w:p>
    <w:p>
      <w:pPr>
        <w:pStyle w:val="BodyText"/>
        <w:spacing w:line="240" w:lineRule="auto" w:before="28"/>
        <w:ind w:right="0"/>
        <w:jc w:val="left"/>
      </w:pPr>
      <w:r>
        <w:rPr/>
        <w:t>2）加上或减去采用实际利率法将该初始确认金额与到期日金额之间的差额进行摊销形成的累计摊销额。</w:t>
      </w:r>
    </w:p>
    <w:p>
      <w:pPr>
        <w:pStyle w:val="BodyText"/>
        <w:spacing w:line="240" w:lineRule="auto" w:before="116"/>
        <w:ind w:right="0"/>
        <w:jc w:val="left"/>
      </w:pPr>
      <w:r>
        <w:rPr/>
        <w:t>3）扣除累计计提的损失准</w:t>
      </w:r>
      <w:r>
        <w:rPr>
          <w:spacing w:val="-1"/>
        </w:rPr>
        <w:t>备</w:t>
      </w:r>
      <w:r>
        <w:rPr/>
        <w:t>（仅适用于金融资产</w:t>
      </w:r>
      <w:r>
        <w:rPr>
          <w:spacing w:val="-90"/>
        </w:rPr>
        <w:t>）</w:t>
      </w:r>
      <w:r>
        <w:rPr/>
        <w:t>。</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7"/>
          <w:szCs w:val="17"/>
        </w:rPr>
      </w:pPr>
    </w:p>
    <w:p>
      <w:pPr>
        <w:pStyle w:val="BodyText"/>
        <w:spacing w:line="338" w:lineRule="auto"/>
        <w:ind w:right="1122"/>
        <w:jc w:val="left"/>
      </w:pPr>
      <w:r>
        <w:rPr/>
        <w:t>公司按照实际利率法确认利息收入。利息收入根据金融资产账面余额乘以实际利率计算确定，但下列情况除外： 1）对于购入或源生的已发生信用减值的金融资产，公司自初始确认起，按照该金融资产的摊余成本和经信用调整的实际利</w:t>
      </w:r>
      <w:r>
        <w:rPr>
          <w:spacing w:val="-83"/>
        </w:rPr>
        <w:t> </w:t>
      </w:r>
      <w:r>
        <w:rPr>
          <w:spacing w:val="-83"/>
        </w:rPr>
      </w:r>
      <w:r>
        <w:rPr/>
        <w:t>率计算确定其利息收入。</w:t>
      </w:r>
    </w:p>
    <w:p>
      <w:pPr>
        <w:pStyle w:val="BodyText"/>
        <w:spacing w:line="316" w:lineRule="auto" w:before="43"/>
        <w:ind w:right="1128"/>
        <w:jc w:val="both"/>
      </w:pPr>
      <w:r>
        <w:rPr/>
        <w:t>2）对于购入或源生的未发生信用减值、但在后续期间成为已发生信用减值的金融资产，公司在后续期间，按照该金融资产</w:t>
      </w:r>
      <w:r>
        <w:rPr>
          <w:spacing w:val="-85"/>
        </w:rPr>
        <w:t> </w:t>
      </w:r>
      <w:r>
        <w:rPr>
          <w:spacing w:val="-85"/>
        </w:rPr>
      </w:r>
      <w:r>
        <w:rPr>
          <w:spacing w:val="-2"/>
        </w:rPr>
        <w:t>的摊余成本和实际利率计算确定其利息收入。公司按照上述政策对金融资产的摊余成本运用实际利率法计算利息收入的，若</w:t>
      </w:r>
      <w:r>
        <w:rPr>
          <w:spacing w:val="-64"/>
        </w:rPr>
        <w:t> </w:t>
      </w:r>
      <w:r>
        <w:rPr>
          <w:spacing w:val="-64"/>
        </w:rPr>
      </w:r>
      <w:r>
        <w:rPr>
          <w:spacing w:val="-2"/>
        </w:rPr>
        <w:t>该金融工具在后续期间因其信用风险有所改善而不再存在信用减值，并且这一改善在客观上可与应用上述政策之后发生的某</w:t>
      </w:r>
      <w:r>
        <w:rPr>
          <w:spacing w:val="-64"/>
        </w:rPr>
        <w:t> </w:t>
      </w:r>
      <w:r>
        <w:rPr>
          <w:spacing w:val="-64"/>
        </w:rPr>
      </w:r>
      <w:r>
        <w:rPr>
          <w:spacing w:val="-2"/>
        </w:rPr>
        <w:t>一事件相联系（如债务人的信用评级被上调），公司转按实际利率乘以该金融资产账面余额来计算确定利息收入。</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13"/>
          <w:szCs w:val="13"/>
        </w:rPr>
      </w:pPr>
    </w:p>
    <w:p>
      <w:pPr>
        <w:pStyle w:val="Heading3"/>
        <w:spacing w:line="240" w:lineRule="auto"/>
        <w:ind w:right="0"/>
        <w:jc w:val="left"/>
        <w:rPr>
          <w:b w:val="0"/>
          <w:bCs w:val="0"/>
        </w:rPr>
      </w:pPr>
      <w:r>
        <w:rPr>
          <w:rFonts w:ascii="Times New Roman" w:hAnsi="Times New Roman" w:cs="Times New Roman" w:eastAsia="Times New Roman" w:hint="default"/>
        </w:rPr>
        <w:t>11</w:t>
      </w:r>
      <w:r>
        <w:rPr/>
        <w:t>、应收票据</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详见重要会计政策及估计</w:t>
      </w:r>
      <w:r>
        <w:rPr>
          <w:spacing w:val="-1"/>
        </w:rPr>
        <w:t> </w:t>
      </w:r>
      <w:r>
        <w:rPr>
          <w:rFonts w:ascii="Times New Roman" w:hAnsi="Times New Roman" w:cs="Times New Roman" w:eastAsia="Times New Roman" w:hint="default"/>
        </w:rPr>
        <w:t>10</w:t>
      </w:r>
      <w:r>
        <w:rPr/>
        <w:t>、金融工具。</w:t>
      </w:r>
    </w:p>
    <w:p>
      <w:pPr>
        <w:spacing w:line="240" w:lineRule="auto" w:before="12"/>
        <w:rPr>
          <w:rFonts w:ascii="宋体" w:hAnsi="宋体" w:cs="宋体" w:eastAsia="宋体" w:hint="default"/>
          <w:sz w:val="25"/>
          <w:szCs w:val="25"/>
        </w:rPr>
      </w:pPr>
    </w:p>
    <w:p>
      <w:pPr>
        <w:pStyle w:val="Heading3"/>
        <w:spacing w:line="240" w:lineRule="auto"/>
        <w:ind w:right="0"/>
        <w:jc w:val="left"/>
        <w:rPr>
          <w:b w:val="0"/>
          <w:bCs w:val="0"/>
        </w:rPr>
      </w:pPr>
      <w:r>
        <w:rPr>
          <w:rFonts w:ascii="Times New Roman" w:hAnsi="Times New Roman" w:cs="Times New Roman" w:eastAsia="Times New Roman" w:hint="default"/>
        </w:rPr>
        <w:t>12</w:t>
      </w:r>
      <w:r>
        <w:rPr/>
        <w:t>、应收账款</w:t>
      </w:r>
      <w:r>
        <w:rPr>
          <w:b w:val="0"/>
          <w:bCs w:val="0"/>
        </w:rPr>
      </w:r>
    </w:p>
    <w:p>
      <w:pPr>
        <w:spacing w:line="240" w:lineRule="auto" w:before="6"/>
        <w:rPr>
          <w:rFonts w:ascii="宋体" w:hAnsi="宋体" w:cs="宋体" w:eastAsia="宋体" w:hint="default"/>
          <w:b/>
          <w:bCs/>
          <w:sz w:val="26"/>
          <w:szCs w:val="26"/>
        </w:rPr>
      </w:pPr>
    </w:p>
    <w:p>
      <w:pPr>
        <w:pStyle w:val="BodyText"/>
        <w:spacing w:line="547" w:lineRule="auto"/>
        <w:ind w:right="7423"/>
        <w:jc w:val="left"/>
      </w:pPr>
      <w:r>
        <w:rPr/>
        <w:t>详见重要会计政策及估计</w:t>
      </w:r>
      <w:r>
        <w:rPr>
          <w:spacing w:val="-1"/>
        </w:rPr>
        <w:t> </w:t>
      </w:r>
      <w:r>
        <w:rPr>
          <w:rFonts w:ascii="Times New Roman" w:hAnsi="Times New Roman" w:cs="Times New Roman" w:eastAsia="Times New Roman" w:hint="default"/>
        </w:rPr>
        <w:t>10</w:t>
      </w:r>
      <w:r>
        <w:rPr/>
        <w:t>、金融工具。 </w:t>
      </w:r>
      <w:r>
        <w:rPr>
          <w:rFonts w:ascii="Times New Roman" w:hAnsi="Times New Roman" w:cs="Times New Roman" w:eastAsia="Times New Roman" w:hint="default"/>
          <w:b/>
          <w:bCs/>
          <w:sz w:val="21"/>
          <w:szCs w:val="21"/>
        </w:rPr>
        <w:t>13</w:t>
      </w:r>
      <w:r>
        <w:rPr>
          <w:rFonts w:ascii="宋体" w:hAnsi="宋体" w:cs="宋体" w:eastAsia="宋体" w:hint="default"/>
          <w:b/>
          <w:bCs/>
          <w:sz w:val="21"/>
          <w:szCs w:val="21"/>
        </w:rPr>
        <w:t>、应收款项融资</w:t>
      </w:r>
      <w:r>
        <w:rPr>
          <w:rFonts w:ascii="宋体" w:hAnsi="宋体" w:cs="宋体" w:eastAsia="宋体" w:hint="default"/>
          <w:b/>
          <w:bCs/>
          <w:w w:val="99"/>
          <w:sz w:val="21"/>
          <w:szCs w:val="21"/>
        </w:rPr>
        <w:t> </w:t>
      </w:r>
      <w:r>
        <w:rPr/>
        <w:t>详见重要会计政策及估计</w:t>
      </w:r>
      <w:r>
        <w:rPr>
          <w:spacing w:val="-1"/>
        </w:rPr>
        <w:t> </w:t>
      </w:r>
      <w:r>
        <w:rPr>
          <w:rFonts w:ascii="Times New Roman" w:hAnsi="Times New Roman" w:cs="Times New Roman" w:eastAsia="Times New Roman" w:hint="default"/>
        </w:rPr>
        <w:t>10</w:t>
      </w:r>
      <w:r>
        <w:rPr/>
        <w:t>、金融工具。</w:t>
      </w:r>
    </w:p>
    <w:p>
      <w:pPr>
        <w:pStyle w:val="Heading3"/>
        <w:spacing w:line="240" w:lineRule="auto" w:before="83"/>
        <w:ind w:right="0"/>
        <w:jc w:val="left"/>
        <w:rPr>
          <w:b w:val="0"/>
          <w:bCs w:val="0"/>
        </w:rPr>
      </w:pPr>
      <w:r>
        <w:rPr>
          <w:rFonts w:ascii="Times New Roman" w:hAnsi="Times New Roman" w:cs="Times New Roman" w:eastAsia="Times New Roman" w:hint="default"/>
        </w:rPr>
        <w:t>14</w:t>
      </w:r>
      <w:r>
        <w:rPr/>
        <w:t>、其他应收款</w:t>
      </w:r>
      <w:r>
        <w:rPr>
          <w:b w:val="0"/>
          <w:bCs w:val="0"/>
        </w:rPr>
      </w:r>
    </w:p>
    <w:p>
      <w:pPr>
        <w:spacing w:line="240" w:lineRule="auto" w:before="7"/>
        <w:rPr>
          <w:rFonts w:ascii="宋体" w:hAnsi="宋体" w:cs="宋体" w:eastAsia="宋体" w:hint="default"/>
          <w:b/>
          <w:bCs/>
          <w:sz w:val="26"/>
          <w:szCs w:val="26"/>
        </w:rPr>
      </w:pPr>
    </w:p>
    <w:p>
      <w:pPr>
        <w:pStyle w:val="BodyText"/>
        <w:spacing w:line="360" w:lineRule="auto"/>
        <w:ind w:right="6432"/>
        <w:jc w:val="left"/>
      </w:pPr>
      <w:r>
        <w:rPr/>
        <w:t>其他应收款的预期信用损失的确定方法及会计处理方法 详见重要会计政策及估计</w:t>
      </w:r>
      <w:r>
        <w:rPr>
          <w:spacing w:val="-1"/>
        </w:rPr>
        <w:t> </w:t>
      </w:r>
      <w:r>
        <w:rPr>
          <w:rFonts w:ascii="Times New Roman" w:hAnsi="Times New Roman" w:cs="Times New Roman" w:eastAsia="Times New Roman" w:hint="default"/>
        </w:rPr>
        <w:t>10</w:t>
      </w:r>
      <w:r>
        <w:rPr/>
        <w:t>、金融工具。</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Heading3"/>
        <w:spacing w:line="240" w:lineRule="auto" w:before="120"/>
        <w:ind w:right="0"/>
        <w:jc w:val="left"/>
        <w:rPr>
          <w:b w:val="0"/>
          <w:bCs w:val="0"/>
        </w:rPr>
      </w:pPr>
      <w:r>
        <w:rPr>
          <w:rFonts w:ascii="Times New Roman" w:hAnsi="Times New Roman" w:cs="Times New Roman" w:eastAsia="Times New Roman" w:hint="default"/>
        </w:rPr>
        <w:t>15</w:t>
      </w:r>
      <w:r>
        <w:rPr/>
        <w:t>、存货</w:t>
      </w:r>
      <w:r>
        <w:rPr>
          <w:b w:val="0"/>
          <w:bCs w:val="0"/>
        </w:rPr>
      </w:r>
    </w:p>
    <w:p>
      <w:pPr>
        <w:spacing w:line="240" w:lineRule="auto" w:before="6"/>
        <w:rPr>
          <w:rFonts w:ascii="宋体" w:hAnsi="宋体" w:cs="宋体" w:eastAsia="宋体" w:hint="default"/>
          <w:b/>
          <w:bCs/>
          <w:sz w:val="26"/>
          <w:szCs w:val="26"/>
        </w:rPr>
      </w:pPr>
    </w:p>
    <w:p>
      <w:pPr>
        <w:pStyle w:val="BodyText"/>
        <w:spacing w:line="316" w:lineRule="auto"/>
        <w:ind w:right="1122"/>
        <w:jc w:val="left"/>
      </w:pPr>
      <w:r>
        <w:rPr/>
        <w:t>（1）存货是指在日常活动中持有以备出售的产成品或商品、处在生产过程中的在产品、在生产过程及提供劳务过程中耗用</w:t>
      </w:r>
      <w:r>
        <w:rPr>
          <w:spacing w:val="-85"/>
        </w:rPr>
        <w:t> </w:t>
      </w:r>
      <w:r>
        <w:rPr>
          <w:spacing w:val="-85"/>
        </w:rPr>
      </w:r>
      <w:r>
        <w:rPr/>
        <w:t>的材料和物料。存货同时满足下列条件的，予以确认：</w:t>
      </w:r>
    </w:p>
    <w:p>
      <w:pPr>
        <w:pStyle w:val="BodyText"/>
        <w:spacing w:line="240" w:lineRule="auto" w:before="18"/>
        <w:ind w:right="0"/>
        <w:jc w:val="left"/>
      </w:pPr>
      <w:r>
        <w:rPr/>
        <w:t>①与该存货有关的经济利益很可能流入企业；</w:t>
      </w:r>
    </w:p>
    <w:p>
      <w:pPr>
        <w:pStyle w:val="BodyText"/>
        <w:spacing w:line="240" w:lineRule="auto" w:before="76"/>
        <w:ind w:right="0"/>
        <w:jc w:val="left"/>
      </w:pPr>
      <w:r>
        <w:rPr/>
        <w:t>②该存货的成本能够可靠地计量。</w:t>
      </w:r>
    </w:p>
    <w:p>
      <w:pPr>
        <w:pStyle w:val="BodyText"/>
        <w:spacing w:line="360" w:lineRule="auto" w:before="76"/>
        <w:ind w:right="5892"/>
        <w:jc w:val="left"/>
      </w:pPr>
      <w:r>
        <w:rPr/>
        <w:t>（2）存货的分类 存货包括原材料、在产品、半成品、库存商品以及周转材料。</w:t>
      </w:r>
    </w:p>
    <w:p>
      <w:pPr>
        <w:spacing w:line="240" w:lineRule="auto" w:before="0"/>
        <w:rPr>
          <w:rFonts w:ascii="宋体" w:hAnsi="宋体" w:cs="宋体" w:eastAsia="宋体" w:hint="default"/>
          <w:sz w:val="18"/>
          <w:szCs w:val="18"/>
        </w:rPr>
      </w:pPr>
    </w:p>
    <w:p>
      <w:pPr>
        <w:pStyle w:val="BodyText"/>
        <w:spacing w:line="240" w:lineRule="auto" w:before="142"/>
        <w:ind w:right="0"/>
        <w:jc w:val="left"/>
      </w:pPr>
      <w:r>
        <w:rPr/>
        <w:t>（3）发出存货的计价方法</w:t>
      </w:r>
    </w:p>
    <w:p>
      <w:pPr>
        <w:spacing w:after="0" w:line="240" w:lineRule="auto"/>
        <w:jc w:val="left"/>
        <w:sectPr>
          <w:pgSz w:w="11910" w:h="16840"/>
          <w:pgMar w:header="906" w:footer="1018" w:top="1100" w:bottom="1200" w:left="1020" w:right="0"/>
        </w:sectPr>
      </w:pPr>
    </w:p>
    <w:p>
      <w:pPr>
        <w:spacing w:line="240" w:lineRule="auto" w:before="11"/>
        <w:rPr>
          <w:rFonts w:ascii="宋体" w:hAnsi="宋体" w:cs="宋体" w:eastAsia="宋体" w:hint="default"/>
          <w:sz w:val="22"/>
          <w:szCs w:val="22"/>
        </w:rPr>
      </w:pPr>
    </w:p>
    <w:p>
      <w:pPr>
        <w:pStyle w:val="BodyText"/>
        <w:spacing w:line="240" w:lineRule="auto" w:before="44"/>
        <w:ind w:right="0"/>
        <w:jc w:val="left"/>
      </w:pPr>
      <w:r>
        <w:rPr/>
        <w:t>发出存货时按月末一次加权平均法计价。</w:t>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7"/>
          <w:szCs w:val="17"/>
        </w:rPr>
      </w:pPr>
    </w:p>
    <w:p>
      <w:pPr>
        <w:pStyle w:val="BodyText"/>
        <w:spacing w:line="338" w:lineRule="auto"/>
        <w:ind w:right="0"/>
        <w:jc w:val="left"/>
      </w:pPr>
      <w:r>
        <w:rPr/>
        <w:t>（4）存货可变现净值的确定依据及存货跌价准备的计提方法 </w:t>
      </w:r>
      <w:r>
        <w:rPr>
          <w:spacing w:val="-2"/>
        </w:rPr>
        <w:t>于资产负债表日，存货按照成本与可变现净值孰低计量，存货成本高于其可变现净值的，应当计提存货跌价准备，计入当期</w:t>
      </w:r>
      <w:r>
        <w:rPr>
          <w:spacing w:val="-68"/>
        </w:rPr>
        <w:t> </w:t>
      </w:r>
      <w:r>
        <w:rPr>
          <w:spacing w:val="-68"/>
        </w:rPr>
      </w:r>
      <w:r>
        <w:rPr>
          <w:spacing w:val="-2"/>
        </w:rPr>
        <w:t>损益。可变现净值，是指在日常活动中，存货的估计售价减去至完工时估计将要发生的成本、估计的销售费用以及相关税费</w:t>
      </w:r>
    </w:p>
    <w:p>
      <w:pPr>
        <w:pStyle w:val="BodyText"/>
        <w:spacing w:line="357" w:lineRule="auto" w:before="2"/>
        <w:ind w:right="7692"/>
        <w:jc w:val="left"/>
      </w:pPr>
      <w:r>
        <w:rPr/>
        <w:t>后的金额。 各类存货可变现净值的确定依据如下：</w:t>
      </w:r>
    </w:p>
    <w:p>
      <w:pPr>
        <w:pStyle w:val="BodyText"/>
        <w:spacing w:line="224" w:lineRule="exact"/>
        <w:ind w:right="0"/>
        <w:jc w:val="left"/>
      </w:pPr>
      <w:r>
        <w:rPr/>
        <w:t>①产成品、商品和用于出售的材料等直接用于出售的商品存货，在正常生产经营过程中，以该存货的估计售价减去估计的销</w:t>
      </w:r>
    </w:p>
    <w:p>
      <w:pPr>
        <w:pStyle w:val="BodyText"/>
        <w:spacing w:line="240" w:lineRule="auto" w:before="76"/>
        <w:ind w:right="0"/>
        <w:jc w:val="left"/>
      </w:pPr>
      <w:r>
        <w:rPr/>
        <w:t>售费用和相关税费后的金额，确定其可变现净值。</w:t>
      </w:r>
    </w:p>
    <w:p>
      <w:pPr>
        <w:pStyle w:val="BodyText"/>
        <w:spacing w:line="316" w:lineRule="auto" w:before="76"/>
        <w:ind w:right="0"/>
        <w:jc w:val="left"/>
      </w:pPr>
      <w:r>
        <w:rPr>
          <w:spacing w:val="-2"/>
        </w:rPr>
        <w:t>②需要经过加工的材料存货，在正常生产经营过程中，以所生产的产成品的估计售价减去至完工时估计将要发生的成本、估</w:t>
      </w:r>
      <w:r>
        <w:rPr>
          <w:spacing w:val="-65"/>
        </w:rPr>
        <w:t> </w:t>
      </w:r>
      <w:r>
        <w:rPr>
          <w:spacing w:val="-65"/>
        </w:rPr>
      </w:r>
      <w:r>
        <w:rPr/>
        <w:t>计的销售费用和相关税费后的金额，确定其可变现净值。</w:t>
      </w:r>
    </w:p>
    <w:p>
      <w:pPr>
        <w:pStyle w:val="BodyText"/>
        <w:spacing w:line="338" w:lineRule="auto" w:before="18"/>
        <w:ind w:right="0"/>
        <w:jc w:val="left"/>
      </w:pPr>
      <w:r>
        <w:rPr>
          <w:spacing w:val="-2"/>
        </w:rPr>
        <w:t>③资产负债表日，同一项存货中一部分有合同价格约定、其他部分不存在合同价格的，应当分别确定其可变现净值，并与其</w:t>
      </w:r>
      <w:r>
        <w:rPr>
          <w:spacing w:val="-68"/>
        </w:rPr>
        <w:t> </w:t>
      </w:r>
      <w:r>
        <w:rPr>
          <w:spacing w:val="-68"/>
        </w:rPr>
      </w:r>
      <w:r>
        <w:rPr/>
        <w:t>相对应的成本进行比较，分别确定存货跌价准备的计提或转回的金额。</w:t>
      </w:r>
      <w:r>
        <w:rPr/>
        <w:t> </w:t>
      </w:r>
      <w:r>
        <w:rPr>
          <w:spacing w:val="-2"/>
        </w:rPr>
        <w:t>存货跌价准备按单个存货项目计提，与在同一地区生产和销售的产品系列相关、具有相同或类似最终用途或目的，且难以与</w:t>
      </w:r>
    </w:p>
    <w:p>
      <w:pPr>
        <w:pStyle w:val="BodyText"/>
        <w:spacing w:line="240" w:lineRule="auto" w:before="2"/>
        <w:ind w:right="0"/>
        <w:jc w:val="left"/>
      </w:pPr>
      <w:r>
        <w:rPr/>
        <w:t>其他项目分开计量的存货，合并计提存货跌价准备。</w:t>
      </w:r>
    </w:p>
    <w:p>
      <w:pPr>
        <w:pStyle w:val="BodyText"/>
        <w:spacing w:line="319" w:lineRule="auto" w:before="116"/>
        <w:ind w:right="9042"/>
        <w:jc w:val="left"/>
      </w:pPr>
      <w:r>
        <w:rPr/>
        <w:t>（5）存货的盘存制度 采用永续盘存制。</w:t>
      </w:r>
    </w:p>
    <w:p>
      <w:pPr>
        <w:spacing w:line="240" w:lineRule="auto" w:before="2"/>
        <w:rPr>
          <w:rFonts w:ascii="宋体" w:hAnsi="宋体" w:cs="宋体" w:eastAsia="宋体" w:hint="default"/>
          <w:sz w:val="25"/>
          <w:szCs w:val="25"/>
        </w:rPr>
      </w:pPr>
    </w:p>
    <w:p>
      <w:pPr>
        <w:pStyle w:val="BodyText"/>
        <w:spacing w:line="357" w:lineRule="auto"/>
        <w:ind w:right="6792"/>
        <w:jc w:val="left"/>
      </w:pPr>
      <w:r>
        <w:rPr/>
        <w:t>（6）低值易耗品和包装物的摊销方法 对低值易耗品和包装物采用一次转销法进行摊销。</w:t>
      </w:r>
    </w:p>
    <w:p>
      <w:pPr>
        <w:spacing w:line="240" w:lineRule="auto" w:before="3"/>
        <w:rPr>
          <w:rFonts w:ascii="宋体" w:hAnsi="宋体" w:cs="宋体" w:eastAsia="宋体" w:hint="default"/>
          <w:sz w:val="20"/>
          <w:szCs w:val="20"/>
        </w:rPr>
      </w:pPr>
    </w:p>
    <w:p>
      <w:pPr>
        <w:pStyle w:val="Heading3"/>
        <w:spacing w:line="240" w:lineRule="auto"/>
        <w:ind w:right="0"/>
        <w:jc w:val="left"/>
        <w:rPr>
          <w:b w:val="0"/>
          <w:bCs w:val="0"/>
        </w:rPr>
      </w:pPr>
      <w:r>
        <w:rPr>
          <w:rFonts w:ascii="Times New Roman" w:hAnsi="Times New Roman" w:cs="Times New Roman" w:eastAsia="Times New Roman" w:hint="default"/>
        </w:rPr>
        <w:t>16</w:t>
      </w:r>
      <w:r>
        <w:rPr/>
        <w:t>、合同资产</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17</w:t>
      </w:r>
      <w:r>
        <w:rPr/>
        <w:t>、合同成本</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18</w:t>
      </w:r>
      <w:r>
        <w:rPr/>
        <w:t>、持有待售资产</w:t>
      </w:r>
      <w:r>
        <w:rPr>
          <w:b w:val="0"/>
          <w:bCs w:val="0"/>
        </w:rPr>
      </w:r>
    </w:p>
    <w:p>
      <w:pPr>
        <w:spacing w:line="240" w:lineRule="auto" w:before="6"/>
        <w:rPr>
          <w:rFonts w:ascii="宋体" w:hAnsi="宋体" w:cs="宋体" w:eastAsia="宋体" w:hint="default"/>
          <w:b/>
          <w:bCs/>
          <w:sz w:val="26"/>
          <w:szCs w:val="26"/>
        </w:rPr>
      </w:pPr>
    </w:p>
    <w:p>
      <w:pPr>
        <w:pStyle w:val="BodyText"/>
        <w:spacing w:line="338" w:lineRule="auto"/>
        <w:ind w:right="0"/>
        <w:jc w:val="left"/>
      </w:pPr>
      <w:r>
        <w:rPr/>
        <w:t>（1）持有待售的非流动资产和处置组确认标准 </w:t>
      </w:r>
      <w:r>
        <w:rPr>
          <w:spacing w:val="-2"/>
        </w:rPr>
        <w:t>公司若主要通过出售（包括具有商业实质的非货币性资产交换，下同）而非持续使用一项非流动资产或处置组收回其账面价</w:t>
      </w:r>
      <w:r>
        <w:rPr>
          <w:spacing w:val="-64"/>
        </w:rPr>
        <w:t> </w:t>
      </w:r>
      <w:r>
        <w:rPr>
          <w:spacing w:val="-64"/>
        </w:rPr>
      </w:r>
      <w:r>
        <w:rPr/>
        <w:t>值的，则将其划分为持有待售类别。具体标准为同时满足以下条件：</w:t>
      </w:r>
    </w:p>
    <w:p>
      <w:pPr>
        <w:pStyle w:val="BodyText"/>
        <w:spacing w:line="240" w:lineRule="auto" w:before="43"/>
        <w:ind w:right="0"/>
        <w:jc w:val="left"/>
      </w:pPr>
      <w:r>
        <w:rPr/>
        <w:t>①根据类似交易中出售此类资产或处置组的惯例，在当前状况下即可立即出售；</w:t>
      </w:r>
    </w:p>
    <w:p>
      <w:pPr>
        <w:pStyle w:val="BodyText"/>
        <w:spacing w:line="338" w:lineRule="auto" w:before="76"/>
        <w:ind w:right="1024"/>
        <w:jc w:val="left"/>
      </w:pPr>
      <w:r>
        <w:rPr/>
        <w:t>②出售极可能发生，即企业已经就一项出售计划作出决议且获得确定的购买承诺，预计出售将在一年内完成。 </w:t>
      </w:r>
      <w:r>
        <w:rPr>
          <w:spacing w:val="-2"/>
        </w:rPr>
        <w:t>其中，处置组是指在一项交易中作为整体通过出售或其他方式一并处置的一组资产，以及在该交易中转让的与这些资产直接</w:t>
      </w:r>
      <w:r>
        <w:rPr>
          <w:spacing w:val="-64"/>
        </w:rPr>
        <w:t> </w:t>
      </w:r>
      <w:r>
        <w:rPr>
          <w:spacing w:val="-64"/>
        </w:rPr>
      </w:r>
      <w:r>
        <w:rPr/>
        <w:t>相关的负债。处置组所属的资产组或资产组组合按照《企业会计准则第</w:t>
      </w:r>
      <w:r>
        <w:rPr>
          <w:spacing w:val="-41"/>
        </w:rPr>
        <w:t> </w:t>
      </w:r>
      <w:r>
        <w:rPr/>
        <w:t>8</w:t>
      </w:r>
      <w:r>
        <w:rPr>
          <w:spacing w:val="-41"/>
        </w:rPr>
        <w:t> </w:t>
      </w:r>
      <w:r>
        <w:rPr/>
        <w:t>号</w:t>
      </w:r>
      <w:r>
        <w:rPr>
          <w:rFonts w:ascii="Times New Roman" w:hAnsi="Times New Roman" w:cs="Times New Roman" w:eastAsia="Times New Roman" w:hint="default"/>
        </w:rPr>
        <w:t>—</w:t>
      </w:r>
      <w:r>
        <w:rPr/>
        <w:t>资产减值》分摊了企业合并中取得的商誉的，</w:t>
      </w:r>
    </w:p>
    <w:p>
      <w:pPr>
        <w:pStyle w:val="BodyText"/>
        <w:spacing w:line="217" w:lineRule="exact"/>
        <w:ind w:right="0"/>
        <w:jc w:val="left"/>
      </w:pPr>
      <w:r>
        <w:rPr/>
        <w:t>该处置组应当包含分摊至处置组的商誉。</w:t>
      </w:r>
    </w:p>
    <w:p>
      <w:pPr>
        <w:pStyle w:val="BodyText"/>
        <w:spacing w:line="316" w:lineRule="auto" w:before="116"/>
        <w:ind w:right="1131"/>
        <w:jc w:val="both"/>
      </w:pPr>
      <w:r>
        <w:rPr>
          <w:spacing w:val="-2"/>
        </w:rPr>
        <w:t>因出售对子公司的投资等原因导致丧失对子公司控制权的，无论出售后是否保留部分权益性投资，在拟出售的对子公司投资</w:t>
      </w:r>
      <w:r>
        <w:rPr>
          <w:spacing w:val="-64"/>
        </w:rPr>
        <w:t> </w:t>
      </w:r>
      <w:r>
        <w:rPr>
          <w:spacing w:val="-64"/>
        </w:rPr>
      </w:r>
      <w:r>
        <w:rPr>
          <w:spacing w:val="-2"/>
        </w:rPr>
        <w:t>满足持有待售类别划分条件时，在母公司个别财务报表中将对子公司投资整体划分为持有待售类别，在合并财务报表中将子</w:t>
      </w:r>
      <w:r>
        <w:rPr>
          <w:spacing w:val="-64"/>
        </w:rPr>
        <w:t> </w:t>
      </w:r>
      <w:r>
        <w:rPr>
          <w:spacing w:val="-64"/>
        </w:rPr>
      </w:r>
      <w:r>
        <w:rPr/>
        <w:t>公司所有资产和负债划分为持有待售类别。</w:t>
      </w:r>
    </w:p>
    <w:p>
      <w:pPr>
        <w:pStyle w:val="BodyText"/>
        <w:spacing w:line="240" w:lineRule="auto" w:before="59"/>
        <w:ind w:right="0"/>
        <w:jc w:val="left"/>
      </w:pPr>
      <w:r>
        <w:rPr/>
        <w:t>（2）会计处理方法</w:t>
      </w:r>
    </w:p>
    <w:p>
      <w:pPr>
        <w:spacing w:after="0" w:line="240" w:lineRule="auto"/>
        <w:jc w:val="left"/>
        <w:sectPr>
          <w:pgSz w:w="11910" w:h="16840"/>
          <w:pgMar w:header="906" w:footer="1018" w:top="1100" w:bottom="1200" w:left="1020" w:right="0"/>
        </w:sectPr>
      </w:pPr>
    </w:p>
    <w:p>
      <w:pPr>
        <w:spacing w:line="240" w:lineRule="auto" w:before="11"/>
        <w:rPr>
          <w:rFonts w:ascii="宋体" w:hAnsi="宋体" w:cs="宋体" w:eastAsia="宋体" w:hint="default"/>
          <w:sz w:val="22"/>
          <w:szCs w:val="22"/>
        </w:rPr>
      </w:pPr>
    </w:p>
    <w:p>
      <w:pPr>
        <w:pStyle w:val="BodyText"/>
        <w:spacing w:line="316" w:lineRule="auto" w:before="44"/>
        <w:ind w:right="1129"/>
        <w:jc w:val="both"/>
      </w:pPr>
      <w:r>
        <w:rPr>
          <w:spacing w:val="-2"/>
        </w:rPr>
        <w:t>初始计量或在资产负债表日重新计量划分为持有待售的非流动资产和处置组时，其账面价值高于公允价值减去出售费用后的</w:t>
      </w:r>
      <w:r>
        <w:rPr>
          <w:spacing w:val="-64"/>
        </w:rPr>
        <w:t> </w:t>
      </w:r>
      <w:r>
        <w:rPr>
          <w:spacing w:val="-64"/>
        </w:rPr>
      </w:r>
      <w:r>
        <w:rPr>
          <w:spacing w:val="-2"/>
        </w:rPr>
        <w:t>净额的，将账面价值减记至公允价值减去出售费用后的净额，减记的金额确认为资产减值损失，计入当期损益，同时计提持</w:t>
      </w:r>
      <w:r>
        <w:rPr>
          <w:spacing w:val="-66"/>
        </w:rPr>
        <w:t> </w:t>
      </w:r>
      <w:r>
        <w:rPr>
          <w:spacing w:val="-66"/>
        </w:rPr>
      </w:r>
      <w:r>
        <w:rPr>
          <w:spacing w:val="-2"/>
        </w:rPr>
        <w:t>有待售资产减值准备。对于处置组，所确认的资产减值损失先抵减处置组中商誉的账面价值，再按比例抵减该处置组内适用</w:t>
      </w:r>
    </w:p>
    <w:p>
      <w:pPr>
        <w:pStyle w:val="BodyText"/>
        <w:spacing w:line="314" w:lineRule="auto" w:before="18"/>
        <w:ind w:right="1125"/>
        <w:jc w:val="both"/>
      </w:pPr>
      <w:r>
        <w:rPr>
          <w:spacing w:val="-2"/>
          <w:w w:val="100"/>
        </w:rPr>
        <w:t>《企业会计准则第42号</w:t>
      </w:r>
      <w:r>
        <w:rPr>
          <w:rFonts w:ascii="Times New Roman" w:hAnsi="Times New Roman" w:cs="Times New Roman" w:eastAsia="Times New Roman" w:hint="default"/>
          <w:spacing w:val="-2"/>
          <w:w w:val="100"/>
        </w:rPr>
        <w:t>—</w:t>
      </w:r>
      <w:r>
        <w:rPr>
          <w:spacing w:val="-2"/>
          <w:w w:val="100"/>
        </w:rPr>
        <w:t>持有待售的非流动资产、处置组和终止经营》（以下简称</w:t>
      </w:r>
      <w:r>
        <w:rPr>
          <w:rFonts w:ascii="Times New Roman" w:hAnsi="Times New Roman" w:cs="Times New Roman" w:eastAsia="Times New Roman" w:hint="default"/>
          <w:spacing w:val="-2"/>
          <w:w w:val="100"/>
        </w:rPr>
        <w:t>“</w:t>
      </w:r>
      <w:r>
        <w:rPr>
          <w:spacing w:val="-2"/>
          <w:w w:val="100"/>
        </w:rPr>
        <w:t>持有待售准则</w:t>
      </w:r>
      <w:r>
        <w:rPr>
          <w:rFonts w:ascii="Times New Roman" w:hAnsi="Times New Roman" w:cs="Times New Roman" w:eastAsia="Times New Roman" w:hint="default"/>
          <w:spacing w:val="-2"/>
          <w:w w:val="100"/>
        </w:rPr>
        <w:t>”</w:t>
      </w:r>
      <w:r>
        <w:rPr>
          <w:spacing w:val="-2"/>
          <w:w w:val="100"/>
        </w:rPr>
        <w:t>）的计量规定的各项非流</w:t>
      </w:r>
      <w:r>
        <w:rPr>
          <w:spacing w:val="-52"/>
          <w:w w:val="100"/>
        </w:rPr>
        <w:t> </w:t>
      </w:r>
      <w:r>
        <w:rPr>
          <w:spacing w:val="-52"/>
          <w:w w:val="100"/>
        </w:rPr>
      </w:r>
      <w:r>
        <w:rPr>
          <w:spacing w:val="-2"/>
        </w:rPr>
        <w:t>动资产的账面价值。后续资产负债表日持有待售的处置组公允价值减去出售费用后的净额增加的，以前减记的金额应当予以</w:t>
      </w:r>
      <w:r>
        <w:rPr>
          <w:spacing w:val="-64"/>
        </w:rPr>
        <w:t> </w:t>
      </w:r>
      <w:r>
        <w:rPr>
          <w:spacing w:val="-64"/>
        </w:rPr>
      </w:r>
      <w:r>
        <w:rPr>
          <w:spacing w:val="-2"/>
        </w:rPr>
        <w:t>恢复，并在划分为持有待售类别后适用持有待售准则计量规定的非流动资产确认的资产减值损失金额内转回，转回金额计入</w:t>
      </w:r>
      <w:r>
        <w:rPr>
          <w:spacing w:val="-64"/>
        </w:rPr>
        <w:t> </w:t>
      </w:r>
      <w:r>
        <w:rPr>
          <w:spacing w:val="-64"/>
        </w:rPr>
      </w:r>
      <w:r>
        <w:rPr/>
        <w:t>当期损益，并根据处置组中除商誉外适用持有待售准则计量规定的各项非流动资产账面价值所占比重按比例增加其账面价</w:t>
      </w:r>
      <w:r>
        <w:rPr>
          <w:spacing w:val="-21"/>
        </w:rPr>
        <w:t> </w:t>
      </w:r>
      <w:r>
        <w:rPr>
          <w:spacing w:val="-21"/>
        </w:rPr>
      </w:r>
      <w:r>
        <w:rPr>
          <w:spacing w:val="-2"/>
        </w:rPr>
        <w:t>值；已抵减的商誉账面价值，以及适用持有待售准则计量规定的非流动资产在划分为持有待售类别前确认的资产减值损失不</w:t>
      </w:r>
      <w:r>
        <w:rPr>
          <w:spacing w:val="-64"/>
        </w:rPr>
        <w:t> </w:t>
      </w:r>
      <w:r>
        <w:rPr>
          <w:spacing w:val="-64"/>
        </w:rPr>
      </w:r>
      <w:r>
        <w:rPr/>
        <w:t>得转回。</w:t>
      </w:r>
    </w:p>
    <w:p>
      <w:pPr>
        <w:pStyle w:val="BodyText"/>
        <w:spacing w:line="338" w:lineRule="auto" w:before="60"/>
        <w:ind w:right="1032"/>
        <w:jc w:val="left"/>
      </w:pPr>
      <w:r>
        <w:rPr>
          <w:spacing w:val="-2"/>
        </w:rPr>
        <w:t>持有待售的非流动资产或处置组中的非流动资产不计提折旧或摊销，持有待售的处置组中负债的利息和其他费用继续予以确</w:t>
      </w:r>
      <w:r>
        <w:rPr>
          <w:spacing w:val="-64"/>
        </w:rPr>
        <w:t> </w:t>
      </w:r>
      <w:r>
        <w:rPr>
          <w:spacing w:val="-64"/>
        </w:rPr>
      </w:r>
      <w:r>
        <w:rPr/>
        <w:t>认。 </w:t>
      </w:r>
      <w:r>
        <w:rPr>
          <w:spacing w:val="-2"/>
        </w:rPr>
        <w:t>非流动资产或处置组不再满足持有待售类别的划分条件时，不再将其继续划分为持有待售类别或将非流动资产从持有待售的</w:t>
      </w:r>
    </w:p>
    <w:p>
      <w:pPr>
        <w:pStyle w:val="BodyText"/>
        <w:spacing w:line="240" w:lineRule="auto" w:before="2"/>
        <w:ind w:right="0"/>
        <w:jc w:val="both"/>
      </w:pPr>
      <w:r>
        <w:rPr/>
        <w:t>处置组中移除，并按照以下两者孰低计量：</w:t>
      </w:r>
    </w:p>
    <w:p>
      <w:pPr>
        <w:pStyle w:val="BodyText"/>
        <w:spacing w:line="316" w:lineRule="auto" w:before="116"/>
        <w:ind w:right="1032"/>
        <w:jc w:val="left"/>
      </w:pPr>
      <w:r>
        <w:rPr>
          <w:spacing w:val="-2"/>
        </w:rPr>
        <w:t>①划分为持有待售类别前的账面价值，按照假定不划分为持有待售类别情况下本应确认的折旧、摊销或减值等进行调整后的</w:t>
      </w:r>
      <w:r>
        <w:rPr>
          <w:spacing w:val="-64"/>
        </w:rPr>
        <w:t> </w:t>
      </w:r>
      <w:r>
        <w:rPr>
          <w:spacing w:val="-64"/>
        </w:rPr>
      </w:r>
      <w:r>
        <w:rPr/>
        <w:t>金额；</w:t>
      </w:r>
    </w:p>
    <w:p>
      <w:pPr>
        <w:pStyle w:val="BodyText"/>
        <w:spacing w:line="240" w:lineRule="auto" w:before="58"/>
        <w:ind w:right="0"/>
        <w:jc w:val="both"/>
      </w:pPr>
      <w:r>
        <w:rPr/>
        <w:t>②可收回金额。</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7"/>
          <w:szCs w:val="17"/>
        </w:rPr>
      </w:pPr>
    </w:p>
    <w:p>
      <w:pPr>
        <w:pStyle w:val="Heading3"/>
        <w:spacing w:line="240" w:lineRule="auto"/>
        <w:ind w:right="0"/>
        <w:jc w:val="both"/>
        <w:rPr>
          <w:b w:val="0"/>
          <w:bCs w:val="0"/>
        </w:rPr>
      </w:pPr>
      <w:r>
        <w:rPr>
          <w:rFonts w:ascii="Times New Roman" w:hAnsi="Times New Roman" w:cs="Times New Roman" w:eastAsia="Times New Roman" w:hint="default"/>
        </w:rPr>
        <w:t>19</w:t>
      </w:r>
      <w:r>
        <w:rPr/>
        <w:t>、债权投资</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both"/>
      </w:pPr>
      <w:r>
        <w:rPr/>
        <w:t>无</w:t>
      </w:r>
    </w:p>
    <w:p>
      <w:pPr>
        <w:spacing w:line="240" w:lineRule="auto" w:before="12"/>
        <w:rPr>
          <w:rFonts w:ascii="宋体" w:hAnsi="宋体" w:cs="宋体" w:eastAsia="宋体" w:hint="default"/>
          <w:sz w:val="26"/>
          <w:szCs w:val="26"/>
        </w:rPr>
      </w:pPr>
    </w:p>
    <w:p>
      <w:pPr>
        <w:pStyle w:val="Heading3"/>
        <w:spacing w:line="240" w:lineRule="auto"/>
        <w:ind w:right="0"/>
        <w:jc w:val="both"/>
        <w:rPr>
          <w:b w:val="0"/>
          <w:bCs w:val="0"/>
        </w:rPr>
      </w:pPr>
      <w:r>
        <w:rPr>
          <w:rFonts w:ascii="Times New Roman" w:hAnsi="Times New Roman" w:cs="Times New Roman" w:eastAsia="Times New Roman" w:hint="default"/>
        </w:rPr>
        <w:t>20</w:t>
      </w:r>
      <w:r>
        <w:rPr/>
        <w:t>、其他债权投资</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both"/>
      </w:pPr>
      <w:r>
        <w:rPr/>
        <w:t>无</w:t>
      </w:r>
    </w:p>
    <w:p>
      <w:pPr>
        <w:spacing w:line="240" w:lineRule="auto" w:before="13"/>
        <w:rPr>
          <w:rFonts w:ascii="宋体" w:hAnsi="宋体" w:cs="宋体" w:eastAsia="宋体" w:hint="default"/>
          <w:sz w:val="26"/>
          <w:szCs w:val="26"/>
        </w:rPr>
      </w:pPr>
    </w:p>
    <w:p>
      <w:pPr>
        <w:pStyle w:val="Heading3"/>
        <w:spacing w:line="240" w:lineRule="auto"/>
        <w:ind w:right="0"/>
        <w:jc w:val="both"/>
        <w:rPr>
          <w:b w:val="0"/>
          <w:bCs w:val="0"/>
        </w:rPr>
      </w:pPr>
      <w:r>
        <w:rPr>
          <w:rFonts w:ascii="Times New Roman" w:hAnsi="Times New Roman" w:cs="Times New Roman" w:eastAsia="Times New Roman" w:hint="default"/>
        </w:rPr>
        <w:t>21</w:t>
      </w:r>
      <w:r>
        <w:rPr/>
        <w:t>、长期应收款</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both"/>
      </w:pPr>
      <w:r>
        <w:rPr/>
        <w:t>无</w:t>
      </w:r>
    </w:p>
    <w:p>
      <w:pPr>
        <w:spacing w:line="240" w:lineRule="auto" w:before="12"/>
        <w:rPr>
          <w:rFonts w:ascii="宋体" w:hAnsi="宋体" w:cs="宋体" w:eastAsia="宋体" w:hint="default"/>
          <w:sz w:val="26"/>
          <w:szCs w:val="26"/>
        </w:rPr>
      </w:pPr>
    </w:p>
    <w:p>
      <w:pPr>
        <w:pStyle w:val="Heading3"/>
        <w:spacing w:line="240" w:lineRule="auto"/>
        <w:ind w:right="0"/>
        <w:jc w:val="both"/>
        <w:rPr>
          <w:b w:val="0"/>
          <w:bCs w:val="0"/>
        </w:rPr>
      </w:pPr>
      <w:r>
        <w:rPr>
          <w:rFonts w:ascii="Times New Roman" w:hAnsi="Times New Roman" w:cs="Times New Roman" w:eastAsia="Times New Roman" w:hint="default"/>
        </w:rPr>
        <w:t>22</w:t>
      </w:r>
      <w:r>
        <w:rPr/>
        <w:t>、长期股权投资</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both"/>
      </w:pPr>
      <w:r>
        <w:rPr/>
        <w:t>长期股权投资是指公司对被投资单位实施控制、重大影响的权益性投资，以及对其合营企业的投资。</w:t>
      </w:r>
    </w:p>
    <w:p>
      <w:pPr>
        <w:spacing w:line="240" w:lineRule="auto" w:before="0"/>
        <w:rPr>
          <w:rFonts w:ascii="宋体" w:hAnsi="宋体" w:cs="宋体" w:eastAsia="宋体" w:hint="default"/>
          <w:sz w:val="18"/>
          <w:szCs w:val="18"/>
        </w:rPr>
      </w:pPr>
    </w:p>
    <w:p>
      <w:pPr>
        <w:pStyle w:val="BodyText"/>
        <w:spacing w:line="357" w:lineRule="auto" w:before="153"/>
        <w:ind w:right="2292"/>
        <w:jc w:val="left"/>
      </w:pPr>
      <w:r>
        <w:rPr/>
        <w:t>（1）初始投资成本确定 除对外合并形成的长期股权投资以外，其他方式取得的长期股权投资，按照下列规定确定其初始投资成本：</w:t>
      </w:r>
    </w:p>
    <w:p>
      <w:pPr>
        <w:pStyle w:val="BodyText"/>
        <w:spacing w:line="316" w:lineRule="auto" w:before="28"/>
        <w:ind w:right="0"/>
        <w:jc w:val="left"/>
      </w:pPr>
      <w:r>
        <w:rPr>
          <w:spacing w:val="-2"/>
        </w:rPr>
        <w:t>①以支付现金取得的长期股权投资，按照实际支付的购买价款作为初始投资成本。初始投资成本包括与取得长期股权投资直</w:t>
      </w:r>
      <w:r>
        <w:rPr>
          <w:spacing w:val="-64"/>
        </w:rPr>
        <w:t> </w:t>
      </w:r>
      <w:r>
        <w:rPr>
          <w:spacing w:val="-64"/>
        </w:rPr>
      </w:r>
      <w:r>
        <w:rPr/>
        <w:t>接相关的费用、税金及其他必要支出；</w:t>
      </w:r>
    </w:p>
    <w:p>
      <w:pPr>
        <w:pStyle w:val="BodyText"/>
        <w:spacing w:line="240" w:lineRule="auto" w:before="19"/>
        <w:ind w:right="0"/>
        <w:jc w:val="both"/>
      </w:pPr>
      <w:r>
        <w:rPr/>
        <w:t>②以发行权益性证券取得的长期股权投资，按照发行权益性证券的公允价值作为初始投资成本；</w:t>
      </w:r>
    </w:p>
    <w:p>
      <w:pPr>
        <w:pStyle w:val="BodyText"/>
        <w:spacing w:line="240" w:lineRule="auto" w:before="76"/>
        <w:ind w:right="0"/>
        <w:jc w:val="both"/>
      </w:pPr>
      <w:r>
        <w:rPr/>
        <w:t>③通过非货币性资产交换取得的长期股权投资，其初始投资成本应当按照《企业会计准则第7号</w:t>
      </w:r>
      <w:r>
        <w:rPr>
          <w:rFonts w:ascii="Times New Roman" w:hAnsi="Times New Roman" w:cs="Times New Roman" w:eastAsia="Times New Roman" w:hint="default"/>
        </w:rPr>
        <w:t>—</w:t>
      </w:r>
      <w:r>
        <w:rPr/>
        <w:t>非货币性资产交换》确定；</w:t>
      </w:r>
    </w:p>
    <w:p>
      <w:pPr>
        <w:pStyle w:val="BodyText"/>
        <w:spacing w:line="240" w:lineRule="auto" w:before="62"/>
        <w:ind w:right="0"/>
        <w:jc w:val="both"/>
      </w:pPr>
      <w:r>
        <w:rPr/>
        <w:t>④通过债务重组取得的长期股权投资，其初始投资成本应当按照《企业会计准则第12号</w:t>
      </w:r>
      <w:r>
        <w:rPr>
          <w:rFonts w:ascii="Times New Roman" w:hAnsi="Times New Roman" w:cs="Times New Roman" w:eastAsia="Times New Roman" w:hint="default"/>
        </w:rPr>
        <w:t>—</w:t>
      </w:r>
      <w:r>
        <w:rPr/>
        <w:t>债务重组》确定。</w:t>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6"/>
          <w:szCs w:val="16"/>
        </w:rPr>
      </w:pPr>
    </w:p>
    <w:p>
      <w:pPr>
        <w:pStyle w:val="BodyText"/>
        <w:spacing w:line="240" w:lineRule="auto"/>
        <w:ind w:right="0"/>
        <w:jc w:val="both"/>
      </w:pPr>
      <w:r>
        <w:rPr/>
        <w:t>（2）后续计量及损益确认方法</w:t>
      </w:r>
    </w:p>
    <w:p>
      <w:pPr>
        <w:pStyle w:val="BodyText"/>
        <w:spacing w:line="240" w:lineRule="auto" w:before="76"/>
        <w:ind w:right="0"/>
        <w:jc w:val="both"/>
      </w:pPr>
      <w:r>
        <w:rPr/>
        <w:t>①下列长期股权投资采用成本法核算：</w:t>
      </w:r>
    </w:p>
    <w:p>
      <w:pPr>
        <w:spacing w:after="0" w:line="240" w:lineRule="auto"/>
        <w:jc w:val="both"/>
        <w:sectPr>
          <w:pgSz w:w="11910" w:h="16840"/>
          <w:pgMar w:header="906" w:footer="1018" w:top="1100" w:bottom="1200" w:left="1020" w:right="0"/>
        </w:sectPr>
      </w:pPr>
    </w:p>
    <w:p>
      <w:pPr>
        <w:spacing w:line="240" w:lineRule="auto" w:before="11"/>
        <w:rPr>
          <w:rFonts w:ascii="宋体" w:hAnsi="宋体" w:cs="宋体" w:eastAsia="宋体" w:hint="default"/>
          <w:sz w:val="22"/>
          <w:szCs w:val="22"/>
        </w:rPr>
      </w:pPr>
    </w:p>
    <w:p>
      <w:pPr>
        <w:pStyle w:val="BodyText"/>
        <w:spacing w:line="338" w:lineRule="auto" w:before="44"/>
        <w:ind w:right="0"/>
        <w:jc w:val="left"/>
      </w:pPr>
      <w:r>
        <w:rPr/>
        <w:t>公司能够对被投资单位实施控制的长期股权投资。 </w:t>
      </w:r>
      <w:r>
        <w:rPr>
          <w:spacing w:val="-2"/>
        </w:rPr>
        <w:t>采用成本法核算的长期股权投资按照初始投资成本计价。追加或收回投资应当调整长期股权投资的成本。被投资单位宣告分</w:t>
      </w:r>
      <w:r>
        <w:rPr>
          <w:spacing w:val="-64"/>
        </w:rPr>
        <w:t> </w:t>
      </w:r>
      <w:r>
        <w:rPr>
          <w:spacing w:val="-64"/>
        </w:rPr>
      </w:r>
      <w:r>
        <w:rPr/>
        <w:t>派的现金股利或利润，确认为当期投资收益。</w:t>
      </w:r>
    </w:p>
    <w:p>
      <w:pPr>
        <w:spacing w:line="240" w:lineRule="auto" w:before="0"/>
        <w:rPr>
          <w:rFonts w:ascii="宋体" w:hAnsi="宋体" w:cs="宋体" w:eastAsia="宋体" w:hint="default"/>
          <w:sz w:val="18"/>
          <w:szCs w:val="18"/>
        </w:rPr>
      </w:pPr>
    </w:p>
    <w:p>
      <w:pPr>
        <w:pStyle w:val="BodyText"/>
        <w:spacing w:line="338" w:lineRule="auto" w:before="159"/>
        <w:ind w:right="1032"/>
        <w:jc w:val="left"/>
      </w:pPr>
      <w:r>
        <w:rPr/>
        <w:t>②对被投资单位具有共同控制(指合营企业)或重大影响的长期股权投资，采用权益法核算。 长期股权投资采用权益法核算时，对长期股权投资的投资成本大于投资时应享有被投资单位可辨认净资产公允价值份额的， 不调整长期股权投资的投资成本；对长期股权投资的投资成本小于投资时应享有被投资单位可辨认净资产公允价值份额的，</w:t>
      </w:r>
    </w:p>
    <w:p>
      <w:pPr>
        <w:pStyle w:val="BodyText"/>
        <w:spacing w:line="338" w:lineRule="auto" w:before="2"/>
        <w:ind w:right="0"/>
        <w:jc w:val="left"/>
      </w:pPr>
      <w:r>
        <w:rPr/>
        <w:t>对长期股权投资的账面价值进行调整，差额计入投资当期的损益。 </w:t>
      </w:r>
      <w:r>
        <w:rPr>
          <w:spacing w:val="-2"/>
        </w:rPr>
        <w:t>在权益法核算时，当取得长期股权投资后，按照应享有或应分担的被投资单位实现的净损益和其他综合收益的份额，分别确</w:t>
      </w:r>
      <w:r>
        <w:rPr>
          <w:spacing w:val="-66"/>
        </w:rPr>
        <w:t> </w:t>
      </w:r>
      <w:r>
        <w:rPr>
          <w:spacing w:val="-66"/>
        </w:rPr>
      </w:r>
      <w:r>
        <w:rPr>
          <w:spacing w:val="-2"/>
        </w:rPr>
        <w:t>认投资损益和其他综合收益，并调整长期股权投资的账面价值。投资企业按照被投资单位宣告分派的利润或现金股利计算应</w:t>
      </w:r>
    </w:p>
    <w:p>
      <w:pPr>
        <w:pStyle w:val="BodyText"/>
        <w:spacing w:line="319" w:lineRule="auto" w:before="2"/>
        <w:ind w:right="0"/>
        <w:jc w:val="left"/>
      </w:pPr>
      <w:r>
        <w:rPr>
          <w:spacing w:val="-2"/>
        </w:rPr>
        <w:t>分得的部分，相应减少长期股权投资的账面价值。投资方对于被投资单位除净损益、其他综合收益和利润分配以外所有者权</w:t>
      </w:r>
      <w:r>
        <w:rPr>
          <w:spacing w:val="-64"/>
        </w:rPr>
        <w:t> </w:t>
      </w:r>
      <w:r>
        <w:rPr>
          <w:spacing w:val="-64"/>
        </w:rPr>
      </w:r>
      <w:r>
        <w:rPr/>
        <w:t>益的其他变动，应当调整长期股权投资的账面价值并计入所有者权益。</w:t>
      </w:r>
    </w:p>
    <w:p>
      <w:pPr>
        <w:pStyle w:val="BodyText"/>
        <w:spacing w:line="316" w:lineRule="auto" w:before="57"/>
        <w:ind w:right="1129"/>
        <w:jc w:val="both"/>
      </w:pPr>
      <w:r>
        <w:rPr>
          <w:spacing w:val="-2"/>
        </w:rPr>
        <w:t>确认被投资单位发生的净亏损，以长期股权投资的账面价值以及其他实质上构成对被投资单位净投资的长期权益减记至零为</w:t>
      </w:r>
      <w:r>
        <w:rPr>
          <w:spacing w:val="-64"/>
        </w:rPr>
        <w:t> </w:t>
      </w:r>
      <w:r>
        <w:rPr>
          <w:spacing w:val="-64"/>
        </w:rPr>
      </w:r>
      <w:r>
        <w:rPr>
          <w:spacing w:val="-2"/>
        </w:rPr>
        <w:t>限，公司对被投资企业负有承担额外损失义务的除外。被投资单位以后实现净利润的，投资企业在其收益分享额弥补未确认</w:t>
      </w:r>
      <w:r>
        <w:rPr>
          <w:spacing w:val="-64"/>
        </w:rPr>
        <w:t> </w:t>
      </w:r>
      <w:r>
        <w:rPr>
          <w:spacing w:val="-64"/>
        </w:rPr>
      </w:r>
      <w:r>
        <w:rPr/>
        <w:t>的亏损分担额后，恢复确认收益分享额。</w:t>
      </w:r>
    </w:p>
    <w:p>
      <w:pPr>
        <w:pStyle w:val="BodyText"/>
        <w:spacing w:line="319" w:lineRule="auto" w:before="58"/>
        <w:ind w:right="1032"/>
        <w:jc w:val="left"/>
      </w:pPr>
      <w:r>
        <w:rPr>
          <w:spacing w:val="-2"/>
        </w:rPr>
        <w:t>对于被投资单位除净损益、其他综合收益和利润分配以外所有者权益的其他变动，调整长期股权投资的账面价值并计入所有</w:t>
      </w:r>
      <w:r>
        <w:rPr>
          <w:spacing w:val="-64"/>
        </w:rPr>
        <w:t> </w:t>
      </w:r>
      <w:r>
        <w:rPr>
          <w:spacing w:val="-64"/>
        </w:rPr>
      </w:r>
      <w:r>
        <w:rPr/>
        <w:t>者权益。</w:t>
      </w:r>
    </w:p>
    <w:p>
      <w:pPr>
        <w:pStyle w:val="BodyText"/>
        <w:spacing w:line="338" w:lineRule="auto" w:before="57"/>
        <w:ind w:right="1032"/>
        <w:jc w:val="left"/>
      </w:pPr>
      <w:r>
        <w:rPr>
          <w:spacing w:val="-2"/>
        </w:rPr>
        <w:t>长期股权投资按照权益法核算在确认投资损益时，先对被投资单位的净利润进行取得投资时被投资单位各项可辨认资产等的</w:t>
      </w:r>
      <w:r>
        <w:rPr>
          <w:spacing w:val="-64"/>
        </w:rPr>
        <w:t> </w:t>
      </w:r>
      <w:r>
        <w:rPr>
          <w:spacing w:val="-64"/>
        </w:rPr>
      </w:r>
      <w:r>
        <w:rPr/>
        <w:t>公允价值、会计政策和会计期间方面的调整，再按应享有或应分担的被投资单位的净损益份额确认当期投资损益。</w:t>
      </w:r>
      <w:r>
        <w:rPr/>
        <w:t> 与联营企业及合营企业之间发生的未实现内部交易损益按照持股比例计算归属于公司的部分，在抵销基础上确认投资损益。</w:t>
      </w:r>
    </w:p>
    <w:p>
      <w:pPr>
        <w:spacing w:line="240" w:lineRule="auto" w:before="0"/>
        <w:rPr>
          <w:rFonts w:ascii="宋体" w:hAnsi="宋体" w:cs="宋体" w:eastAsia="宋体" w:hint="default"/>
          <w:sz w:val="18"/>
          <w:szCs w:val="18"/>
        </w:rPr>
      </w:pPr>
    </w:p>
    <w:p>
      <w:pPr>
        <w:pStyle w:val="BodyText"/>
        <w:spacing w:line="338" w:lineRule="auto" w:before="159"/>
        <w:ind w:right="0"/>
        <w:jc w:val="left"/>
      </w:pPr>
      <w:r>
        <w:rPr/>
        <w:t>（3）确定对被投资单位具有共同控制、重大影响的依据 </w:t>
      </w:r>
      <w:r>
        <w:rPr>
          <w:spacing w:val="-2"/>
        </w:rPr>
        <w:t>共同控制，是指按照相关约定对某项安排所共有的控制，并且该安排的相关活动必须经过分享控制权的参与方一致同意后才</w:t>
      </w:r>
      <w:r>
        <w:rPr>
          <w:spacing w:val="-64"/>
        </w:rPr>
        <w:t> </w:t>
      </w:r>
      <w:r>
        <w:rPr>
          <w:spacing w:val="-64"/>
        </w:rPr>
      </w:r>
      <w:r>
        <w:rPr>
          <w:spacing w:val="-2"/>
        </w:rPr>
        <w:t>能决策。在判断是否存在共同控制时，首先判断所有参与方或参与方组合是否集体控制该安排，如果所有参与方或一组参与</w:t>
      </w:r>
    </w:p>
    <w:p>
      <w:pPr>
        <w:pStyle w:val="BodyText"/>
        <w:spacing w:line="316" w:lineRule="auto" w:before="2"/>
        <w:ind w:right="1131"/>
        <w:jc w:val="both"/>
      </w:pPr>
      <w:r>
        <w:rPr>
          <w:spacing w:val="-2"/>
        </w:rPr>
        <w:t>方必须一致行动才能决定某项安排的相关活动，则认为所有参与方或一组参与方集体控制该安排。其次再判断该安排相关活</w:t>
      </w:r>
      <w:r>
        <w:rPr>
          <w:spacing w:val="-64"/>
        </w:rPr>
        <w:t> </w:t>
      </w:r>
      <w:r>
        <w:rPr>
          <w:spacing w:val="-64"/>
        </w:rPr>
      </w:r>
      <w:r>
        <w:rPr>
          <w:spacing w:val="-2"/>
        </w:rPr>
        <w:t>动的决策是否必须经过这些集体控制该安排的参与方一致同意。如果存在两个或两个以上的参与方组合能够集体控制某项安</w:t>
      </w:r>
      <w:r>
        <w:rPr>
          <w:spacing w:val="-64"/>
        </w:rPr>
        <w:t> </w:t>
      </w:r>
      <w:r>
        <w:rPr>
          <w:spacing w:val="-64"/>
        </w:rPr>
      </w:r>
      <w:r>
        <w:rPr/>
        <w:t>排的，不构成共同控制。判断是否存在共同控制时，不考虑享有的保护性权利。</w:t>
      </w:r>
    </w:p>
    <w:p>
      <w:pPr>
        <w:spacing w:line="240" w:lineRule="auto" w:before="0"/>
        <w:rPr>
          <w:rFonts w:ascii="宋体" w:hAnsi="宋体" w:cs="宋体" w:eastAsia="宋体" w:hint="default"/>
          <w:sz w:val="18"/>
          <w:szCs w:val="18"/>
        </w:rPr>
      </w:pPr>
    </w:p>
    <w:p>
      <w:pPr>
        <w:spacing w:line="240" w:lineRule="auto" w:before="5"/>
        <w:rPr>
          <w:rFonts w:ascii="宋体" w:hAnsi="宋体" w:cs="宋体" w:eastAsia="宋体" w:hint="default"/>
          <w:sz w:val="13"/>
          <w:szCs w:val="13"/>
        </w:rPr>
      </w:pPr>
    </w:p>
    <w:p>
      <w:pPr>
        <w:pStyle w:val="BodyText"/>
        <w:spacing w:line="316" w:lineRule="auto"/>
        <w:ind w:right="1131"/>
        <w:jc w:val="both"/>
      </w:pPr>
      <w:r>
        <w:rPr>
          <w:spacing w:val="-2"/>
        </w:rPr>
        <w:t>重大影响，是指对一个企业的财务和经营政策有参与决策的权力，但并不能够控制或者与其他方一起共同控制这些政策的制</w:t>
      </w:r>
      <w:r>
        <w:rPr>
          <w:spacing w:val="-64"/>
        </w:rPr>
        <w:t> </w:t>
      </w:r>
      <w:r>
        <w:rPr>
          <w:spacing w:val="-64"/>
        </w:rPr>
      </w:r>
      <w:r>
        <w:rPr>
          <w:spacing w:val="-2"/>
        </w:rPr>
        <w:t>定。在确定能否对被投资单位施加重大影响时，考虑投资方直接或间接持有被投资单位的表决权股份以及投资方及其他方持</w:t>
      </w:r>
      <w:r>
        <w:rPr>
          <w:spacing w:val="-64"/>
        </w:rPr>
        <w:t> </w:t>
      </w:r>
      <w:r>
        <w:rPr>
          <w:spacing w:val="-64"/>
        </w:rPr>
      </w:r>
      <w:r>
        <w:rPr>
          <w:spacing w:val="-2"/>
        </w:rPr>
        <w:t>有的当期可执行潜在表决权在假定转换为对被投资方单位的股权后产生的影响，包括被投资单位发行的当期可转换的认股权</w:t>
      </w:r>
      <w:r>
        <w:rPr>
          <w:spacing w:val="-64"/>
        </w:rPr>
        <w:t> </w:t>
      </w:r>
      <w:r>
        <w:rPr>
          <w:spacing w:val="-64"/>
        </w:rPr>
      </w:r>
      <w:r>
        <w:rPr/>
        <w:t>证、股份期权及可转换公司债券等的影响。</w:t>
      </w:r>
    </w:p>
    <w:p>
      <w:pPr>
        <w:pStyle w:val="BodyText"/>
        <w:spacing w:line="240" w:lineRule="auto" w:before="100"/>
        <w:ind w:right="0"/>
        <w:jc w:val="left"/>
        <w:rPr>
          <w:rFonts w:ascii="Times New Roman" w:hAnsi="Times New Roman" w:cs="Times New Roman" w:eastAsia="Times New Roman" w:hint="default"/>
        </w:rPr>
      </w:pPr>
      <w:r>
        <w:rPr>
          <w:rFonts w:ascii="Times New Roman"/>
        </w:rPr>
        <w:t>="0</w:t>
      </w:r>
    </w:p>
    <w:p>
      <w:pPr>
        <w:spacing w:line="240" w:lineRule="auto" w:before="0"/>
        <w:rPr>
          <w:rFonts w:ascii="Times New Roman" w:hAnsi="Times New Roman" w:cs="Times New Roman" w:eastAsia="Times New Roman" w:hint="default"/>
          <w:sz w:val="18"/>
          <w:szCs w:val="18"/>
        </w:rPr>
      </w:pPr>
    </w:p>
    <w:p>
      <w:pPr>
        <w:pStyle w:val="Heading3"/>
        <w:spacing w:line="240" w:lineRule="auto" w:before="132"/>
        <w:ind w:right="0"/>
        <w:jc w:val="left"/>
        <w:rPr>
          <w:b w:val="0"/>
          <w:bCs w:val="0"/>
        </w:rPr>
      </w:pPr>
      <w:r>
        <w:rPr>
          <w:rFonts w:ascii="Times New Roman" w:hAnsi="Times New Roman" w:cs="Times New Roman" w:eastAsia="Times New Roman" w:hint="default"/>
        </w:rPr>
        <w:t>23</w:t>
      </w:r>
      <w:r>
        <w:rPr/>
        <w:t>、投资性房地产</w:t>
      </w:r>
      <w:r>
        <w:rPr>
          <w:b w:val="0"/>
          <w:bCs w:val="0"/>
        </w:rPr>
      </w:r>
    </w:p>
    <w:p>
      <w:pPr>
        <w:spacing w:line="240" w:lineRule="auto" w:before="6"/>
        <w:rPr>
          <w:rFonts w:ascii="宋体" w:hAnsi="宋体" w:cs="宋体" w:eastAsia="宋体" w:hint="default"/>
          <w:b/>
          <w:bCs/>
          <w:sz w:val="26"/>
          <w:szCs w:val="26"/>
        </w:rPr>
      </w:pPr>
    </w:p>
    <w:p>
      <w:pPr>
        <w:pStyle w:val="BodyText"/>
        <w:spacing w:line="360" w:lineRule="auto"/>
        <w:ind w:right="8952"/>
        <w:jc w:val="left"/>
      </w:pPr>
      <w:r>
        <w:rPr/>
        <w:t>投资性房地产计量模式 不适用</w:t>
      </w:r>
    </w:p>
    <w:p>
      <w:pPr>
        <w:spacing w:after="0" w:line="360" w:lineRule="auto"/>
        <w:jc w:val="left"/>
        <w:sectPr>
          <w:pgSz w:w="11910" w:h="16840"/>
          <w:pgMar w:header="906" w:footer="1018" w:top="1100" w:bottom="1200" w:left="1020" w:right="0"/>
        </w:sectPr>
      </w:pPr>
    </w:p>
    <w:p>
      <w:pPr>
        <w:spacing w:line="240" w:lineRule="auto" w:before="9"/>
        <w:rPr>
          <w:rFonts w:ascii="宋体" w:hAnsi="宋体" w:cs="宋体" w:eastAsia="宋体" w:hint="default"/>
          <w:sz w:val="21"/>
          <w:szCs w:val="21"/>
        </w:rPr>
      </w:pPr>
    </w:p>
    <w:p>
      <w:pPr>
        <w:pStyle w:val="Heading3"/>
        <w:spacing w:line="240" w:lineRule="auto" w:before="35"/>
        <w:ind w:right="0"/>
        <w:jc w:val="left"/>
        <w:rPr>
          <w:b w:val="0"/>
          <w:bCs w:val="0"/>
        </w:rPr>
      </w:pPr>
      <w:r>
        <w:rPr>
          <w:rFonts w:ascii="Times New Roman" w:hAnsi="Times New Roman" w:cs="Times New Roman" w:eastAsia="Times New Roman" w:hint="default"/>
        </w:rPr>
        <w:t>24</w:t>
      </w:r>
      <w:r>
        <w:rPr/>
        <w:t>、固定资产</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t>（</w:t>
      </w:r>
      <w:r>
        <w:rPr>
          <w:rFonts w:ascii="Times New Roman" w:hAnsi="Times New Roman" w:cs="Times New Roman" w:eastAsia="Times New Roman" w:hint="default"/>
        </w:rPr>
        <w:t>1</w:t>
      </w:r>
      <w:r>
        <w:rPr/>
        <w:t>）确认条件</w:t>
      </w:r>
      <w:r>
        <w:rPr>
          <w:b w:val="0"/>
          <w:bCs w:val="0"/>
        </w:rPr>
      </w:r>
    </w:p>
    <w:p>
      <w:pPr>
        <w:spacing w:line="240" w:lineRule="auto" w:before="6"/>
        <w:rPr>
          <w:rFonts w:ascii="宋体" w:hAnsi="宋体" w:cs="宋体" w:eastAsia="宋体" w:hint="default"/>
          <w:b/>
          <w:bCs/>
          <w:sz w:val="26"/>
          <w:szCs w:val="26"/>
        </w:rPr>
      </w:pPr>
    </w:p>
    <w:p>
      <w:pPr>
        <w:pStyle w:val="BodyText"/>
        <w:spacing w:line="316" w:lineRule="auto"/>
        <w:ind w:right="1034"/>
        <w:jc w:val="left"/>
      </w:pPr>
      <w:r>
        <w:rPr>
          <w:spacing w:val="-2"/>
        </w:rPr>
        <w:t>固定资产指为生产商品、提供劳务、出租或经营管理而持有，并且使用寿命超过一个会计年度的有形资产。固定资产同时满</w:t>
      </w:r>
      <w:r>
        <w:rPr>
          <w:spacing w:val="-66"/>
        </w:rPr>
        <w:t> </w:t>
      </w:r>
      <w:r>
        <w:rPr>
          <w:spacing w:val="-66"/>
        </w:rPr>
      </w:r>
      <w:r>
        <w:rPr/>
        <w:t>足下列条件的，才能予以确认： ①与该固定资产有关的经济利益很可能流入企业；</w:t>
      </w:r>
      <w:r>
        <w:rPr>
          <w:spacing w:val="-2"/>
        </w:rPr>
        <w:t> </w:t>
      </w:r>
      <w:r>
        <w:rPr/>
        <w:t>②该固定资产的成本能够可靠地计量。</w:t>
      </w:r>
    </w:p>
    <w:p>
      <w:pPr>
        <w:spacing w:line="240" w:lineRule="auto" w:before="7"/>
        <w:rPr>
          <w:rFonts w:ascii="宋体" w:hAnsi="宋体" w:cs="宋体" w:eastAsia="宋体" w:hint="default"/>
          <w:sz w:val="22"/>
          <w:szCs w:val="22"/>
        </w:rPr>
      </w:pPr>
    </w:p>
    <w:p>
      <w:pPr>
        <w:pStyle w:val="Heading3"/>
        <w:spacing w:line="240" w:lineRule="auto"/>
        <w:ind w:right="0"/>
        <w:jc w:val="left"/>
        <w:rPr>
          <w:b w:val="0"/>
          <w:bCs w:val="0"/>
        </w:rPr>
      </w:pPr>
      <w:r>
        <w:rPr/>
        <w:t>（</w:t>
      </w:r>
      <w:r>
        <w:rPr>
          <w:rFonts w:ascii="Times New Roman" w:hAnsi="Times New Roman" w:cs="Times New Roman" w:eastAsia="Times New Roman" w:hint="default"/>
        </w:rPr>
        <w:t>2</w:t>
      </w:r>
      <w:r>
        <w:rPr/>
        <w:t>）折旧方法</w:t>
      </w:r>
      <w:r>
        <w:rPr>
          <w:b w:val="0"/>
          <w:bCs w:val="0"/>
        </w:rPr>
      </w:r>
    </w:p>
    <w:p>
      <w:pPr>
        <w:spacing w:line="240" w:lineRule="auto" w:before="11"/>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401" w:hRule="exact"/>
        </w:trPr>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591" w:right="0"/>
              <w:jc w:val="left"/>
              <w:rPr>
                <w:rFonts w:ascii="宋体" w:hAnsi="宋体" w:cs="宋体" w:eastAsia="宋体" w:hint="default"/>
                <w:sz w:val="18"/>
                <w:szCs w:val="18"/>
              </w:rPr>
            </w:pPr>
            <w:r>
              <w:rPr>
                <w:rFonts w:ascii="宋体" w:hAnsi="宋体" w:cs="宋体" w:eastAsia="宋体" w:hint="default"/>
                <w:sz w:val="18"/>
                <w:szCs w:val="18"/>
              </w:rPr>
              <w:t>折旧方法</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591" w:right="0"/>
              <w:jc w:val="left"/>
              <w:rPr>
                <w:rFonts w:ascii="宋体" w:hAnsi="宋体" w:cs="宋体" w:eastAsia="宋体" w:hint="default"/>
                <w:sz w:val="18"/>
                <w:szCs w:val="18"/>
              </w:rPr>
            </w:pPr>
            <w:r>
              <w:rPr>
                <w:rFonts w:ascii="宋体" w:hAnsi="宋体" w:cs="宋体" w:eastAsia="宋体" w:hint="default"/>
                <w:sz w:val="18"/>
                <w:szCs w:val="18"/>
              </w:rPr>
              <w:t>折旧年限</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残值率</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591" w:right="0"/>
              <w:jc w:val="left"/>
              <w:rPr>
                <w:rFonts w:ascii="宋体" w:hAnsi="宋体" w:cs="宋体" w:eastAsia="宋体" w:hint="default"/>
                <w:sz w:val="18"/>
                <w:szCs w:val="18"/>
              </w:rPr>
            </w:pPr>
            <w:r>
              <w:rPr>
                <w:rFonts w:ascii="宋体" w:hAnsi="宋体" w:cs="宋体" w:eastAsia="宋体" w:hint="default"/>
                <w:sz w:val="18"/>
                <w:szCs w:val="18"/>
              </w:rPr>
              <w:t>年折旧率</w:t>
            </w:r>
          </w:p>
        </w:tc>
      </w:tr>
      <w:tr>
        <w:trPr>
          <w:trHeight w:val="403"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 </w:t>
            </w:r>
            <w:r>
              <w:rPr>
                <w:rFonts w:ascii="宋体" w:hAnsi="宋体" w:cs="宋体" w:eastAsia="宋体" w:hint="default"/>
                <w:sz w:val="18"/>
                <w:szCs w:val="18"/>
              </w:rPr>
              <w:t>年</w:t>
            </w:r>
            <w:r>
              <w:rPr>
                <w:rFonts w:ascii="Times New Roman" w:hAnsi="Times New Roman" w:cs="Times New Roman" w:eastAsia="Times New Roman" w:hint="default"/>
                <w:sz w:val="18"/>
                <w:szCs w:val="18"/>
              </w:rPr>
              <w:t>-50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02" w:right="0"/>
              <w:jc w:val="left"/>
              <w:rPr>
                <w:rFonts w:ascii="Times New Roman" w:hAnsi="Times New Roman" w:cs="Times New Roman" w:eastAsia="Times New Roman" w:hint="default"/>
                <w:sz w:val="18"/>
                <w:szCs w:val="18"/>
              </w:rPr>
            </w:pPr>
            <w:r>
              <w:rPr>
                <w:rFonts w:ascii="Times New Roman"/>
                <w:sz w:val="18"/>
              </w:rPr>
              <w:t>5.00%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02" w:right="0"/>
              <w:jc w:val="left"/>
              <w:rPr>
                <w:rFonts w:ascii="Times New Roman" w:hAnsi="Times New Roman" w:cs="Times New Roman" w:eastAsia="Times New Roman" w:hint="default"/>
                <w:sz w:val="18"/>
                <w:szCs w:val="18"/>
              </w:rPr>
            </w:pPr>
            <w:r>
              <w:rPr>
                <w:rFonts w:ascii="Times New Roman"/>
                <w:sz w:val="18"/>
              </w:rPr>
              <w:t>1.90%-4.75%</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通用设备</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 </w:t>
            </w:r>
            <w:r>
              <w:rPr>
                <w:rFonts w:ascii="宋体" w:hAnsi="宋体" w:cs="宋体" w:eastAsia="宋体" w:hint="default"/>
                <w:sz w:val="18"/>
                <w:szCs w:val="18"/>
              </w:rPr>
              <w:t>年</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02" w:right="0"/>
              <w:jc w:val="left"/>
              <w:rPr>
                <w:rFonts w:ascii="Times New Roman" w:hAnsi="Times New Roman" w:cs="Times New Roman" w:eastAsia="Times New Roman" w:hint="default"/>
                <w:sz w:val="18"/>
                <w:szCs w:val="18"/>
              </w:rPr>
            </w:pPr>
            <w:r>
              <w:rPr>
                <w:rFonts w:ascii="Times New Roman"/>
                <w:sz w:val="18"/>
              </w:rPr>
              <w:t>5.00%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02" w:right="0"/>
              <w:jc w:val="left"/>
              <w:rPr>
                <w:rFonts w:ascii="Times New Roman" w:hAnsi="Times New Roman" w:cs="Times New Roman" w:eastAsia="Times New Roman" w:hint="default"/>
                <w:sz w:val="18"/>
                <w:szCs w:val="18"/>
              </w:rPr>
            </w:pPr>
            <w:r>
              <w:rPr>
                <w:rFonts w:ascii="Times New Roman"/>
                <w:sz w:val="18"/>
              </w:rPr>
              <w:t>19.00%</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专用设备</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年</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02" w:right="0"/>
              <w:jc w:val="left"/>
              <w:rPr>
                <w:rFonts w:ascii="Times New Roman" w:hAnsi="Times New Roman" w:cs="Times New Roman" w:eastAsia="Times New Roman" w:hint="default"/>
                <w:sz w:val="18"/>
                <w:szCs w:val="18"/>
              </w:rPr>
            </w:pPr>
            <w:r>
              <w:rPr>
                <w:rFonts w:ascii="Times New Roman"/>
                <w:sz w:val="18"/>
              </w:rPr>
              <w:t>5.00%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02" w:right="0"/>
              <w:jc w:val="left"/>
              <w:rPr>
                <w:rFonts w:ascii="Times New Roman" w:hAnsi="Times New Roman" w:cs="Times New Roman" w:eastAsia="Times New Roman" w:hint="default"/>
                <w:sz w:val="18"/>
                <w:szCs w:val="18"/>
              </w:rPr>
            </w:pPr>
            <w:r>
              <w:rPr>
                <w:rFonts w:ascii="Times New Roman"/>
                <w:sz w:val="18"/>
              </w:rPr>
              <w:t>9.50%</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 </w:t>
            </w:r>
            <w:r>
              <w:rPr>
                <w:rFonts w:ascii="宋体" w:hAnsi="宋体" w:cs="宋体" w:eastAsia="宋体" w:hint="default"/>
                <w:sz w:val="18"/>
                <w:szCs w:val="18"/>
              </w:rPr>
              <w:t>年</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02" w:right="0"/>
              <w:jc w:val="left"/>
              <w:rPr>
                <w:rFonts w:ascii="Times New Roman" w:hAnsi="Times New Roman" w:cs="Times New Roman" w:eastAsia="Times New Roman" w:hint="default"/>
                <w:sz w:val="18"/>
                <w:szCs w:val="18"/>
              </w:rPr>
            </w:pPr>
            <w:r>
              <w:rPr>
                <w:rFonts w:ascii="Times New Roman"/>
                <w:sz w:val="18"/>
              </w:rPr>
              <w:t>5.00%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02" w:right="0"/>
              <w:jc w:val="left"/>
              <w:rPr>
                <w:rFonts w:ascii="Times New Roman" w:hAnsi="Times New Roman" w:cs="Times New Roman" w:eastAsia="Times New Roman" w:hint="default"/>
                <w:sz w:val="18"/>
                <w:szCs w:val="18"/>
              </w:rPr>
            </w:pPr>
            <w:r>
              <w:rPr>
                <w:rFonts w:ascii="Times New Roman"/>
                <w:sz w:val="18"/>
              </w:rPr>
              <w:t>19.00%</w:t>
            </w:r>
          </w:p>
        </w:tc>
      </w:tr>
    </w:tbl>
    <w:p>
      <w:pPr>
        <w:spacing w:line="240" w:lineRule="auto" w:before="1"/>
        <w:rPr>
          <w:rFonts w:ascii="宋体" w:hAnsi="宋体" w:cs="宋体" w:eastAsia="宋体" w:hint="default"/>
          <w:b/>
          <w:bCs/>
          <w:sz w:val="19"/>
          <w:szCs w:val="19"/>
        </w:rPr>
      </w:pPr>
    </w:p>
    <w:p>
      <w:pPr>
        <w:pStyle w:val="Heading3"/>
        <w:spacing w:line="240" w:lineRule="auto" w:before="35"/>
        <w:ind w:right="0"/>
        <w:jc w:val="both"/>
        <w:rPr>
          <w:b w:val="0"/>
          <w:bCs w:val="0"/>
        </w:rPr>
      </w:pPr>
      <w:r>
        <w:rPr/>
        <w:t>（</w:t>
      </w:r>
      <w:r>
        <w:rPr>
          <w:rFonts w:ascii="Times New Roman" w:hAnsi="Times New Roman" w:cs="Times New Roman" w:eastAsia="Times New Roman" w:hint="default"/>
        </w:rPr>
        <w:t>3</w:t>
      </w:r>
      <w:r>
        <w:rPr/>
        <w:t>）融资租入固定资产的认定依据、计价和折旧方法</w:t>
      </w:r>
      <w:r>
        <w:rPr>
          <w:b w:val="0"/>
          <w:bCs w:val="0"/>
        </w:rPr>
      </w:r>
    </w:p>
    <w:p>
      <w:pPr>
        <w:spacing w:line="240" w:lineRule="auto" w:before="7"/>
        <w:rPr>
          <w:rFonts w:ascii="宋体" w:hAnsi="宋体" w:cs="宋体" w:eastAsia="宋体" w:hint="default"/>
          <w:b/>
          <w:bCs/>
          <w:sz w:val="26"/>
          <w:szCs w:val="26"/>
        </w:rPr>
      </w:pPr>
    </w:p>
    <w:p>
      <w:pPr>
        <w:pStyle w:val="BodyText"/>
        <w:spacing w:line="316" w:lineRule="auto"/>
        <w:ind w:right="1131"/>
        <w:jc w:val="both"/>
      </w:pPr>
      <w:r>
        <w:rPr>
          <w:spacing w:val="-2"/>
        </w:rPr>
        <w:t>融资租入固定资产的认定依据：实质上转移了与资产所有权有关的全部风险和报酬的租赁。具体认定依据为符合下列一项或</w:t>
      </w:r>
      <w:r>
        <w:rPr>
          <w:spacing w:val="-64"/>
        </w:rPr>
        <w:t> </w:t>
      </w:r>
      <w:r>
        <w:rPr>
          <w:spacing w:val="-64"/>
        </w:rPr>
      </w:r>
      <w:r>
        <w:rPr/>
        <w:t>数项条件的：</w:t>
      </w:r>
      <w:r>
        <w:rPr>
          <w:spacing w:val="-41"/>
        </w:rPr>
        <w:t> </w:t>
      </w:r>
      <w:r>
        <w:rPr/>
        <w:t>①在租赁期届满时，租赁资产的所有权转移给承租人；</w:t>
      </w:r>
      <w:r>
        <w:rPr>
          <w:spacing w:val="-41"/>
        </w:rPr>
        <w:t> </w:t>
      </w:r>
      <w:r>
        <w:rPr/>
        <w:t>②承租人有购买租赁资产的选择权，所订立的购买价</w:t>
      </w:r>
      <w:r>
        <w:rPr/>
        <w:t> 款预计将远低于行使选择权时租赁资产的公允价值，因而在租赁开始日就可以合理确定承租人会行使这种选择权；</w:t>
      </w:r>
      <w:r>
        <w:rPr>
          <w:spacing w:val="-1"/>
        </w:rPr>
        <w:t> </w:t>
      </w:r>
      <w:r>
        <w:rPr/>
        <w:t>③即使</w:t>
      </w:r>
      <w:r>
        <w:rPr/>
        <w:t> 资产的所有权不转移，但租赁期占租赁资产使用寿命的大部分；</w:t>
      </w:r>
      <w:r>
        <w:rPr>
          <w:spacing w:val="-2"/>
        </w:rPr>
        <w:t> </w:t>
      </w:r>
      <w:r>
        <w:rPr/>
        <w:t>④承租人在租赁开始日的最低租赁付款额现值，几乎相当</w:t>
      </w:r>
      <w:r>
        <w:rPr/>
        <w:t> 于租赁开始日租赁资产公允价值；</w:t>
      </w:r>
      <w:r>
        <w:rPr>
          <w:spacing w:val="-41"/>
        </w:rPr>
        <w:t> </w:t>
      </w:r>
      <w:r>
        <w:rPr/>
        <w:t>⑤租赁资产性质特殊，如不作较大改造只有承租人才能使用。</w:t>
      </w:r>
      <w:r>
        <w:rPr>
          <w:spacing w:val="-40"/>
        </w:rPr>
        <w:t> </w:t>
      </w:r>
      <w:r>
        <w:rPr/>
        <w:t>融资租入固定资产的计价</w:t>
      </w:r>
      <w:r>
        <w:rPr/>
        <w:t> 方法：融资租入固定资产初始计价为租赁期开始日租赁资产公允价值与最低租赁付款额现值较低者作为入账价值。</w:t>
      </w:r>
      <w:r>
        <w:rPr>
          <w:spacing w:val="-1"/>
        </w:rPr>
        <w:t> </w:t>
      </w:r>
      <w:r>
        <w:rPr/>
        <w:t>融资租</w:t>
      </w:r>
      <w:r>
        <w:rPr/>
        <w:t> 入固定资产后续计价采用与自有固定资产相一致的折旧政策计提折旧及减值准备。</w:t>
      </w:r>
    </w:p>
    <w:p>
      <w:pPr>
        <w:spacing w:line="240" w:lineRule="auto" w:before="7"/>
        <w:rPr>
          <w:rFonts w:ascii="宋体" w:hAnsi="宋体" w:cs="宋体" w:eastAsia="宋体" w:hint="default"/>
          <w:sz w:val="22"/>
          <w:szCs w:val="22"/>
        </w:rPr>
      </w:pPr>
    </w:p>
    <w:p>
      <w:pPr>
        <w:pStyle w:val="Heading3"/>
        <w:spacing w:line="240" w:lineRule="auto"/>
        <w:ind w:right="0"/>
        <w:jc w:val="both"/>
        <w:rPr>
          <w:b w:val="0"/>
          <w:bCs w:val="0"/>
        </w:rPr>
      </w:pPr>
      <w:r>
        <w:rPr>
          <w:rFonts w:ascii="Times New Roman" w:hAnsi="Times New Roman" w:cs="Times New Roman" w:eastAsia="Times New Roman" w:hint="default"/>
        </w:rPr>
        <w:t>25</w:t>
      </w:r>
      <w:r>
        <w:rPr/>
        <w:t>、在建工程</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both"/>
        <w:rPr>
          <w:b w:val="0"/>
          <w:bCs w:val="0"/>
        </w:rPr>
      </w:pPr>
      <w:r>
        <w:rPr>
          <w:rFonts w:ascii="Times New Roman" w:hAnsi="Times New Roman" w:cs="Times New Roman" w:eastAsia="Times New Roman" w:hint="default"/>
        </w:rPr>
        <w:t>26</w:t>
      </w:r>
      <w:r>
        <w:rPr/>
        <w:t>、借款费用</w:t>
      </w:r>
      <w:r>
        <w:rPr>
          <w:b w:val="0"/>
          <w:bCs w:val="0"/>
        </w:rPr>
      </w:r>
    </w:p>
    <w:p>
      <w:pPr>
        <w:spacing w:line="240" w:lineRule="auto" w:before="6"/>
        <w:rPr>
          <w:rFonts w:ascii="宋体" w:hAnsi="宋体" w:cs="宋体" w:eastAsia="宋体" w:hint="default"/>
          <w:b/>
          <w:bCs/>
          <w:sz w:val="26"/>
          <w:szCs w:val="26"/>
        </w:rPr>
      </w:pPr>
    </w:p>
    <w:p>
      <w:pPr>
        <w:pStyle w:val="BodyText"/>
        <w:spacing w:line="316" w:lineRule="auto"/>
        <w:ind w:right="1128"/>
        <w:jc w:val="both"/>
      </w:pPr>
      <w:r>
        <w:rPr/>
        <w:t>（1）公司发生的借款费用，可直接归属于符合资本化条件的资产的购建或者生产的，予以资本化，计入相关资产成本。符</w:t>
      </w:r>
      <w:r>
        <w:rPr>
          <w:spacing w:val="-84"/>
        </w:rPr>
        <w:t> </w:t>
      </w:r>
      <w:r>
        <w:rPr>
          <w:spacing w:val="-84"/>
        </w:rPr>
      </w:r>
      <w:r>
        <w:rPr>
          <w:spacing w:val="-2"/>
        </w:rPr>
        <w:t>合资本化条件的资产，是指需要经过相当长的时间的(通常是指1年及1年以上)购建或者生产活动才能达到预定可使用可销售</w:t>
      </w:r>
      <w:r>
        <w:rPr>
          <w:spacing w:val="-60"/>
        </w:rPr>
        <w:t> </w:t>
      </w:r>
      <w:r>
        <w:rPr>
          <w:spacing w:val="-60"/>
        </w:rPr>
      </w:r>
      <w:r>
        <w:rPr>
          <w:spacing w:val="-2"/>
        </w:rPr>
        <w:t>状态的固定资产、投资性房地产和存货等资产。其他借款费用，应当在发生时根据其发生额确认为费用，计入当期损益。借</w:t>
      </w:r>
      <w:r>
        <w:rPr>
          <w:spacing w:val="-67"/>
        </w:rPr>
        <w:t> </w:t>
      </w:r>
      <w:r>
        <w:rPr>
          <w:spacing w:val="-67"/>
        </w:rPr>
      </w:r>
      <w:r>
        <w:rPr/>
        <w:t>款费用包括借款利息、折价或者溢价的摊销、辅助费用以及因外币借款而发生的汇兑差额等。</w:t>
      </w:r>
    </w:p>
    <w:p>
      <w:pPr>
        <w:spacing w:line="240" w:lineRule="auto" w:before="0"/>
        <w:rPr>
          <w:rFonts w:ascii="宋体" w:hAnsi="宋体" w:cs="宋体" w:eastAsia="宋体" w:hint="default"/>
          <w:sz w:val="18"/>
          <w:szCs w:val="18"/>
        </w:rPr>
      </w:pPr>
    </w:p>
    <w:p>
      <w:pPr>
        <w:spacing w:line="240" w:lineRule="auto" w:before="5"/>
        <w:rPr>
          <w:rFonts w:ascii="宋体" w:hAnsi="宋体" w:cs="宋体" w:eastAsia="宋体" w:hint="default"/>
          <w:sz w:val="13"/>
          <w:szCs w:val="13"/>
        </w:rPr>
      </w:pPr>
    </w:p>
    <w:p>
      <w:pPr>
        <w:pStyle w:val="BodyText"/>
        <w:spacing w:line="240" w:lineRule="auto"/>
        <w:ind w:right="0"/>
        <w:jc w:val="both"/>
      </w:pPr>
      <w:r>
        <w:rPr/>
        <w:t>（2）借款费用同时满足下列条件的，开始资本化：</w:t>
      </w:r>
    </w:p>
    <w:p>
      <w:pPr>
        <w:pStyle w:val="BodyText"/>
        <w:spacing w:line="319" w:lineRule="auto" w:before="76"/>
        <w:ind w:right="1131"/>
        <w:jc w:val="both"/>
      </w:pPr>
      <w:r>
        <w:rPr>
          <w:spacing w:val="-2"/>
        </w:rPr>
        <w:t>①资产支出已发生，资产支出包括为购建或者生产符合资本化条件的资产而支付的现金、转移非现金资产或者承担带息债务</w:t>
      </w:r>
      <w:r>
        <w:rPr>
          <w:spacing w:val="-64"/>
        </w:rPr>
        <w:t> </w:t>
      </w:r>
      <w:r>
        <w:rPr>
          <w:spacing w:val="-64"/>
        </w:rPr>
      </w:r>
      <w:r>
        <w:rPr/>
        <w:t>形式发生的支出；</w:t>
      </w:r>
    </w:p>
    <w:p>
      <w:pPr>
        <w:pStyle w:val="BodyText"/>
        <w:spacing w:line="240" w:lineRule="auto" w:before="17"/>
        <w:ind w:right="0"/>
        <w:jc w:val="both"/>
      </w:pPr>
      <w:r>
        <w:rPr/>
        <w:t>②借款费用已经发生；</w:t>
      </w:r>
    </w:p>
    <w:p>
      <w:pPr>
        <w:pStyle w:val="BodyText"/>
        <w:spacing w:line="360" w:lineRule="auto" w:before="76"/>
        <w:ind w:right="1129"/>
        <w:jc w:val="both"/>
      </w:pPr>
      <w:r>
        <w:rPr/>
        <w:t>③为使资产达到预定可使用或者可销售状态所必要的购建或者生产活动已经开始。 购建或者生产符合资本化条件的资产达到预定可使用或者可销售状态时，借款费用停止资本化。</w:t>
      </w:r>
    </w:p>
    <w:p>
      <w:pPr>
        <w:pStyle w:val="BodyText"/>
        <w:spacing w:line="316" w:lineRule="auto" w:before="26"/>
        <w:ind w:right="1129"/>
        <w:jc w:val="both"/>
      </w:pPr>
      <w:r>
        <w:rPr/>
        <w:t>符合资本化条件的资产在购建或者生产过程中发生非正常中断，且中断时间连续超过3个月的，暂停借款费用的资本化。在 </w:t>
      </w:r>
      <w:r>
        <w:rPr>
          <w:spacing w:val="-2"/>
        </w:rPr>
        <w:t>中断期间发生的借款费用确认为费用，计入当期损益，直至资产的购建或者生产活动重新开始。如果中断是所购建或者生产</w:t>
      </w:r>
      <w:r>
        <w:rPr>
          <w:spacing w:val="-64"/>
        </w:rPr>
        <w:t> </w:t>
      </w:r>
      <w:r>
        <w:rPr>
          <w:spacing w:val="-64"/>
        </w:rPr>
      </w:r>
      <w:r>
        <w:rPr/>
        <w:t>的符合资本化条件的资产达到预定可使用或可销售状态必要的程序，借款费用的资本化则继续进行。</w:t>
      </w:r>
    </w:p>
    <w:p>
      <w:pPr>
        <w:spacing w:after="0" w:line="316" w:lineRule="auto"/>
        <w:jc w:val="both"/>
        <w:sectPr>
          <w:pgSz w:w="11910" w:h="16840"/>
          <w:pgMar w:header="906" w:footer="1018" w:top="1100" w:bottom="1200" w:left="1020" w:right="0"/>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9"/>
          <w:szCs w:val="29"/>
        </w:rPr>
      </w:pPr>
    </w:p>
    <w:p>
      <w:pPr>
        <w:pStyle w:val="BodyText"/>
        <w:spacing w:line="240" w:lineRule="auto" w:before="44"/>
        <w:ind w:right="0"/>
        <w:jc w:val="left"/>
      </w:pPr>
      <w:r>
        <w:rPr/>
        <w:t>（3）在资本化期间内，每一会计期间的利息(包括折价或溢价的摊销)资本化金额，按照下列规定确定：</w:t>
      </w:r>
    </w:p>
    <w:p>
      <w:pPr>
        <w:pStyle w:val="BodyText"/>
        <w:spacing w:line="316" w:lineRule="auto" w:before="76"/>
        <w:ind w:right="0"/>
        <w:jc w:val="left"/>
      </w:pPr>
      <w:r>
        <w:rPr>
          <w:spacing w:val="-2"/>
        </w:rPr>
        <w:t>①为购建或者生产符合资本化条件的资产而借入专门借款的，以专门借款当期实际发生的利息费用，减去尚未动用的借款资</w:t>
      </w:r>
      <w:r>
        <w:rPr>
          <w:spacing w:val="-64"/>
        </w:rPr>
        <w:t> </w:t>
      </w:r>
      <w:r>
        <w:rPr>
          <w:spacing w:val="-64"/>
        </w:rPr>
      </w:r>
      <w:r>
        <w:rPr/>
        <w:t>金存入银行取得的利息收入或进行暂时性投资取得的投资收益后的金额确定。</w:t>
      </w:r>
    </w:p>
    <w:p>
      <w:pPr>
        <w:pStyle w:val="BodyText"/>
        <w:spacing w:line="338" w:lineRule="auto" w:before="18"/>
        <w:ind w:right="1032"/>
        <w:jc w:val="left"/>
      </w:pPr>
      <w:r>
        <w:rPr>
          <w:spacing w:val="-2"/>
        </w:rPr>
        <w:t>②为购建或者生产符合资本化条件的资产而占用了一般借款的，根据累计资产支出超过专门借款部分的资产支出加权平均数</w:t>
      </w:r>
      <w:r>
        <w:rPr>
          <w:spacing w:val="-64"/>
        </w:rPr>
        <w:t> </w:t>
      </w:r>
      <w:r>
        <w:rPr>
          <w:spacing w:val="-64"/>
        </w:rPr>
      </w:r>
      <w:r>
        <w:rPr/>
        <w:t>乘以所占用的一般借款的资本化率，计算确定一般借款应予资本化的利息金额。资本化率根据一般借款加权平均利率确定。</w:t>
      </w:r>
      <w:r>
        <w:rPr/>
        <w:t> 借款存在折价或溢价的，按照实际利率法确定每一会计期间相应摊销的折价或者溢价的金额，调整每期利息金额。</w:t>
      </w:r>
    </w:p>
    <w:p>
      <w:pPr>
        <w:pStyle w:val="BodyText"/>
        <w:spacing w:line="240" w:lineRule="auto" w:before="43"/>
        <w:ind w:right="0"/>
        <w:jc w:val="left"/>
      </w:pPr>
      <w:r>
        <w:rPr/>
        <w:t>在资本化期间内，每一会计期间的利息资本化金额，不超过当期相关借款实际发生的利息金额。</w:t>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7"/>
          <w:szCs w:val="17"/>
        </w:rPr>
      </w:pPr>
    </w:p>
    <w:p>
      <w:pPr>
        <w:pStyle w:val="BodyText"/>
        <w:spacing w:line="316" w:lineRule="auto"/>
        <w:ind w:right="1128"/>
        <w:jc w:val="both"/>
      </w:pPr>
      <w:r>
        <w:rPr/>
        <w:t>（4）专门借款发生的辅助费用，在所购建或者生产的符合资本化条件的资产达到预定可使用或者可销售状态之前发生的，</w:t>
      </w:r>
      <w:r>
        <w:rPr>
          <w:spacing w:val="-85"/>
        </w:rPr>
        <w:t> </w:t>
      </w:r>
      <w:r>
        <w:rPr>
          <w:spacing w:val="-85"/>
        </w:rPr>
      </w:r>
      <w:r>
        <w:rPr>
          <w:spacing w:val="-2"/>
        </w:rPr>
        <w:t>在发生时根据其发生额予以资本化，计入符合资本化条件的资产的成本；在所购建或者生产的符合资本化条件的资产达到预</w:t>
      </w:r>
      <w:r>
        <w:rPr>
          <w:spacing w:val="-64"/>
        </w:rPr>
        <w:t> </w:t>
      </w:r>
      <w:r>
        <w:rPr>
          <w:spacing w:val="-64"/>
        </w:rPr>
      </w:r>
      <w:r>
        <w:rPr>
          <w:spacing w:val="-2"/>
        </w:rPr>
        <w:t>定可使用或者可销售状态之后发生的，在发生时根据其发生额确认为费用，计入当期损益。一般借款发生的辅助费用，在发</w:t>
      </w:r>
      <w:r>
        <w:rPr>
          <w:spacing w:val="-67"/>
        </w:rPr>
        <w:t> </w:t>
      </w:r>
      <w:r>
        <w:rPr>
          <w:spacing w:val="-67"/>
        </w:rPr>
      </w:r>
      <w:r>
        <w:rPr/>
        <w:t>生时根据其发生额确认为费用，计入当期损益。</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Heading3"/>
        <w:spacing w:line="240" w:lineRule="auto" w:before="135"/>
        <w:ind w:right="0"/>
        <w:jc w:val="left"/>
        <w:rPr>
          <w:b w:val="0"/>
          <w:bCs w:val="0"/>
        </w:rPr>
      </w:pPr>
      <w:r>
        <w:rPr>
          <w:rFonts w:ascii="Times New Roman" w:hAnsi="Times New Roman" w:cs="Times New Roman" w:eastAsia="Times New Roman" w:hint="default"/>
        </w:rPr>
        <w:t>27</w:t>
      </w:r>
      <w:r>
        <w:rPr/>
        <w:t>、生物资产</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28</w:t>
      </w:r>
      <w:r>
        <w:rPr/>
        <w:t>、油气资产</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13"/>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29</w:t>
      </w:r>
      <w:r>
        <w:rPr/>
        <w:t>、使用权资产</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30</w:t>
      </w:r>
      <w:r>
        <w:rPr/>
        <w:t>、无形资产</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r>
        <w:rPr/>
        <w:t>（</w:t>
      </w:r>
      <w:r>
        <w:rPr>
          <w:rFonts w:ascii="Times New Roman" w:hAnsi="Times New Roman" w:cs="Times New Roman" w:eastAsia="Times New Roman" w:hint="default"/>
        </w:rPr>
        <w:t>1</w:t>
      </w:r>
      <w:r>
        <w:rPr/>
        <w:t>）计价方法、使用寿命、减值测试</w:t>
      </w:r>
      <w:r>
        <w:rPr>
          <w:b w:val="0"/>
          <w:bCs w:val="0"/>
        </w:rPr>
      </w:r>
    </w:p>
    <w:p>
      <w:pPr>
        <w:spacing w:line="240" w:lineRule="auto" w:before="6"/>
        <w:rPr>
          <w:rFonts w:ascii="宋体" w:hAnsi="宋体" w:cs="宋体" w:eastAsia="宋体" w:hint="default"/>
          <w:b/>
          <w:bCs/>
          <w:sz w:val="26"/>
          <w:szCs w:val="26"/>
        </w:rPr>
      </w:pPr>
    </w:p>
    <w:p>
      <w:pPr>
        <w:pStyle w:val="BodyText"/>
        <w:spacing w:line="316" w:lineRule="auto"/>
        <w:ind w:right="1122"/>
        <w:jc w:val="left"/>
      </w:pPr>
      <w:r>
        <w:rPr/>
        <w:t>（1）无形资产，是指企业拥有或者控制的没有实物形态的可辨认非货币性资产。无形资产按照成本进行初始计量，于取得</w:t>
      </w:r>
      <w:r>
        <w:rPr>
          <w:spacing w:val="-85"/>
        </w:rPr>
        <w:t> </w:t>
      </w:r>
      <w:r>
        <w:rPr>
          <w:spacing w:val="-85"/>
        </w:rPr>
      </w:r>
      <w:r>
        <w:rPr/>
        <w:t>无形资产时分析判断其使用寿命。</w:t>
      </w:r>
    </w:p>
    <w:p>
      <w:pPr>
        <w:spacing w:line="240" w:lineRule="auto" w:before="0"/>
        <w:rPr>
          <w:rFonts w:ascii="宋体" w:hAnsi="宋体" w:cs="宋体" w:eastAsia="宋体" w:hint="default"/>
          <w:sz w:val="18"/>
          <w:szCs w:val="18"/>
        </w:rPr>
      </w:pPr>
    </w:p>
    <w:p>
      <w:pPr>
        <w:spacing w:line="240" w:lineRule="auto" w:before="5"/>
        <w:rPr>
          <w:rFonts w:ascii="宋体" w:hAnsi="宋体" w:cs="宋体" w:eastAsia="宋体" w:hint="default"/>
          <w:sz w:val="13"/>
          <w:szCs w:val="13"/>
        </w:rPr>
      </w:pPr>
    </w:p>
    <w:p>
      <w:pPr>
        <w:pStyle w:val="BodyText"/>
        <w:spacing w:line="240" w:lineRule="auto"/>
        <w:ind w:right="0"/>
        <w:jc w:val="left"/>
      </w:pPr>
      <w:r>
        <w:rPr/>
        <w:t>（2）公司确定无形资产使用寿命通常考虑的因素：</w:t>
      </w:r>
    </w:p>
    <w:p>
      <w:pPr>
        <w:pStyle w:val="BodyText"/>
        <w:spacing w:line="240" w:lineRule="auto" w:before="76"/>
        <w:ind w:right="0"/>
        <w:jc w:val="left"/>
      </w:pPr>
      <w:r>
        <w:rPr/>
        <w:t>①运用该资产生产的产品通常的寿命周期、可获得的类似资产使用寿命的信息；</w:t>
      </w:r>
    </w:p>
    <w:p>
      <w:pPr>
        <w:pStyle w:val="BodyText"/>
        <w:spacing w:line="240" w:lineRule="auto" w:before="76"/>
        <w:ind w:right="0"/>
        <w:jc w:val="left"/>
      </w:pPr>
      <w:r>
        <w:rPr/>
        <w:t>②技术、工艺等方面的现阶段情况及对未来发展趋势的估计；</w:t>
      </w:r>
    </w:p>
    <w:p>
      <w:pPr>
        <w:pStyle w:val="BodyText"/>
        <w:spacing w:line="240" w:lineRule="auto" w:before="76"/>
        <w:ind w:right="0"/>
        <w:jc w:val="left"/>
      </w:pPr>
      <w:r>
        <w:rPr/>
        <w:t>③以该资产生产的产品或提供服务的市场需求情况；</w:t>
      </w:r>
    </w:p>
    <w:p>
      <w:pPr>
        <w:pStyle w:val="BodyText"/>
        <w:spacing w:line="240" w:lineRule="auto" w:before="76"/>
        <w:ind w:right="0"/>
        <w:jc w:val="left"/>
      </w:pPr>
      <w:r>
        <w:rPr/>
        <w:t>④现在或潜在的竞争者预期采取的行动；</w:t>
      </w:r>
    </w:p>
    <w:p>
      <w:pPr>
        <w:pStyle w:val="BodyText"/>
        <w:spacing w:line="240" w:lineRule="auto" w:before="76"/>
        <w:ind w:right="0"/>
        <w:jc w:val="left"/>
      </w:pPr>
      <w:r>
        <w:rPr/>
        <w:t>⑤为维持该资产带来经济利益能力的预期维护支出，以及公司预计支付有关支出的能力；</w:t>
      </w:r>
    </w:p>
    <w:p>
      <w:pPr>
        <w:pStyle w:val="BodyText"/>
        <w:spacing w:line="240" w:lineRule="auto" w:before="76"/>
        <w:ind w:right="0"/>
        <w:jc w:val="left"/>
      </w:pPr>
      <w:r>
        <w:rPr/>
        <w:t>⑥对该资产控制期限的相关法律规定或类似限制，如特许使用期、租赁期等；</w:t>
      </w:r>
    </w:p>
    <w:p>
      <w:pPr>
        <w:pStyle w:val="BodyText"/>
        <w:spacing w:line="360" w:lineRule="auto" w:before="76"/>
        <w:ind w:right="4272"/>
        <w:jc w:val="left"/>
      </w:pPr>
      <w:r>
        <w:rPr/>
        <w:t>⑦与企业持有其他资产使用寿命的关联性等。 无法预见无形资产为公司带来经济利益期限的，视为使用寿命不确定的无形资产。</w:t>
      </w:r>
    </w:p>
    <w:p>
      <w:pPr>
        <w:spacing w:after="0" w:line="360" w:lineRule="auto"/>
        <w:jc w:val="left"/>
        <w:sectPr>
          <w:pgSz w:w="11910" w:h="16840"/>
          <w:pgMar w:header="906" w:footer="1018" w:top="1100" w:bottom="1200" w:left="1020" w:right="0"/>
        </w:sectPr>
      </w:pPr>
    </w:p>
    <w:p>
      <w:pPr>
        <w:spacing w:line="240" w:lineRule="auto" w:before="11"/>
        <w:rPr>
          <w:rFonts w:ascii="宋体" w:hAnsi="宋体" w:cs="宋体" w:eastAsia="宋体" w:hint="default"/>
          <w:sz w:val="22"/>
          <w:szCs w:val="22"/>
        </w:rPr>
      </w:pPr>
    </w:p>
    <w:p>
      <w:pPr>
        <w:pStyle w:val="BodyText"/>
        <w:spacing w:line="316" w:lineRule="auto" w:before="44"/>
        <w:ind w:right="1128"/>
        <w:jc w:val="both"/>
      </w:pPr>
      <w:r>
        <w:rPr/>
        <w:t>（3）对于使用寿命有限的无形资产，在使用寿命内按直线法摊销。公司于每年年度终了，对使用寿命有限的无形资产的使</w:t>
      </w:r>
      <w:r>
        <w:rPr>
          <w:spacing w:val="-85"/>
        </w:rPr>
        <w:t> </w:t>
      </w:r>
      <w:r>
        <w:rPr>
          <w:spacing w:val="-85"/>
        </w:rPr>
      </w:r>
      <w:r>
        <w:rPr>
          <w:spacing w:val="-2"/>
        </w:rPr>
        <w:t>用寿命及摊销方法进行复核。无形资产的使用寿命及摊销方法与以前估计不同的，将改变摊销期限和摊销方法。使用寿命不</w:t>
      </w:r>
      <w:r>
        <w:rPr>
          <w:spacing w:val="-67"/>
        </w:rPr>
        <w:t> </w:t>
      </w:r>
      <w:r>
        <w:rPr>
          <w:spacing w:val="-67"/>
        </w:rPr>
      </w:r>
      <w:r>
        <w:rPr/>
        <w:t>确定的无形资产不进行摊销。</w:t>
      </w:r>
    </w:p>
    <w:p>
      <w:pPr>
        <w:spacing w:line="240" w:lineRule="auto" w:before="0"/>
        <w:rPr>
          <w:rFonts w:ascii="宋体" w:hAnsi="宋体" w:cs="宋体" w:eastAsia="宋体" w:hint="default"/>
          <w:sz w:val="18"/>
          <w:szCs w:val="18"/>
        </w:rPr>
      </w:pPr>
    </w:p>
    <w:p>
      <w:pPr>
        <w:spacing w:line="240" w:lineRule="auto" w:before="5"/>
        <w:rPr>
          <w:rFonts w:ascii="宋体" w:hAnsi="宋体" w:cs="宋体" w:eastAsia="宋体" w:hint="default"/>
          <w:sz w:val="13"/>
          <w:szCs w:val="13"/>
        </w:rPr>
      </w:pPr>
    </w:p>
    <w:p>
      <w:pPr>
        <w:pStyle w:val="BodyText"/>
        <w:spacing w:line="240" w:lineRule="auto"/>
        <w:ind w:right="0"/>
        <w:jc w:val="both"/>
      </w:pPr>
      <w:r>
        <w:rPr/>
        <w:t>（4）各类无形资产采用年限平均法摊销：</w:t>
      </w:r>
    </w:p>
    <w:p>
      <w:pPr>
        <w:spacing w:line="240" w:lineRule="auto" w:before="2"/>
        <w:rPr>
          <w:rFonts w:ascii="宋体" w:hAnsi="宋体" w:cs="宋体" w:eastAsia="宋体" w:hint="default"/>
          <w:sz w:val="8"/>
          <w:szCs w:val="8"/>
        </w:rPr>
      </w:pPr>
    </w:p>
    <w:tbl>
      <w:tblPr>
        <w:tblW w:w="0" w:type="auto"/>
        <w:jc w:val="left"/>
        <w:tblInd w:w="106" w:type="dxa"/>
        <w:tblLayout w:type="fixed"/>
        <w:tblCellMar>
          <w:top w:w="0" w:type="dxa"/>
          <w:left w:w="0" w:type="dxa"/>
          <w:bottom w:w="0" w:type="dxa"/>
          <w:right w:w="0" w:type="dxa"/>
        </w:tblCellMar>
        <w:tblLook w:val="01E0"/>
      </w:tblPr>
      <w:tblGrid>
        <w:gridCol w:w="4847"/>
        <w:gridCol w:w="4847"/>
      </w:tblGrid>
      <w:tr>
        <w:trPr>
          <w:trHeight w:val="427" w:hRule="exact"/>
        </w:trPr>
        <w:tc>
          <w:tcPr>
            <w:tcW w:w="48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类别</w:t>
            </w:r>
          </w:p>
        </w:tc>
        <w:tc>
          <w:tcPr>
            <w:tcW w:w="48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宋体" w:hAnsi="宋体" w:cs="宋体" w:eastAsia="宋体" w:hint="default"/>
                <w:sz w:val="18"/>
                <w:szCs w:val="18"/>
              </w:rPr>
            </w:pPr>
            <w:r>
              <w:rPr>
                <w:rFonts w:ascii="宋体" w:hAnsi="宋体" w:cs="宋体" w:eastAsia="宋体" w:hint="default"/>
                <w:sz w:val="18"/>
                <w:szCs w:val="18"/>
              </w:rPr>
              <w:t>预计使用年限</w:t>
            </w:r>
          </w:p>
        </w:tc>
      </w:tr>
      <w:tr>
        <w:trPr>
          <w:trHeight w:val="427" w:hRule="exact"/>
        </w:trPr>
        <w:tc>
          <w:tcPr>
            <w:tcW w:w="48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48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宋体" w:hAnsi="宋体" w:cs="宋体" w:eastAsia="宋体" w:hint="default"/>
                <w:sz w:val="18"/>
                <w:szCs w:val="18"/>
              </w:rPr>
            </w:pPr>
            <w:r>
              <w:rPr>
                <w:rFonts w:ascii="宋体" w:hAnsi="宋体" w:cs="宋体" w:eastAsia="宋体" w:hint="default"/>
                <w:sz w:val="18"/>
                <w:szCs w:val="18"/>
              </w:rPr>
              <w:t>50年</w:t>
            </w:r>
          </w:p>
        </w:tc>
      </w:tr>
      <w:tr>
        <w:trPr>
          <w:trHeight w:val="427" w:hRule="exact"/>
        </w:trPr>
        <w:tc>
          <w:tcPr>
            <w:tcW w:w="48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专有技术</w:t>
            </w:r>
          </w:p>
        </w:tc>
        <w:tc>
          <w:tcPr>
            <w:tcW w:w="48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宋体" w:hAnsi="宋体" w:cs="宋体" w:eastAsia="宋体" w:hint="default"/>
                <w:sz w:val="18"/>
                <w:szCs w:val="18"/>
              </w:rPr>
            </w:pPr>
            <w:r>
              <w:rPr>
                <w:rFonts w:ascii="宋体" w:hAnsi="宋体" w:cs="宋体" w:eastAsia="宋体" w:hint="default"/>
                <w:sz w:val="18"/>
                <w:szCs w:val="18"/>
              </w:rPr>
              <w:t>10年</w:t>
            </w:r>
          </w:p>
        </w:tc>
      </w:tr>
      <w:tr>
        <w:trPr>
          <w:trHeight w:val="427" w:hRule="exact"/>
        </w:trPr>
        <w:tc>
          <w:tcPr>
            <w:tcW w:w="48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商标使用权</w:t>
            </w:r>
          </w:p>
        </w:tc>
        <w:tc>
          <w:tcPr>
            <w:tcW w:w="48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宋体" w:hAnsi="宋体" w:cs="宋体" w:eastAsia="宋体" w:hint="default"/>
                <w:sz w:val="18"/>
                <w:szCs w:val="18"/>
              </w:rPr>
            </w:pPr>
            <w:r>
              <w:rPr>
                <w:rFonts w:ascii="宋体" w:hAnsi="宋体" w:cs="宋体" w:eastAsia="宋体" w:hint="default"/>
                <w:sz w:val="18"/>
                <w:szCs w:val="18"/>
              </w:rPr>
              <w:t>5年</w:t>
            </w:r>
          </w:p>
        </w:tc>
      </w:tr>
      <w:tr>
        <w:trPr>
          <w:trHeight w:val="427" w:hRule="exact"/>
        </w:trPr>
        <w:tc>
          <w:tcPr>
            <w:tcW w:w="48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计算机软件</w:t>
            </w:r>
          </w:p>
        </w:tc>
        <w:tc>
          <w:tcPr>
            <w:tcW w:w="48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宋体" w:hAnsi="宋体" w:cs="宋体" w:eastAsia="宋体" w:hint="default"/>
                <w:sz w:val="18"/>
                <w:szCs w:val="18"/>
              </w:rPr>
            </w:pPr>
            <w:r>
              <w:rPr>
                <w:rFonts w:ascii="宋体" w:hAnsi="宋体" w:cs="宋体" w:eastAsia="宋体" w:hint="default"/>
                <w:sz w:val="18"/>
                <w:szCs w:val="18"/>
              </w:rPr>
              <w:t>5-10年</w:t>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6"/>
          <w:szCs w:val="26"/>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2</w:t>
      </w:r>
      <w:r>
        <w:rPr/>
        <w:t>）内部研究开发支出会计政策</w:t>
      </w:r>
      <w:r>
        <w:rPr>
          <w:b w:val="0"/>
          <w:bCs w:val="0"/>
        </w:rPr>
      </w:r>
    </w:p>
    <w:p>
      <w:pPr>
        <w:spacing w:line="240" w:lineRule="auto" w:before="6"/>
        <w:rPr>
          <w:rFonts w:ascii="宋体" w:hAnsi="宋体" w:cs="宋体" w:eastAsia="宋体" w:hint="default"/>
          <w:b/>
          <w:bCs/>
          <w:sz w:val="26"/>
          <w:szCs w:val="26"/>
        </w:rPr>
      </w:pPr>
    </w:p>
    <w:p>
      <w:pPr>
        <w:pStyle w:val="BodyText"/>
        <w:spacing w:line="319" w:lineRule="auto"/>
        <w:ind w:right="4542"/>
        <w:jc w:val="left"/>
      </w:pPr>
      <w:r>
        <w:rPr/>
        <w:t>①内部研究开发项目的支出，包括研究阶段支出与开发阶段支出，其中： 1）研究是指为获取并理解新的科学或技术知识而进行的独创性的有计划调查。</w:t>
      </w:r>
    </w:p>
    <w:p>
      <w:pPr>
        <w:pStyle w:val="BodyText"/>
        <w:spacing w:line="316" w:lineRule="auto" w:before="17"/>
        <w:ind w:right="1122"/>
        <w:jc w:val="left"/>
      </w:pPr>
      <w:r>
        <w:rPr/>
        <w:t>2）开发是指在进行商业性生产或使用前，将研究成果或其他知识应用于某项计划或设计，以生产出新的或具有实质性改进</w:t>
      </w:r>
      <w:r>
        <w:rPr>
          <w:spacing w:val="-84"/>
        </w:rPr>
        <w:t> </w:t>
      </w:r>
      <w:r>
        <w:rPr>
          <w:spacing w:val="-84"/>
        </w:rPr>
      </w:r>
      <w:r>
        <w:rPr/>
        <w:t>的材料、装置、产品等。</w:t>
      </w:r>
    </w:p>
    <w:p>
      <w:pPr>
        <w:pStyle w:val="BodyText"/>
        <w:spacing w:line="316" w:lineRule="auto" w:before="19"/>
        <w:ind w:right="1032"/>
        <w:jc w:val="left"/>
      </w:pPr>
      <w:r>
        <w:rPr/>
        <w:t>②内部研究开发项目在研究阶段的支出于发生时计入当期损益；开发阶段的支出，同时满足下列条件的，确认为无形资产： 1）完成该无形资产以使其能够使用或出售在技术上具有可行性；</w:t>
      </w:r>
    </w:p>
    <w:p>
      <w:pPr>
        <w:pStyle w:val="BodyText"/>
        <w:spacing w:line="240" w:lineRule="auto" w:before="18"/>
        <w:ind w:right="0"/>
        <w:jc w:val="left"/>
      </w:pPr>
      <w:r>
        <w:rPr/>
        <w:t>2）具有完成该无形资产并使用或出售的意图；</w:t>
      </w:r>
    </w:p>
    <w:p>
      <w:pPr>
        <w:pStyle w:val="BodyText"/>
        <w:spacing w:line="316" w:lineRule="auto" w:before="76"/>
        <w:ind w:right="1122"/>
        <w:jc w:val="left"/>
      </w:pPr>
      <w:r>
        <w:rPr/>
        <w:t>3）无形资产产生经济利益的方式，包括能够证明运用该无形资产生产的产品存在市场或无形资产自身存在市场，无形资产</w:t>
      </w:r>
      <w:r>
        <w:rPr>
          <w:spacing w:val="-84"/>
        </w:rPr>
        <w:t> </w:t>
      </w:r>
      <w:r>
        <w:rPr>
          <w:spacing w:val="-84"/>
        </w:rPr>
      </w:r>
      <w:r>
        <w:rPr/>
        <w:t>将在内部使用的，应当证明其有用性；</w:t>
      </w:r>
      <w:r>
        <w:rPr/>
        <w:t> 4）有足够的技术、财务资源和其他资源支持，以完成该无形资产的开发，并有能力使用或出售该无形资产；</w:t>
      </w:r>
    </w:p>
    <w:p>
      <w:pPr>
        <w:pStyle w:val="BodyText"/>
        <w:spacing w:line="240" w:lineRule="auto" w:before="19"/>
        <w:ind w:right="0"/>
        <w:jc w:val="left"/>
      </w:pPr>
      <w:r>
        <w:rPr/>
        <w:t>5）归属于该无形资产开发阶段的支出能够可靠地计量。</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4"/>
          <w:szCs w:val="14"/>
        </w:rPr>
      </w:pPr>
    </w:p>
    <w:p>
      <w:pPr>
        <w:pStyle w:val="Heading3"/>
        <w:spacing w:line="240" w:lineRule="auto"/>
        <w:ind w:right="0"/>
        <w:jc w:val="left"/>
        <w:rPr>
          <w:b w:val="0"/>
          <w:bCs w:val="0"/>
        </w:rPr>
      </w:pPr>
      <w:r>
        <w:rPr>
          <w:rFonts w:ascii="Times New Roman" w:hAnsi="Times New Roman" w:cs="Times New Roman" w:eastAsia="Times New Roman" w:hint="default"/>
        </w:rPr>
        <w:t>31</w:t>
      </w:r>
      <w:r>
        <w:rPr/>
        <w:t>、长期资产减值</w:t>
      </w:r>
      <w:r>
        <w:rPr>
          <w:b w:val="0"/>
          <w:bCs w:val="0"/>
        </w:rPr>
      </w:r>
    </w:p>
    <w:p>
      <w:pPr>
        <w:spacing w:line="240" w:lineRule="auto" w:before="6"/>
        <w:rPr>
          <w:rFonts w:ascii="宋体" w:hAnsi="宋体" w:cs="宋体" w:eastAsia="宋体" w:hint="default"/>
          <w:b/>
          <w:bCs/>
          <w:sz w:val="26"/>
          <w:szCs w:val="26"/>
        </w:rPr>
      </w:pPr>
    </w:p>
    <w:p>
      <w:pPr>
        <w:pStyle w:val="BodyText"/>
        <w:spacing w:line="316" w:lineRule="auto"/>
        <w:ind w:right="1032"/>
        <w:jc w:val="left"/>
      </w:pPr>
      <w:r>
        <w:rPr>
          <w:spacing w:val="-2"/>
        </w:rPr>
        <w:t>对于固定资产、在建工程、使用寿命有限的无形资产、以成本模式计量的投资性房地产及对子公司、合营企业、联营企业的</w:t>
      </w:r>
      <w:r>
        <w:rPr>
          <w:spacing w:val="-66"/>
        </w:rPr>
        <w:t> </w:t>
      </w:r>
      <w:r>
        <w:rPr>
          <w:spacing w:val="-66"/>
        </w:rPr>
      </w:r>
      <w:r>
        <w:rPr>
          <w:spacing w:val="-4"/>
        </w:rPr>
        <w:t>长期股权投资等非流动非金融资产，公司于资产负债表日判断是否存在减值迹象。如存在减值迹象的，则估计其可收回金额，</w:t>
      </w:r>
      <w:r>
        <w:rPr>
          <w:spacing w:val="-44"/>
        </w:rPr>
        <w:t> </w:t>
      </w:r>
      <w:r>
        <w:rPr>
          <w:spacing w:val="-44"/>
        </w:rPr>
      </w:r>
      <w:r>
        <w:rPr>
          <w:spacing w:val="-2"/>
        </w:rPr>
        <w:t>进行减值测试。商誉、使用寿命不确定的无形资产和尚未达到可使用状态的无形资产，无论是否存在减值迹象，每年均进行</w:t>
      </w:r>
      <w:r>
        <w:rPr>
          <w:spacing w:val="-68"/>
        </w:rPr>
        <w:t> </w:t>
      </w:r>
      <w:r>
        <w:rPr>
          <w:spacing w:val="-68"/>
        </w:rPr>
      </w:r>
      <w:r>
        <w:rPr/>
        <w:t>减值测试。</w:t>
      </w:r>
      <w:r>
        <w:rPr/>
        <w:t> </w:t>
      </w:r>
      <w:r>
        <w:rPr>
          <w:spacing w:val="-2"/>
        </w:rPr>
        <w:t>减值测试结果表明资产的可收回金额低于其账面价值的，按其差额计提减值准备并计入减值损失。可收回金额为资产的公允</w:t>
      </w:r>
      <w:r>
        <w:rPr>
          <w:spacing w:val="-64"/>
        </w:rPr>
        <w:t> </w:t>
      </w:r>
      <w:r>
        <w:rPr>
          <w:spacing w:val="-64"/>
        </w:rPr>
      </w:r>
      <w:r>
        <w:rPr>
          <w:spacing w:val="-2"/>
        </w:rPr>
        <w:t>价值减去处置费用后的净额与资产预计未来现金流量的现值两者之间的较高者。资产的公允价值根据公平交易中销售协议价</w:t>
      </w:r>
      <w:r>
        <w:rPr>
          <w:spacing w:val="-64"/>
        </w:rPr>
        <w:t> </w:t>
      </w:r>
      <w:r>
        <w:rPr>
          <w:spacing w:val="-64"/>
        </w:rPr>
      </w:r>
      <w:r>
        <w:rPr>
          <w:spacing w:val="-4"/>
        </w:rPr>
        <w:t>格确定；不存在销售协议但存在资产活跃市场的，公允价值按照该资产的买方出价确定；不存在销售协议和资产活跃市场的，</w:t>
      </w:r>
      <w:r>
        <w:rPr>
          <w:spacing w:val="-45"/>
        </w:rPr>
        <w:t> </w:t>
      </w:r>
      <w:r>
        <w:rPr>
          <w:spacing w:val="-45"/>
        </w:rPr>
      </w:r>
      <w:r>
        <w:rPr>
          <w:spacing w:val="-2"/>
        </w:rPr>
        <w:t>则以可获取的最佳信息为基础估计资产的公允价值。处置费用包括与资产处置有关的法律费用、相关税费、搬运费以及为使</w:t>
      </w:r>
      <w:r>
        <w:rPr>
          <w:spacing w:val="-67"/>
        </w:rPr>
        <w:t> </w:t>
      </w:r>
      <w:r>
        <w:rPr>
          <w:spacing w:val="-67"/>
        </w:rPr>
      </w:r>
      <w:r>
        <w:rPr>
          <w:spacing w:val="-2"/>
        </w:rPr>
        <w:t>资产达到可销售状态所发生的直接费用。资产预计未来现金流量的现值，按照资产在持续使用过程中和最终处置时所产生的</w:t>
      </w:r>
      <w:r>
        <w:rPr>
          <w:spacing w:val="-64"/>
        </w:rPr>
        <w:t> </w:t>
      </w:r>
      <w:r>
        <w:rPr>
          <w:spacing w:val="-64"/>
        </w:rPr>
      </w:r>
      <w:r>
        <w:rPr>
          <w:spacing w:val="-2"/>
        </w:rPr>
        <w:t>预计未来现金流量，选择恰当的折现率对其进行折现后的金额加以确定。资产减值准备按单项资产为基础计算并确认，如果</w:t>
      </w:r>
      <w:r>
        <w:rPr>
          <w:spacing w:val="-66"/>
        </w:rPr>
        <w:t> </w:t>
      </w:r>
      <w:r>
        <w:rPr>
          <w:spacing w:val="-66"/>
        </w:rPr>
      </w:r>
      <w:r>
        <w:rPr>
          <w:spacing w:val="-2"/>
        </w:rPr>
        <w:t>难以对单项资产的可收回金额进行估计的，以该资产所属的资产组确定资产组的可收回金额。资产组是能够独立产生现金流</w:t>
      </w:r>
      <w:r>
        <w:rPr>
          <w:spacing w:val="-64"/>
        </w:rPr>
        <w:t> </w:t>
      </w:r>
      <w:r>
        <w:rPr>
          <w:spacing w:val="-64"/>
        </w:rPr>
      </w:r>
      <w:r>
        <w:rPr/>
        <w:t>入的最小资产组合。</w:t>
      </w:r>
      <w:r>
        <w:rPr/>
        <w:t> </w:t>
      </w:r>
      <w:r>
        <w:rPr>
          <w:spacing w:val="-2"/>
        </w:rPr>
        <w:t>就商誉的减值测试而言，对于因企业合并形成的商誉的账面价值，自购买日起按照合理的方法分摊至相关的资产组；难以分</w:t>
      </w:r>
    </w:p>
    <w:p>
      <w:pPr>
        <w:spacing w:after="0" w:line="316" w:lineRule="auto"/>
        <w:jc w:val="left"/>
        <w:sectPr>
          <w:pgSz w:w="11910" w:h="16840"/>
          <w:pgMar w:header="906" w:footer="1018" w:top="1100" w:bottom="1200" w:left="1020" w:right="0"/>
        </w:sectPr>
      </w:pPr>
    </w:p>
    <w:p>
      <w:pPr>
        <w:spacing w:line="240" w:lineRule="auto" w:before="11"/>
        <w:rPr>
          <w:rFonts w:ascii="宋体" w:hAnsi="宋体" w:cs="宋体" w:eastAsia="宋体" w:hint="default"/>
          <w:sz w:val="22"/>
          <w:szCs w:val="22"/>
        </w:rPr>
      </w:pPr>
    </w:p>
    <w:p>
      <w:pPr>
        <w:pStyle w:val="BodyText"/>
        <w:spacing w:line="316" w:lineRule="auto" w:before="44"/>
        <w:ind w:right="0"/>
        <w:jc w:val="left"/>
      </w:pPr>
      <w:r>
        <w:rPr>
          <w:spacing w:val="-2"/>
        </w:rPr>
        <w:t>摊至相关的资产组的，将其分摊至相关的资产组组合。相关的资产组或资产组组合，是能够从企业合并的协同效应中受益的</w:t>
      </w:r>
      <w:r>
        <w:rPr>
          <w:spacing w:val="-65"/>
        </w:rPr>
        <w:t> </w:t>
      </w:r>
      <w:r>
        <w:rPr>
          <w:spacing w:val="-65"/>
        </w:rPr>
      </w:r>
      <w:r>
        <w:rPr/>
        <w:t>资产组或者资产组组合，且不大于公司确定的报告分部。</w:t>
      </w:r>
      <w:r>
        <w:rPr/>
        <w:t> </w:t>
      </w:r>
      <w:r>
        <w:rPr>
          <w:spacing w:val="-2"/>
        </w:rPr>
        <w:t>对包含商誉的相关资产组或者资产组组合进行减值测试时，如与商誉相关的资产组或者资产组组合存在减值迹象的，首先对</w:t>
      </w:r>
      <w:r>
        <w:rPr>
          <w:spacing w:val="-64"/>
        </w:rPr>
        <w:t> </w:t>
      </w:r>
      <w:r>
        <w:rPr>
          <w:spacing w:val="-64"/>
        </w:rPr>
      </w:r>
      <w:r>
        <w:rPr>
          <w:spacing w:val="-2"/>
        </w:rPr>
        <w:t>不包含商誉的资产组或者资产组组合进行减值测试，计算可收回金额，确认相应的减值损失。然后对包含商誉的资产组或者</w:t>
      </w:r>
      <w:r>
        <w:rPr>
          <w:spacing w:val="-64"/>
        </w:rPr>
        <w:t> </w:t>
      </w:r>
      <w:r>
        <w:rPr>
          <w:spacing w:val="-64"/>
        </w:rPr>
      </w:r>
      <w:r>
        <w:rPr>
          <w:spacing w:val="-2"/>
        </w:rPr>
        <w:t>资产组组合进行减值测试，比较其账面价值与可收回金额，如可收回金额低于账面价值的，减值损失金额首先抵减分摊至资</w:t>
      </w:r>
      <w:r>
        <w:rPr>
          <w:spacing w:val="-65"/>
        </w:rPr>
        <w:t> </w:t>
      </w:r>
      <w:r>
        <w:rPr>
          <w:spacing w:val="-65"/>
        </w:rPr>
      </w:r>
      <w:r>
        <w:rPr>
          <w:spacing w:val="-2"/>
        </w:rPr>
        <w:t>产组或资产组组合中商誉的账面价值，再根据资产组或资产组组合中除商誉之外的其他各项资产的账面价值所占比重，按比</w:t>
      </w:r>
      <w:r>
        <w:rPr>
          <w:spacing w:val="-64"/>
        </w:rPr>
        <w:t> </w:t>
      </w:r>
      <w:r>
        <w:rPr>
          <w:spacing w:val="-64"/>
        </w:rPr>
      </w:r>
      <w:r>
        <w:rPr>
          <w:spacing w:val="-2"/>
        </w:rPr>
        <w:t>例抵减其他各项资产的账面价值，但抵减后的各资产的账面价值不得低于该资产的公允价值减去处置费用后的净额（如可确</w:t>
      </w:r>
      <w:r>
        <w:rPr>
          <w:spacing w:val="-64"/>
        </w:rPr>
        <w:t> </w:t>
      </w:r>
      <w:r>
        <w:rPr>
          <w:spacing w:val="-64"/>
        </w:rPr>
      </w:r>
      <w:r>
        <w:rPr/>
        <w:t>定的）和该资产预计未来现金流量的现值（如可确定的）两者之间较高者，同时也不低于零。</w:t>
      </w:r>
      <w:r>
        <w:rPr/>
        <w:t> 上述资产减值损失一经确认，以后期间不予转回价值得以恢复的部分。</w:t>
      </w:r>
    </w:p>
    <w:p>
      <w:pPr>
        <w:spacing w:line="240" w:lineRule="auto" w:before="7"/>
        <w:rPr>
          <w:rFonts w:ascii="宋体" w:hAnsi="宋体" w:cs="宋体" w:eastAsia="宋体" w:hint="default"/>
          <w:sz w:val="22"/>
          <w:szCs w:val="22"/>
        </w:rPr>
      </w:pPr>
    </w:p>
    <w:p>
      <w:pPr>
        <w:pStyle w:val="Heading3"/>
        <w:spacing w:line="240" w:lineRule="auto"/>
        <w:ind w:right="0"/>
        <w:jc w:val="left"/>
        <w:rPr>
          <w:b w:val="0"/>
          <w:bCs w:val="0"/>
        </w:rPr>
      </w:pPr>
      <w:r>
        <w:rPr>
          <w:rFonts w:ascii="Times New Roman" w:hAnsi="Times New Roman" w:cs="Times New Roman" w:eastAsia="Times New Roman" w:hint="default"/>
        </w:rPr>
        <w:t>32</w:t>
      </w:r>
      <w:r>
        <w:rPr/>
        <w:t>、长期待摊费用</w:t>
      </w:r>
      <w:r>
        <w:rPr>
          <w:b w:val="0"/>
          <w:bCs w:val="0"/>
        </w:rPr>
      </w:r>
    </w:p>
    <w:p>
      <w:pPr>
        <w:spacing w:line="240" w:lineRule="auto" w:before="6"/>
        <w:rPr>
          <w:rFonts w:ascii="宋体" w:hAnsi="宋体" w:cs="宋体" w:eastAsia="宋体" w:hint="default"/>
          <w:b/>
          <w:bCs/>
          <w:sz w:val="26"/>
          <w:szCs w:val="26"/>
        </w:rPr>
      </w:pPr>
    </w:p>
    <w:p>
      <w:pPr>
        <w:pStyle w:val="BodyText"/>
        <w:spacing w:line="316" w:lineRule="auto"/>
        <w:ind w:right="0"/>
        <w:jc w:val="left"/>
      </w:pPr>
      <w:r>
        <w:rPr>
          <w:spacing w:val="-2"/>
        </w:rPr>
        <w:t>长期待摊费用是公司已经发生但应由本期和以后各期负担的分摊期限在1年以上(不含1年)的各项费用。长期待摊费用在受益</w:t>
      </w:r>
      <w:r>
        <w:rPr>
          <w:spacing w:val="-60"/>
        </w:rPr>
        <w:t> </w:t>
      </w:r>
      <w:r>
        <w:rPr>
          <w:spacing w:val="-60"/>
        </w:rPr>
      </w:r>
      <w:r>
        <w:rPr/>
        <w:t>期内平均摊销，如果长期待摊费用项目不能使以后会计期间受益的，则将其尚未摊销的摊余价值全部转入当期损益。</w:t>
      </w:r>
    </w:p>
    <w:p>
      <w:pPr>
        <w:spacing w:line="240" w:lineRule="auto" w:before="4"/>
        <w:rPr>
          <w:rFonts w:ascii="宋体" w:hAnsi="宋体" w:cs="宋体" w:eastAsia="宋体" w:hint="default"/>
          <w:sz w:val="25"/>
          <w:szCs w:val="25"/>
        </w:rPr>
      </w:pPr>
    </w:p>
    <w:p>
      <w:pPr>
        <w:pStyle w:val="BodyText"/>
        <w:spacing w:line="240" w:lineRule="auto"/>
        <w:ind w:right="0"/>
        <w:jc w:val="left"/>
      </w:pPr>
      <w:r>
        <w:rPr/>
        <w:t>长期待摊费用按照直线法平均摊销，摊销年限如下：</w:t>
      </w:r>
    </w:p>
    <w:p>
      <w:pPr>
        <w:spacing w:line="240" w:lineRule="auto" w:before="2"/>
        <w:rPr>
          <w:rFonts w:ascii="宋体" w:hAnsi="宋体" w:cs="宋体" w:eastAsia="宋体" w:hint="default"/>
          <w:sz w:val="5"/>
          <w:szCs w:val="5"/>
        </w:rPr>
      </w:pPr>
    </w:p>
    <w:tbl>
      <w:tblPr>
        <w:tblW w:w="0" w:type="auto"/>
        <w:jc w:val="left"/>
        <w:tblInd w:w="106" w:type="dxa"/>
        <w:tblLayout w:type="fixed"/>
        <w:tblCellMar>
          <w:top w:w="0" w:type="dxa"/>
          <w:left w:w="0" w:type="dxa"/>
          <w:bottom w:w="0" w:type="dxa"/>
          <w:right w:w="0" w:type="dxa"/>
        </w:tblCellMar>
        <w:tblLook w:val="01E0"/>
      </w:tblPr>
      <w:tblGrid>
        <w:gridCol w:w="4846"/>
        <w:gridCol w:w="4848"/>
      </w:tblGrid>
      <w:tr>
        <w:trPr>
          <w:trHeight w:val="347" w:hRule="exact"/>
        </w:trPr>
        <w:tc>
          <w:tcPr>
            <w:tcW w:w="4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名称</w:t>
            </w:r>
          </w:p>
        </w:tc>
        <w:tc>
          <w:tcPr>
            <w:tcW w:w="4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hAnsi="宋体" w:cs="宋体" w:eastAsia="宋体" w:hint="default"/>
                <w:sz w:val="18"/>
                <w:szCs w:val="18"/>
              </w:rPr>
              <w:t>摊销年限</w:t>
            </w:r>
          </w:p>
        </w:tc>
      </w:tr>
      <w:tr>
        <w:trPr>
          <w:trHeight w:val="427" w:hRule="exact"/>
        </w:trPr>
        <w:tc>
          <w:tcPr>
            <w:tcW w:w="4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装修费</w:t>
            </w:r>
          </w:p>
        </w:tc>
        <w:tc>
          <w:tcPr>
            <w:tcW w:w="4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hAnsi="宋体" w:cs="宋体" w:eastAsia="宋体" w:hint="default"/>
                <w:sz w:val="18"/>
                <w:szCs w:val="18"/>
              </w:rPr>
              <w:t>3年、5年</w:t>
            </w:r>
          </w:p>
        </w:tc>
      </w:tr>
      <w:tr>
        <w:trPr>
          <w:trHeight w:val="427" w:hRule="exact"/>
        </w:trPr>
        <w:tc>
          <w:tcPr>
            <w:tcW w:w="4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预付房租及服务费</w:t>
            </w:r>
          </w:p>
        </w:tc>
        <w:tc>
          <w:tcPr>
            <w:tcW w:w="4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hAnsi="宋体" w:cs="宋体" w:eastAsia="宋体" w:hint="default"/>
                <w:sz w:val="18"/>
                <w:szCs w:val="18"/>
              </w:rPr>
              <w:t>3年</w:t>
            </w:r>
          </w:p>
        </w:tc>
      </w:tr>
      <w:tr>
        <w:trPr>
          <w:trHeight w:val="427" w:hRule="exact"/>
        </w:trPr>
        <w:tc>
          <w:tcPr>
            <w:tcW w:w="4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产品推广费</w:t>
            </w:r>
          </w:p>
        </w:tc>
        <w:tc>
          <w:tcPr>
            <w:tcW w:w="4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right"/>
              <w:rPr>
                <w:rFonts w:ascii="宋体" w:hAnsi="宋体" w:cs="宋体" w:eastAsia="宋体" w:hint="default"/>
                <w:sz w:val="18"/>
                <w:szCs w:val="18"/>
              </w:rPr>
            </w:pPr>
            <w:r>
              <w:rPr>
                <w:rFonts w:ascii="宋体" w:hAnsi="宋体" w:cs="宋体" w:eastAsia="宋体" w:hint="default"/>
                <w:sz w:val="18"/>
                <w:szCs w:val="18"/>
              </w:rPr>
              <w:t>3年</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3"/>
          <w:szCs w:val="23"/>
        </w:rPr>
      </w:pPr>
    </w:p>
    <w:p>
      <w:pPr>
        <w:pStyle w:val="Heading3"/>
        <w:spacing w:line="240" w:lineRule="auto" w:before="35"/>
        <w:ind w:right="0"/>
        <w:jc w:val="left"/>
        <w:rPr>
          <w:b w:val="0"/>
          <w:bCs w:val="0"/>
        </w:rPr>
      </w:pPr>
      <w:r>
        <w:rPr>
          <w:rFonts w:ascii="Times New Roman" w:hAnsi="Times New Roman" w:cs="Times New Roman" w:eastAsia="Times New Roman" w:hint="default"/>
        </w:rPr>
        <w:t>33</w:t>
      </w:r>
      <w:r>
        <w:rPr/>
        <w:t>、合同负债</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34</w:t>
      </w:r>
      <w:r>
        <w:rPr/>
        <w:t>、职工薪酬</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t>（</w:t>
      </w:r>
      <w:r>
        <w:rPr>
          <w:rFonts w:ascii="Times New Roman" w:hAnsi="Times New Roman" w:cs="Times New Roman" w:eastAsia="Times New Roman" w:hint="default"/>
        </w:rPr>
        <w:t>1</w:t>
      </w:r>
      <w:r>
        <w:rPr/>
        <w:t>）短期薪酬的会计处理方法</w:t>
      </w:r>
      <w:r>
        <w:rPr>
          <w:b w:val="0"/>
          <w:bCs w:val="0"/>
        </w:rPr>
      </w:r>
    </w:p>
    <w:p>
      <w:pPr>
        <w:spacing w:line="240" w:lineRule="auto" w:before="7"/>
        <w:rPr>
          <w:rFonts w:ascii="宋体" w:hAnsi="宋体" w:cs="宋体" w:eastAsia="宋体" w:hint="default"/>
          <w:b/>
          <w:bCs/>
          <w:sz w:val="26"/>
          <w:szCs w:val="26"/>
        </w:rPr>
      </w:pPr>
    </w:p>
    <w:p>
      <w:pPr>
        <w:pStyle w:val="BodyText"/>
        <w:spacing w:line="338" w:lineRule="auto"/>
        <w:ind w:right="0"/>
        <w:jc w:val="left"/>
      </w:pPr>
      <w:r>
        <w:rPr/>
        <w:t>短期薪酬是指公司在职工提供相关服务的年度报告期间结束后十二个月内需要全部予以支付的职工薪酬。 </w:t>
      </w:r>
      <w:r>
        <w:rPr>
          <w:spacing w:val="-2"/>
        </w:rPr>
        <w:t>短期薪酬包括职工工资、奖金、津贴和补贴，职工福利费、医疗保险费、工伤保险费和生育保险费等社会保险费，住房公积</w:t>
      </w:r>
      <w:r>
        <w:rPr>
          <w:spacing w:val="-67"/>
        </w:rPr>
        <w:t> </w:t>
      </w:r>
      <w:r>
        <w:rPr>
          <w:spacing w:val="-67"/>
        </w:rPr>
      </w:r>
      <w:r>
        <w:rPr/>
        <w:t>金、工会经费和职工教育经费，短期带薪缺勤、短期利润分享计划，非货币性福利以及其他短期薪酬。</w:t>
      </w:r>
    </w:p>
    <w:p>
      <w:pPr>
        <w:pStyle w:val="BodyText"/>
        <w:spacing w:line="240" w:lineRule="auto" w:before="43"/>
        <w:ind w:right="0"/>
        <w:jc w:val="left"/>
      </w:pPr>
      <w:r>
        <w:rPr/>
        <w:t>短期薪酬在职工为公司提供服务的会计期间，将实际发生的短期薪酬确认为负债，并计入当期损益或相关资产成本。</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7"/>
          <w:szCs w:val="17"/>
        </w:rPr>
      </w:pPr>
    </w:p>
    <w:p>
      <w:pPr>
        <w:pStyle w:val="Heading3"/>
        <w:spacing w:line="240" w:lineRule="auto"/>
        <w:ind w:right="0"/>
        <w:jc w:val="left"/>
        <w:rPr>
          <w:b w:val="0"/>
          <w:bCs w:val="0"/>
        </w:rPr>
      </w:pPr>
      <w:r>
        <w:rPr/>
        <w:t>（</w:t>
      </w:r>
      <w:r>
        <w:rPr>
          <w:rFonts w:ascii="Times New Roman" w:hAnsi="Times New Roman" w:cs="Times New Roman" w:eastAsia="Times New Roman" w:hint="default"/>
        </w:rPr>
        <w:t>2</w:t>
      </w:r>
      <w:r>
        <w:rPr/>
        <w:t>）离职后福利的会计处理方法</w:t>
      </w:r>
      <w:r>
        <w:rPr>
          <w:b w:val="0"/>
          <w:bCs w:val="0"/>
        </w:rPr>
      </w:r>
    </w:p>
    <w:p>
      <w:pPr>
        <w:spacing w:line="240" w:lineRule="auto" w:before="6"/>
        <w:rPr>
          <w:rFonts w:ascii="宋体" w:hAnsi="宋体" w:cs="宋体" w:eastAsia="宋体" w:hint="default"/>
          <w:b/>
          <w:bCs/>
          <w:sz w:val="26"/>
          <w:szCs w:val="26"/>
        </w:rPr>
      </w:pPr>
    </w:p>
    <w:p>
      <w:pPr>
        <w:pStyle w:val="BodyText"/>
        <w:spacing w:line="338" w:lineRule="auto"/>
        <w:ind w:right="0"/>
        <w:jc w:val="left"/>
      </w:pPr>
      <w:r>
        <w:rPr>
          <w:spacing w:val="-2"/>
        </w:rPr>
        <w:t>离职后福利是指公司为获得员工提供的服务而在职工退休或与公司解除劳动关系后，提供的各种形式的报酬和福利，短期薪</w:t>
      </w:r>
      <w:r>
        <w:rPr>
          <w:spacing w:val="-64"/>
        </w:rPr>
        <w:t> </w:t>
      </w:r>
      <w:r>
        <w:rPr>
          <w:spacing w:val="-64"/>
        </w:rPr>
      </w:r>
      <w:r>
        <w:rPr/>
        <w:t>酬和辞退福利除外。</w:t>
      </w:r>
      <w:r>
        <w:rPr/>
        <w:t> </w:t>
      </w:r>
      <w:r>
        <w:rPr>
          <w:spacing w:val="-2"/>
        </w:rPr>
        <w:t>离职后福利计划包括设定提存计划和设定受益计划。其中，设定提存计划，是指向独立的基金缴存固定费用后，公司不再承</w:t>
      </w:r>
    </w:p>
    <w:p>
      <w:pPr>
        <w:pStyle w:val="BodyText"/>
        <w:spacing w:line="357" w:lineRule="auto" w:before="2"/>
        <w:ind w:right="0"/>
        <w:jc w:val="left"/>
      </w:pPr>
      <w:r>
        <w:rPr/>
        <w:t>担进一步支付义务的离职后福利计划；设定受益计划，是指除设定提存计划以外的离职后福利计划。 </w:t>
      </w:r>
      <w:r>
        <w:rPr>
          <w:spacing w:val="-2"/>
        </w:rPr>
        <w:t>设定提存计划包括基本养老保险、失业保险等。在职工提供服务的会计期间，根据设定提存计划计算的应缴存金额确认为负</w:t>
      </w:r>
    </w:p>
    <w:p>
      <w:pPr>
        <w:spacing w:after="0" w:line="357" w:lineRule="auto"/>
        <w:jc w:val="left"/>
        <w:sectPr>
          <w:pgSz w:w="11910" w:h="16840"/>
          <w:pgMar w:header="906" w:footer="1018" w:top="1100" w:bottom="1200" w:left="1020" w:right="0"/>
        </w:sectPr>
      </w:pPr>
    </w:p>
    <w:p>
      <w:pPr>
        <w:spacing w:line="240" w:lineRule="auto" w:before="11"/>
        <w:rPr>
          <w:rFonts w:ascii="宋体" w:hAnsi="宋体" w:cs="宋体" w:eastAsia="宋体" w:hint="default"/>
          <w:sz w:val="22"/>
          <w:szCs w:val="22"/>
        </w:rPr>
      </w:pPr>
    </w:p>
    <w:p>
      <w:pPr>
        <w:pStyle w:val="BodyText"/>
        <w:spacing w:line="357" w:lineRule="auto" w:before="44"/>
        <w:ind w:right="4992"/>
        <w:jc w:val="left"/>
      </w:pPr>
      <w:r>
        <w:rPr/>
        <w:t>债，并计入当期损益或相关资产成本。 于报告期末，将设定受益计划产生的职工薪酬成本确认为下列组成部分：</w:t>
      </w:r>
    </w:p>
    <w:p>
      <w:pPr>
        <w:pStyle w:val="BodyText"/>
        <w:spacing w:line="224" w:lineRule="exact"/>
        <w:ind w:right="0"/>
        <w:jc w:val="left"/>
      </w:pPr>
      <w:r>
        <w:rPr/>
        <w:t>①服务成本，包括当期服务成本、过去服务成本和结算利得或损失；</w:t>
      </w:r>
    </w:p>
    <w:p>
      <w:pPr>
        <w:pStyle w:val="BodyText"/>
        <w:spacing w:line="316" w:lineRule="auto" w:before="76"/>
        <w:ind w:right="1032"/>
        <w:jc w:val="left"/>
      </w:pPr>
      <w:r>
        <w:rPr>
          <w:spacing w:val="-2"/>
        </w:rPr>
        <w:t>②设定受益计划净负债或净资产的利息净额，包括计划资产的利息收益、设定受益计划义务的利息费用以及资产上限影响的</w:t>
      </w:r>
      <w:r>
        <w:rPr>
          <w:spacing w:val="-64"/>
        </w:rPr>
        <w:t> </w:t>
      </w:r>
      <w:r>
        <w:rPr>
          <w:spacing w:val="-64"/>
        </w:rPr>
      </w:r>
      <w:r>
        <w:rPr/>
        <w:t>利息；</w:t>
      </w:r>
    </w:p>
    <w:p>
      <w:pPr>
        <w:pStyle w:val="BodyText"/>
        <w:spacing w:line="316" w:lineRule="auto" w:before="19"/>
        <w:ind w:right="0"/>
        <w:jc w:val="left"/>
      </w:pPr>
      <w:r>
        <w:rPr/>
        <w:t>③重新计量设定受益计划净负债或净资产所产生的变动。 </w:t>
      </w:r>
      <w:r>
        <w:rPr>
          <w:spacing w:val="-2"/>
        </w:rPr>
        <w:t>除非其他会计准则要求或允许职工福利成本计入资产成本，上述第①项和第②项应计入当期损益；第③项应计入其他综合收</w:t>
      </w:r>
      <w:r>
        <w:rPr>
          <w:spacing w:val="-64"/>
        </w:rPr>
        <w:t> </w:t>
      </w:r>
      <w:r>
        <w:rPr>
          <w:spacing w:val="-64"/>
        </w:rPr>
      </w:r>
      <w:r>
        <w:rPr/>
        <w:t>益，并且在后续会计期间不允许转回至损益，但可以在权益范围内转移这些在其他综合收益中确认的金额。</w:t>
      </w:r>
      <w:r>
        <w:rPr/>
        <w:t> 在设定受益计划下，在下列日期孰早日将过去服务成本确认为当期费用：</w:t>
      </w:r>
    </w:p>
    <w:p>
      <w:pPr>
        <w:pStyle w:val="BodyText"/>
        <w:spacing w:line="240" w:lineRule="auto" w:before="18"/>
        <w:ind w:left="203" w:right="0"/>
        <w:jc w:val="left"/>
      </w:pPr>
      <w:r>
        <w:rPr/>
        <w:t>1）修改设定受益计划时；</w:t>
      </w:r>
    </w:p>
    <w:p>
      <w:pPr>
        <w:pStyle w:val="BodyText"/>
        <w:spacing w:line="360" w:lineRule="auto" w:before="76"/>
        <w:ind w:right="6612" w:firstLine="90"/>
        <w:jc w:val="left"/>
      </w:pPr>
      <w:r>
        <w:rPr/>
        <w:t>2）企业确认相关重组费用或辞退福利时。 在设定受益计划结算时，确认一项结算利得或损失。</w:t>
      </w:r>
    </w:p>
    <w:p>
      <w:pPr>
        <w:spacing w:line="240" w:lineRule="auto" w:before="0"/>
        <w:rPr>
          <w:rFonts w:ascii="宋体" w:hAnsi="宋体" w:cs="宋体" w:eastAsia="宋体" w:hint="default"/>
          <w:sz w:val="20"/>
          <w:szCs w:val="20"/>
        </w:rPr>
      </w:pPr>
    </w:p>
    <w:p>
      <w:pPr>
        <w:pStyle w:val="Heading3"/>
        <w:spacing w:line="240" w:lineRule="auto"/>
        <w:ind w:right="0"/>
        <w:jc w:val="left"/>
        <w:rPr>
          <w:b w:val="0"/>
          <w:bCs w:val="0"/>
        </w:rPr>
      </w:pPr>
      <w:r>
        <w:rPr/>
        <w:t>（</w:t>
      </w:r>
      <w:r>
        <w:rPr>
          <w:rFonts w:ascii="Times New Roman" w:hAnsi="Times New Roman" w:cs="Times New Roman" w:eastAsia="Times New Roman" w:hint="default"/>
        </w:rPr>
        <w:t>3</w:t>
      </w:r>
      <w:r>
        <w:rPr/>
        <w:t>）辞退福利的会计处理方法</w:t>
      </w:r>
      <w:r>
        <w:rPr>
          <w:b w:val="0"/>
          <w:bCs w:val="0"/>
        </w:rPr>
      </w:r>
    </w:p>
    <w:p>
      <w:pPr>
        <w:spacing w:line="240" w:lineRule="auto" w:before="7"/>
        <w:rPr>
          <w:rFonts w:ascii="宋体" w:hAnsi="宋体" w:cs="宋体" w:eastAsia="宋体" w:hint="default"/>
          <w:b/>
          <w:bCs/>
          <w:sz w:val="26"/>
          <w:szCs w:val="26"/>
        </w:rPr>
      </w:pPr>
    </w:p>
    <w:p>
      <w:pPr>
        <w:pStyle w:val="BodyText"/>
        <w:spacing w:line="338" w:lineRule="auto"/>
        <w:ind w:right="0"/>
        <w:jc w:val="left"/>
      </w:pPr>
      <w:r>
        <w:rPr/>
        <w:t>辞退福利是指公司在职工劳动合同到期之前解除与职工的劳动关系，或者为鼓励职工自愿接受裁减而给予职工的补偿。 </w:t>
      </w:r>
      <w:r>
        <w:rPr>
          <w:spacing w:val="-2"/>
        </w:rPr>
        <w:t>公司向职工提供辞退福利的，在下列两者孰早日确认辞退福利产生的职工薪酬负债，并计入当期损益：公司不能单方面撤回</w:t>
      </w:r>
      <w:r>
        <w:rPr>
          <w:spacing w:val="-65"/>
        </w:rPr>
        <w:t> </w:t>
      </w:r>
      <w:r>
        <w:rPr>
          <w:spacing w:val="-65"/>
        </w:rPr>
      </w:r>
      <w:r>
        <w:rPr/>
        <w:t>因解除劳动关系计划或裁减建议所提供的辞退福利时；公司确认与涉及支付辞退福利的重组相关的成本或费用时。</w:t>
      </w:r>
    </w:p>
    <w:p>
      <w:pPr>
        <w:spacing w:line="240" w:lineRule="auto" w:before="4"/>
        <w:rPr>
          <w:rFonts w:ascii="宋体" w:hAnsi="宋体" w:cs="宋体" w:eastAsia="宋体" w:hint="default"/>
          <w:sz w:val="21"/>
          <w:szCs w:val="21"/>
        </w:rPr>
      </w:pPr>
    </w:p>
    <w:p>
      <w:pPr>
        <w:pStyle w:val="Heading3"/>
        <w:spacing w:line="240" w:lineRule="auto"/>
        <w:ind w:right="0"/>
        <w:jc w:val="left"/>
        <w:rPr>
          <w:b w:val="0"/>
          <w:bCs w:val="0"/>
        </w:rPr>
      </w:pPr>
      <w:r>
        <w:rPr/>
        <w:t>（</w:t>
      </w:r>
      <w:r>
        <w:rPr>
          <w:rFonts w:ascii="Times New Roman" w:hAnsi="Times New Roman" w:cs="Times New Roman" w:eastAsia="Times New Roman" w:hint="default"/>
        </w:rPr>
        <w:t>4</w:t>
      </w:r>
      <w:r>
        <w:rPr/>
        <w:t>）其他长期职工福利的会计处理方法</w:t>
      </w:r>
      <w:r>
        <w:rPr>
          <w:b w:val="0"/>
          <w:bCs w:val="0"/>
        </w:rPr>
      </w:r>
    </w:p>
    <w:p>
      <w:pPr>
        <w:spacing w:line="240" w:lineRule="auto" w:before="6"/>
        <w:rPr>
          <w:rFonts w:ascii="宋体" w:hAnsi="宋体" w:cs="宋体" w:eastAsia="宋体" w:hint="default"/>
          <w:b/>
          <w:bCs/>
          <w:sz w:val="26"/>
          <w:szCs w:val="26"/>
        </w:rPr>
      </w:pPr>
    </w:p>
    <w:p>
      <w:pPr>
        <w:pStyle w:val="BodyText"/>
        <w:spacing w:line="338" w:lineRule="auto"/>
        <w:ind w:right="1032"/>
        <w:jc w:val="left"/>
      </w:pPr>
      <w:r>
        <w:rPr>
          <w:spacing w:val="-2"/>
        </w:rPr>
        <w:t>其他长期职工福利是指除短期薪酬、离职后福利、辞退福利之外所有的职工薪酬，包括长期带薪缺勤、长期残疾福利、长期</w:t>
      </w:r>
      <w:r>
        <w:rPr>
          <w:spacing w:val="-66"/>
        </w:rPr>
        <w:t> </w:t>
      </w:r>
      <w:r>
        <w:rPr>
          <w:spacing w:val="-66"/>
        </w:rPr>
      </w:r>
      <w:r>
        <w:rPr/>
        <w:t>利润分享计划等。</w:t>
      </w:r>
      <w:r>
        <w:rPr/>
        <w:t> 企业向职工提供的其他长期职工福利，符合设定提存计划条件的，适用于上述设定提存计划的有关规定进行处理。</w:t>
      </w:r>
    </w:p>
    <w:p>
      <w:pPr>
        <w:pStyle w:val="BodyText"/>
        <w:spacing w:line="319" w:lineRule="auto" w:before="2"/>
        <w:ind w:right="0"/>
        <w:jc w:val="left"/>
      </w:pPr>
      <w:r>
        <w:rPr>
          <w:spacing w:val="-2"/>
        </w:rPr>
        <w:t>除符合设定提存计划条件的情形外，按照设定受益计划的有关规定，确认和计量其他长期职工福利净负债或净资产。在报告</w:t>
      </w:r>
      <w:r>
        <w:rPr>
          <w:spacing w:val="-67"/>
        </w:rPr>
        <w:t> </w:t>
      </w:r>
      <w:r>
        <w:rPr>
          <w:spacing w:val="-67"/>
        </w:rPr>
      </w:r>
      <w:r>
        <w:rPr/>
        <w:t>期末，企业应当将其他长期职工福利产生的职工薪酬成本确认为下列组成部分：</w:t>
      </w:r>
    </w:p>
    <w:p>
      <w:pPr>
        <w:pStyle w:val="BodyText"/>
        <w:spacing w:line="240" w:lineRule="auto" w:before="17"/>
        <w:ind w:right="0"/>
        <w:jc w:val="left"/>
      </w:pPr>
      <w:r>
        <w:rPr/>
        <w:t>①服务成本；</w:t>
      </w:r>
    </w:p>
    <w:p>
      <w:pPr>
        <w:pStyle w:val="BodyText"/>
        <w:spacing w:line="240" w:lineRule="auto" w:before="76"/>
        <w:ind w:right="0"/>
        <w:jc w:val="left"/>
      </w:pPr>
      <w:r>
        <w:rPr/>
        <w:t>②其他长期职工福利净负债或净资产的利息净额；</w:t>
      </w:r>
    </w:p>
    <w:p>
      <w:pPr>
        <w:pStyle w:val="BodyText"/>
        <w:spacing w:line="357" w:lineRule="auto" w:before="76"/>
        <w:ind w:right="4992"/>
        <w:jc w:val="left"/>
      </w:pPr>
      <w:r>
        <w:rPr/>
        <w:t>③重新计量其他长期职工福利净负债或净资产所产生的变动。 为简化相关会计处理，上述项目的总净额计入当期损益或相关资产成本。</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Heading3"/>
        <w:spacing w:line="240" w:lineRule="auto" w:before="145"/>
        <w:ind w:right="0"/>
        <w:jc w:val="left"/>
        <w:rPr>
          <w:b w:val="0"/>
          <w:bCs w:val="0"/>
        </w:rPr>
      </w:pPr>
      <w:r>
        <w:rPr>
          <w:rFonts w:ascii="Times New Roman" w:hAnsi="Times New Roman" w:cs="Times New Roman" w:eastAsia="Times New Roman" w:hint="default"/>
        </w:rPr>
        <w:t>35</w:t>
      </w:r>
      <w:r>
        <w:rPr/>
        <w:t>、租赁负债</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36</w:t>
      </w:r>
      <w:r>
        <w:rPr/>
        <w:t>、预计负债</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与或有事项相关的义务同时满足下列条件的，确认为预计负债：</w:t>
      </w:r>
    </w:p>
    <w:p>
      <w:pPr>
        <w:pStyle w:val="BodyText"/>
        <w:spacing w:line="240" w:lineRule="auto" w:before="116"/>
        <w:ind w:right="0"/>
        <w:jc w:val="left"/>
      </w:pPr>
      <w:r>
        <w:rPr/>
        <w:t>（1）该义务是企业承担的现时义务；</w:t>
      </w:r>
    </w:p>
    <w:p>
      <w:pPr>
        <w:pStyle w:val="BodyText"/>
        <w:spacing w:line="240" w:lineRule="auto" w:before="76"/>
        <w:ind w:right="0"/>
        <w:jc w:val="left"/>
      </w:pPr>
      <w:r>
        <w:rPr/>
        <w:t>（2）履行该义务很可能导致经济利益流出企业；</w:t>
      </w:r>
    </w:p>
    <w:p>
      <w:pPr>
        <w:pStyle w:val="BodyText"/>
        <w:spacing w:line="357" w:lineRule="auto" w:before="76"/>
        <w:ind w:right="4812"/>
        <w:jc w:val="left"/>
      </w:pPr>
      <w:r>
        <w:rPr/>
        <w:t>（3）该义务的金额能够可靠地计量。 预计负债应当按照履行相关现时义务所需支出的最佳估计数进行初始计量。</w:t>
      </w:r>
    </w:p>
    <w:p>
      <w:pPr>
        <w:spacing w:after="0" w:line="357" w:lineRule="auto"/>
        <w:jc w:val="left"/>
        <w:sectPr>
          <w:pgSz w:w="11910" w:h="16840"/>
          <w:pgMar w:header="906" w:footer="1018" w:top="1100" w:bottom="1200" w:left="1020" w:right="0"/>
        </w:sectPr>
      </w:pPr>
    </w:p>
    <w:p>
      <w:pPr>
        <w:spacing w:line="240" w:lineRule="auto" w:before="9"/>
        <w:rPr>
          <w:rFonts w:ascii="宋体" w:hAnsi="宋体" w:cs="宋体" w:eastAsia="宋体" w:hint="default"/>
          <w:sz w:val="21"/>
          <w:szCs w:val="21"/>
        </w:rPr>
      </w:pPr>
    </w:p>
    <w:p>
      <w:pPr>
        <w:pStyle w:val="Heading3"/>
        <w:spacing w:line="240" w:lineRule="auto" w:before="35"/>
        <w:ind w:right="0"/>
        <w:jc w:val="left"/>
        <w:rPr>
          <w:b w:val="0"/>
          <w:bCs w:val="0"/>
        </w:rPr>
      </w:pPr>
      <w:r>
        <w:rPr>
          <w:rFonts w:ascii="Times New Roman" w:hAnsi="Times New Roman" w:cs="Times New Roman" w:eastAsia="Times New Roman" w:hint="default"/>
        </w:rPr>
        <w:t>37</w:t>
      </w:r>
      <w:r>
        <w:rPr/>
        <w:t>、股份支付</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13"/>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38</w:t>
      </w:r>
      <w:r>
        <w:rPr/>
        <w:t>、优先股、永续债等其他金融工具</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39</w:t>
      </w:r>
      <w:r>
        <w:rPr/>
        <w:t>、收入</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是否已执行新收入准则</w:t>
      </w:r>
    </w:p>
    <w:p>
      <w:pPr>
        <w:pStyle w:val="BodyText"/>
        <w:spacing w:line="240" w:lineRule="auto" w:before="116"/>
        <w:ind w:right="0"/>
        <w:jc w:val="left"/>
      </w:pPr>
      <w:r>
        <w:rPr/>
        <w:t>□ 是 √ 否</w:t>
      </w:r>
    </w:p>
    <w:p>
      <w:pPr>
        <w:pStyle w:val="BodyText"/>
        <w:spacing w:line="240" w:lineRule="auto" w:before="116"/>
        <w:ind w:right="0"/>
        <w:jc w:val="left"/>
      </w:pPr>
      <w:r>
        <w:rPr/>
        <w:t>（1）营业收入包括销售商品收入、提供劳务收入以及让渡资产使用权收入。</w:t>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7"/>
          <w:szCs w:val="17"/>
        </w:rPr>
      </w:pPr>
    </w:p>
    <w:p>
      <w:pPr>
        <w:pStyle w:val="BodyText"/>
        <w:spacing w:line="357" w:lineRule="auto"/>
        <w:ind w:right="6972"/>
        <w:jc w:val="left"/>
      </w:pPr>
      <w:r>
        <w:rPr/>
        <w:t>（2）销售商品收入的确认 销售商品收入同时满足下列条件的，予以确认：</w:t>
      </w:r>
    </w:p>
    <w:p>
      <w:pPr>
        <w:pStyle w:val="BodyText"/>
        <w:spacing w:line="240" w:lineRule="auto" w:before="28"/>
        <w:ind w:right="0"/>
        <w:jc w:val="left"/>
      </w:pPr>
      <w:r>
        <w:rPr/>
        <w:t>①企业已将商品所有权上的主要风险和报酬转移给购货方；</w:t>
      </w:r>
    </w:p>
    <w:p>
      <w:pPr>
        <w:pStyle w:val="BodyText"/>
        <w:spacing w:line="240" w:lineRule="auto" w:before="76"/>
        <w:ind w:right="0"/>
        <w:jc w:val="left"/>
      </w:pPr>
      <w:r>
        <w:rPr/>
        <w:t>②企业既没有保留通常与所有权相联系的继续管理权，也没有对已售出的商品实施有效控制；</w:t>
      </w:r>
    </w:p>
    <w:p>
      <w:pPr>
        <w:pStyle w:val="BodyText"/>
        <w:spacing w:line="240" w:lineRule="auto" w:before="76"/>
        <w:ind w:right="0"/>
        <w:jc w:val="left"/>
      </w:pPr>
      <w:r>
        <w:rPr/>
        <w:t>③收入的金额能够可靠地计量；</w:t>
      </w:r>
    </w:p>
    <w:p>
      <w:pPr>
        <w:pStyle w:val="BodyText"/>
        <w:spacing w:line="240" w:lineRule="auto" w:before="76"/>
        <w:ind w:right="0"/>
        <w:jc w:val="left"/>
      </w:pPr>
      <w:r>
        <w:rPr/>
        <w:t>④相关的经济利益很可能流入企业；</w:t>
      </w:r>
    </w:p>
    <w:p>
      <w:pPr>
        <w:pStyle w:val="BodyText"/>
        <w:spacing w:line="357" w:lineRule="auto" w:before="76"/>
        <w:ind w:right="3372"/>
        <w:jc w:val="left"/>
      </w:pPr>
      <w:r>
        <w:rPr/>
        <w:t>⑤相关的已发生或将发生的成本能够可靠地计量。 基于以上原则，公司主要风险和报酬转移具体时点和具体原则按以下不同销售模式确认收入： 1)</w:t>
      </w:r>
      <w:r>
        <w:rPr>
          <w:spacing w:val="-1"/>
        </w:rPr>
        <w:t> </w:t>
      </w:r>
      <w:r>
        <w:rPr/>
        <w:t>内销收入于产品已经发出，客户验收完成，开具发票确认收入；</w:t>
      </w:r>
    </w:p>
    <w:p>
      <w:pPr>
        <w:pStyle w:val="BodyText"/>
        <w:spacing w:line="240" w:lineRule="auto" w:before="28"/>
        <w:ind w:right="0"/>
        <w:jc w:val="left"/>
      </w:pPr>
      <w:r>
        <w:rPr/>
        <w:t>2)</w:t>
      </w:r>
      <w:r>
        <w:rPr>
          <w:spacing w:val="-1"/>
        </w:rPr>
        <w:t> </w:t>
      </w:r>
      <w:r>
        <w:rPr/>
        <w:t>外销收入于货物运至客户指定交货地点，且取得海关审批返回的出口报关单时确认收入。</w:t>
      </w:r>
    </w:p>
    <w:p>
      <w:pPr>
        <w:pStyle w:val="BodyText"/>
        <w:spacing w:line="338" w:lineRule="auto" w:before="116"/>
        <w:ind w:right="1032"/>
        <w:jc w:val="left"/>
      </w:pPr>
      <w:r>
        <w:rPr/>
        <w:t>（3）提供劳务收入的确认 </w:t>
      </w:r>
      <w:r>
        <w:rPr>
          <w:spacing w:val="-2"/>
        </w:rPr>
        <w:t>劳务总收入和总成本能够可靠地计量；与交易相关的经济利益能够流入公司；劳务的完成程度能够可靠地确定时，确认劳务</w:t>
      </w:r>
      <w:r>
        <w:rPr>
          <w:spacing w:val="-67"/>
        </w:rPr>
        <w:t> </w:t>
      </w:r>
      <w:r>
        <w:rPr>
          <w:spacing w:val="-67"/>
        </w:rPr>
      </w:r>
      <w:r>
        <w:rPr/>
        <w:t>收入的实现。</w:t>
      </w:r>
    </w:p>
    <w:p>
      <w:pPr>
        <w:pStyle w:val="BodyText"/>
        <w:spacing w:line="357" w:lineRule="auto" w:before="43"/>
        <w:ind w:right="1932"/>
        <w:jc w:val="left"/>
      </w:pPr>
      <w:r>
        <w:rPr/>
        <w:t>（4）让渡资产使用权收入的确认 让渡资产使用权收入包括利息收入、使用费收入等。让渡资产使用权收入同时满足下列条件的，才能予以确认：</w:t>
      </w:r>
    </w:p>
    <w:p>
      <w:pPr>
        <w:pStyle w:val="BodyText"/>
        <w:spacing w:line="240" w:lineRule="auto" w:before="28"/>
        <w:ind w:right="0"/>
        <w:jc w:val="left"/>
      </w:pPr>
      <w:r>
        <w:rPr/>
        <w:t>①相关的经济利益很可能流入企业；</w:t>
      </w:r>
    </w:p>
    <w:p>
      <w:pPr>
        <w:pStyle w:val="BodyText"/>
        <w:spacing w:line="357" w:lineRule="auto" w:before="76"/>
        <w:ind w:right="4632"/>
        <w:jc w:val="left"/>
      </w:pPr>
      <w:r>
        <w:rPr/>
        <w:t>②收入的金额能够可靠地计量。 基于以上原则，确认让渡资产使用权收入时，公司按以下具体原则确认收入： 使用费收入，按照有关合同或协议约定的收费时间和方法计算确定收入。</w:t>
      </w:r>
    </w:p>
    <w:p>
      <w:pPr>
        <w:spacing w:line="240" w:lineRule="auto" w:before="3"/>
        <w:rPr>
          <w:rFonts w:ascii="宋体" w:hAnsi="宋体" w:cs="宋体" w:eastAsia="宋体" w:hint="default"/>
          <w:sz w:val="20"/>
          <w:szCs w:val="20"/>
        </w:rPr>
      </w:pPr>
    </w:p>
    <w:p>
      <w:pPr>
        <w:pStyle w:val="Heading3"/>
        <w:spacing w:line="240" w:lineRule="auto"/>
        <w:ind w:right="0"/>
        <w:jc w:val="left"/>
        <w:rPr>
          <w:b w:val="0"/>
          <w:bCs w:val="0"/>
        </w:rPr>
      </w:pPr>
      <w:r>
        <w:rPr>
          <w:rFonts w:ascii="Times New Roman" w:hAnsi="Times New Roman" w:cs="Times New Roman" w:eastAsia="Times New Roman" w:hint="default"/>
        </w:rPr>
        <w:t>40</w:t>
      </w:r>
      <w:r>
        <w:rPr/>
        <w:t>、政府补助</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政府补助，是公司从政府无偿取得的货币性资产或非货币性资产。分为与资产相关的政府补助和与收益相关的政府补助。</w:t>
      </w:r>
    </w:p>
    <w:p>
      <w:pPr>
        <w:pStyle w:val="BodyText"/>
        <w:spacing w:line="360" w:lineRule="auto" w:before="116"/>
        <w:ind w:right="0"/>
        <w:jc w:val="left"/>
      </w:pPr>
      <w:r>
        <w:rPr/>
        <w:t>（1）与资产相关的政府补助判断依据及会计处理方法 与资产相关的政府补助，是指企业取得的、用于购建或以其他方式形成长期资产的政府补助。</w:t>
      </w:r>
    </w:p>
    <w:p>
      <w:pPr>
        <w:pStyle w:val="BodyText"/>
        <w:spacing w:line="338" w:lineRule="auto" w:before="26"/>
        <w:ind w:right="0"/>
        <w:jc w:val="left"/>
      </w:pPr>
      <w:r>
        <w:rPr>
          <w:spacing w:val="-2"/>
        </w:rPr>
        <w:t>与资产相关的政府补助，应当确认为递延收益。与资产相关的政府补助确认为递延收益的应当在相关资产使用寿命内按照合</w:t>
      </w:r>
      <w:r>
        <w:rPr>
          <w:spacing w:val="-64"/>
        </w:rPr>
        <w:t> </w:t>
      </w:r>
      <w:r>
        <w:rPr>
          <w:spacing w:val="-64"/>
        </w:rPr>
      </w:r>
      <w:r>
        <w:rPr/>
        <w:t>理、系统的方法分期计入损益。按照名义金额计量的政府补助，直接计入当期损益。</w:t>
      </w:r>
      <w:r>
        <w:rPr/>
        <w:t> </w:t>
      </w:r>
      <w:r>
        <w:rPr>
          <w:spacing w:val="-2"/>
        </w:rPr>
        <w:t>相关资产在使用寿命结束前被出售、转让、报废或发生毁损的，应当将尚未分配的相关递延收益余额转入资产处置当期的损</w:t>
      </w:r>
    </w:p>
    <w:p>
      <w:pPr>
        <w:spacing w:after="0" w:line="338" w:lineRule="auto"/>
        <w:jc w:val="left"/>
        <w:sectPr>
          <w:pgSz w:w="11910" w:h="16840"/>
          <w:pgMar w:header="906" w:footer="1018" w:top="1100" w:bottom="1200" w:left="1020" w:right="0"/>
        </w:sectPr>
      </w:pPr>
    </w:p>
    <w:p>
      <w:pPr>
        <w:spacing w:line="240" w:lineRule="auto" w:before="11"/>
        <w:rPr>
          <w:rFonts w:ascii="宋体" w:hAnsi="宋体" w:cs="宋体" w:eastAsia="宋体" w:hint="default"/>
          <w:sz w:val="22"/>
          <w:szCs w:val="22"/>
        </w:rPr>
      </w:pPr>
    </w:p>
    <w:p>
      <w:pPr>
        <w:pStyle w:val="BodyText"/>
        <w:spacing w:line="338" w:lineRule="auto" w:before="44"/>
        <w:ind w:right="1032"/>
        <w:jc w:val="left"/>
      </w:pPr>
      <w:r>
        <w:rPr/>
        <w:t>益。 </w:t>
      </w:r>
      <w:r>
        <w:rPr>
          <w:spacing w:val="-2"/>
        </w:rPr>
        <w:t>与公司日常活动相关的政府补助，应当按照经济业务实质，计入其他收益。与公司日常活动无关的政府补助，应当计入营业</w:t>
      </w:r>
      <w:r>
        <w:rPr>
          <w:spacing w:val="-69"/>
        </w:rPr>
        <w:t> </w:t>
      </w:r>
      <w:r>
        <w:rPr>
          <w:spacing w:val="-69"/>
        </w:rPr>
      </w:r>
      <w:r>
        <w:rPr/>
        <w:t>外收支。</w:t>
      </w:r>
    </w:p>
    <w:p>
      <w:pPr>
        <w:pStyle w:val="BodyText"/>
        <w:spacing w:line="360" w:lineRule="auto" w:before="42"/>
        <w:ind w:right="1165"/>
        <w:jc w:val="left"/>
      </w:pPr>
      <w:r>
        <w:rPr/>
        <w:t>（2）与收益相关的政府补助判断依据及会计处理方法 与收益相关的政府补助，是指除与资产相关的政府补助之外的政府补助。</w:t>
      </w:r>
    </w:p>
    <w:p>
      <w:pPr>
        <w:pStyle w:val="BodyText"/>
        <w:spacing w:line="338" w:lineRule="auto" w:before="26"/>
        <w:ind w:right="0"/>
        <w:jc w:val="left"/>
      </w:pPr>
      <w:r>
        <w:rPr>
          <w:spacing w:val="-4"/>
        </w:rPr>
        <w:t>企业对于综合性项目的政府补助，需要将其分解为与资产相关的部分和与收益相关的部分，分别进行会计处理；难以区分的，</w:t>
      </w:r>
      <w:r>
        <w:rPr>
          <w:spacing w:val="-44"/>
        </w:rPr>
        <w:t> </w:t>
      </w:r>
      <w:r>
        <w:rPr>
          <w:spacing w:val="-44"/>
        </w:rPr>
      </w:r>
      <w:r>
        <w:rPr/>
        <w:t>应当整体归类为与收益相关的政府补助。</w:t>
      </w:r>
      <w:r>
        <w:rPr/>
        <w:t> </w:t>
      </w:r>
      <w:r>
        <w:rPr>
          <w:spacing w:val="-2"/>
        </w:rPr>
        <w:t>与收益相关的政府补助，用于补偿企业以后期间的相关费用或损失的，取得时确认为递延收益，并在确认相关成本费用或损</w:t>
      </w:r>
    </w:p>
    <w:p>
      <w:pPr>
        <w:pStyle w:val="BodyText"/>
        <w:spacing w:line="338" w:lineRule="auto" w:before="2"/>
        <w:ind w:right="1032"/>
        <w:jc w:val="left"/>
      </w:pPr>
      <w:r>
        <w:rPr/>
        <w:t>失的期间计入当期损益；用于补偿企业已发生的相关费用或损失的，直接计入当期损益。 </w:t>
      </w:r>
      <w:r>
        <w:rPr>
          <w:spacing w:val="-2"/>
        </w:rPr>
        <w:t>与公司日常活动相关的政府补助，应当按照经济业务实质计入其他收益。与公司日常活动无关的政府补助，应当计入营业外</w:t>
      </w:r>
      <w:r>
        <w:rPr>
          <w:spacing w:val="-67"/>
        </w:rPr>
        <w:t> </w:t>
      </w:r>
      <w:r>
        <w:rPr>
          <w:spacing w:val="-67"/>
        </w:rPr>
      </w:r>
      <w:r>
        <w:rPr/>
        <w:t>收支。</w:t>
      </w:r>
    </w:p>
    <w:p>
      <w:pPr>
        <w:pStyle w:val="BodyText"/>
        <w:spacing w:line="338" w:lineRule="auto" w:before="42"/>
        <w:ind w:right="0"/>
        <w:jc w:val="left"/>
      </w:pPr>
      <w:r>
        <w:rPr/>
        <w:t>（3）政府补助的确认时点 </w:t>
      </w:r>
      <w:r>
        <w:rPr>
          <w:spacing w:val="-2"/>
        </w:rPr>
        <w:t>政府补助为货币性资产的，应当按照收到或应收的金额计量。按照应收金额计量的政府补助，在期末有确凿证据表明能够符</w:t>
      </w:r>
      <w:r>
        <w:rPr>
          <w:spacing w:val="-65"/>
        </w:rPr>
        <w:t> </w:t>
      </w:r>
      <w:r>
        <w:rPr>
          <w:spacing w:val="-65"/>
        </w:rPr>
      </w:r>
      <w:r>
        <w:rPr>
          <w:spacing w:val="-2"/>
        </w:rPr>
        <w:t>合财政扶持政策规定的相关条件且预计能够收到财政扶持资金时予以确认；政府补助为非货币性资产的，应当按照取得非货</w:t>
      </w:r>
    </w:p>
    <w:p>
      <w:pPr>
        <w:pStyle w:val="BodyText"/>
        <w:spacing w:line="338" w:lineRule="auto" w:before="2"/>
        <w:ind w:right="0"/>
        <w:jc w:val="left"/>
      </w:pPr>
      <w:r>
        <w:rPr>
          <w:spacing w:val="-2"/>
        </w:rPr>
        <w:t>币性资产所有权风险和报酬转移时确认政府补助实现。其中非货币性资产按公允价值计量；公允价值不能可靠取得的，按照</w:t>
      </w:r>
      <w:r>
        <w:rPr>
          <w:spacing w:val="-68"/>
        </w:rPr>
        <w:t> </w:t>
      </w:r>
      <w:r>
        <w:rPr>
          <w:spacing w:val="-68"/>
        </w:rPr>
      </w:r>
      <w:r>
        <w:rPr/>
        <w:t>名义金额计量。</w:t>
      </w:r>
      <w:r>
        <w:rPr/>
        <w:t> </w:t>
      </w:r>
      <w:r>
        <w:rPr>
          <w:spacing w:val="-2"/>
        </w:rPr>
        <w:t>已确认的政府补助需要返还时，存在相关递延收益余额的，冲减相关递延收益账面余额，超出部分计入当期损益；不存在相</w:t>
      </w:r>
    </w:p>
    <w:p>
      <w:pPr>
        <w:pStyle w:val="BodyText"/>
        <w:spacing w:line="240" w:lineRule="auto" w:before="2"/>
        <w:ind w:right="0"/>
        <w:jc w:val="left"/>
      </w:pPr>
      <w:r>
        <w:rPr/>
        <w:t>关递延收益的，直接计入当期损益。</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7"/>
          <w:szCs w:val="17"/>
        </w:rPr>
      </w:pPr>
    </w:p>
    <w:p>
      <w:pPr>
        <w:pStyle w:val="Heading3"/>
        <w:spacing w:line="240" w:lineRule="auto"/>
        <w:ind w:right="0"/>
        <w:jc w:val="left"/>
        <w:rPr>
          <w:b w:val="0"/>
          <w:bCs w:val="0"/>
        </w:rPr>
      </w:pPr>
      <w:r>
        <w:rPr>
          <w:rFonts w:ascii="Times New Roman" w:hAnsi="Times New Roman" w:cs="Times New Roman" w:eastAsia="Times New Roman" w:hint="default"/>
        </w:rPr>
        <w:t>41</w:t>
      </w:r>
      <w:r>
        <w:rPr/>
        <w:t>、递延所得税资产</w:t>
      </w:r>
      <w:r>
        <w:rPr>
          <w:rFonts w:ascii="Times New Roman" w:hAnsi="Times New Roman" w:cs="Times New Roman" w:eastAsia="Times New Roman" w:hint="default"/>
        </w:rPr>
        <w:t>/</w:t>
      </w:r>
      <w:r>
        <w:rPr/>
        <w:t>递延所得税负债</w:t>
      </w:r>
      <w:r>
        <w:rPr>
          <w:b w:val="0"/>
          <w:bCs w:val="0"/>
        </w:rPr>
      </w:r>
    </w:p>
    <w:p>
      <w:pPr>
        <w:spacing w:line="240" w:lineRule="auto" w:before="6"/>
        <w:rPr>
          <w:rFonts w:ascii="宋体" w:hAnsi="宋体" w:cs="宋体" w:eastAsia="宋体" w:hint="default"/>
          <w:b/>
          <w:bCs/>
          <w:sz w:val="26"/>
          <w:szCs w:val="26"/>
        </w:rPr>
      </w:pPr>
    </w:p>
    <w:p>
      <w:pPr>
        <w:pStyle w:val="BodyText"/>
        <w:spacing w:line="316" w:lineRule="auto"/>
        <w:ind w:right="1131"/>
        <w:jc w:val="both"/>
      </w:pPr>
      <w:r>
        <w:rPr>
          <w:spacing w:val="-2"/>
        </w:rPr>
        <w:t>企业所得税采用资产负债表债务法进行核算。于资产负债表日，分析比较资产、负债的账面价值与其计税基础，两者之间存</w:t>
      </w:r>
      <w:r>
        <w:rPr>
          <w:spacing w:val="-67"/>
        </w:rPr>
        <w:t> </w:t>
      </w:r>
      <w:r>
        <w:rPr>
          <w:spacing w:val="-67"/>
        </w:rPr>
      </w:r>
      <w:r>
        <w:rPr/>
        <w:t>在差异的，确认递延所得税资产、递延所得税负债及相应的递延所得税费用(或收益)。在计算确定当期所得税(即当期应交</w:t>
      </w:r>
      <w:r>
        <w:rPr>
          <w:spacing w:val="-88"/>
        </w:rPr>
        <w:t> </w:t>
      </w:r>
      <w:r>
        <w:rPr>
          <w:spacing w:val="-88"/>
        </w:rPr>
      </w:r>
      <w:r>
        <w:rPr/>
        <w:t>所得税)以及递延所得税费用(或收益)的基础上，将两者之和确认为利润表中的所得税费用(或收益)，但不包括直接计入所</w:t>
      </w:r>
      <w:r>
        <w:rPr>
          <w:spacing w:val="-87"/>
        </w:rPr>
        <w:t> </w:t>
      </w:r>
      <w:r>
        <w:rPr>
          <w:spacing w:val="-87"/>
        </w:rPr>
      </w:r>
      <w:r>
        <w:rPr/>
        <w:t>有者权益的交易或事项的所得税影响。</w:t>
      </w:r>
    </w:p>
    <w:p>
      <w:pPr>
        <w:pStyle w:val="BodyText"/>
        <w:spacing w:line="319" w:lineRule="auto" w:before="59"/>
        <w:ind w:right="0"/>
        <w:jc w:val="left"/>
      </w:pPr>
      <w:r>
        <w:rPr>
          <w:spacing w:val="-2"/>
        </w:rPr>
        <w:t>资产负债表日，对递延所得税资产的账面价值进行复核。如果未来期间很可能无法获得足够的应纳税所得额用以抵扣递延所</w:t>
      </w:r>
      <w:r>
        <w:rPr>
          <w:spacing w:val="-64"/>
        </w:rPr>
        <w:t> </w:t>
      </w:r>
      <w:r>
        <w:rPr>
          <w:spacing w:val="-64"/>
        </w:rPr>
      </w:r>
      <w:r>
        <w:rPr/>
        <w:t>得税资产的利益，应当减记递延所得税资产的账面价值。</w:t>
      </w:r>
    </w:p>
    <w:p>
      <w:pPr>
        <w:spacing w:line="240" w:lineRule="auto" w:before="5"/>
        <w:rPr>
          <w:rFonts w:ascii="宋体" w:hAnsi="宋体" w:cs="宋体" w:eastAsia="宋体" w:hint="default"/>
          <w:sz w:val="22"/>
          <w:szCs w:val="22"/>
        </w:rPr>
      </w:pPr>
    </w:p>
    <w:p>
      <w:pPr>
        <w:pStyle w:val="Heading3"/>
        <w:spacing w:line="240" w:lineRule="auto"/>
        <w:ind w:right="0"/>
        <w:jc w:val="left"/>
        <w:rPr>
          <w:b w:val="0"/>
          <w:bCs w:val="0"/>
        </w:rPr>
      </w:pPr>
      <w:r>
        <w:rPr>
          <w:rFonts w:ascii="Times New Roman" w:hAnsi="Times New Roman" w:cs="Times New Roman" w:eastAsia="Times New Roman" w:hint="default"/>
        </w:rPr>
        <w:t>42</w:t>
      </w:r>
      <w:r>
        <w:rPr/>
        <w:t>、租赁</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t>（</w:t>
      </w:r>
      <w:r>
        <w:rPr>
          <w:rFonts w:ascii="Times New Roman" w:hAnsi="Times New Roman" w:cs="Times New Roman" w:eastAsia="Times New Roman" w:hint="default"/>
        </w:rPr>
        <w:t>1</w:t>
      </w:r>
      <w:r>
        <w:rPr/>
        <w:t>）经营租赁的会计处理方法</w:t>
      </w:r>
      <w:r>
        <w:rPr>
          <w:b w:val="0"/>
          <w:bCs w:val="0"/>
        </w:rPr>
      </w:r>
    </w:p>
    <w:p>
      <w:pPr>
        <w:spacing w:line="240" w:lineRule="auto" w:before="6"/>
        <w:rPr>
          <w:rFonts w:ascii="宋体" w:hAnsi="宋体" w:cs="宋体" w:eastAsia="宋体" w:hint="default"/>
          <w:b/>
          <w:bCs/>
          <w:sz w:val="26"/>
          <w:szCs w:val="26"/>
        </w:rPr>
      </w:pPr>
    </w:p>
    <w:p>
      <w:pPr>
        <w:pStyle w:val="BodyText"/>
        <w:spacing w:line="316" w:lineRule="auto"/>
        <w:ind w:right="7872"/>
        <w:jc w:val="left"/>
      </w:pPr>
      <w:r>
        <w:rPr/>
        <w:t>①公司作为承租人对经营租赁的处理 1）租金的处理</w:t>
      </w:r>
    </w:p>
    <w:p>
      <w:pPr>
        <w:pStyle w:val="BodyText"/>
        <w:spacing w:line="357" w:lineRule="auto" w:before="59"/>
        <w:ind w:right="5352"/>
        <w:jc w:val="left"/>
      </w:pPr>
      <w:r>
        <w:rPr/>
        <w:t>在经营租赁下需将支付或应付的租金计入相关资产成本或当期损益。 2）初始直接费用的处理 对于承租人在经营租赁中发生的初始直接费用，计入当期损益。 3）或有租金的处理 在经营租赁下，承租人对或有租金在实际发生时计入当期损益。 4）出租人提供激励措施的处理</w:t>
      </w:r>
    </w:p>
    <w:p>
      <w:pPr>
        <w:pStyle w:val="BodyText"/>
        <w:spacing w:line="240" w:lineRule="auto" w:before="28"/>
        <w:ind w:right="0"/>
        <w:jc w:val="left"/>
      </w:pPr>
      <w:r>
        <w:rPr/>
        <w:t>出租人提供免租期的，承租人应将租金总额在不扣除免租期的整个租赁期内，按直线法或其他合理的方法进行分摊，免租期</w:t>
      </w:r>
    </w:p>
    <w:p>
      <w:pPr>
        <w:spacing w:after="0" w:line="240" w:lineRule="auto"/>
        <w:jc w:val="left"/>
        <w:sectPr>
          <w:pgSz w:w="11910" w:h="16840"/>
          <w:pgMar w:header="906" w:footer="1018" w:top="1100" w:bottom="1200" w:left="1020" w:right="0"/>
        </w:sectPr>
      </w:pPr>
    </w:p>
    <w:p>
      <w:pPr>
        <w:spacing w:line="240" w:lineRule="auto" w:before="11"/>
        <w:rPr>
          <w:rFonts w:ascii="宋体" w:hAnsi="宋体" w:cs="宋体" w:eastAsia="宋体" w:hint="default"/>
          <w:sz w:val="22"/>
          <w:szCs w:val="22"/>
        </w:rPr>
      </w:pPr>
    </w:p>
    <w:p>
      <w:pPr>
        <w:pStyle w:val="BodyText"/>
        <w:spacing w:line="316" w:lineRule="auto" w:before="44"/>
        <w:ind w:right="0"/>
        <w:jc w:val="left"/>
      </w:pPr>
      <w:r>
        <w:rPr>
          <w:spacing w:val="-2"/>
        </w:rPr>
        <w:t>内应当确认租金费用及相应的负债。出租人承担了承租人某些费用的，承租人将该费用从租金费用总额中扣除，按扣除后的</w:t>
      </w:r>
      <w:r>
        <w:rPr>
          <w:spacing w:val="-67"/>
        </w:rPr>
        <w:t> </w:t>
      </w:r>
      <w:r>
        <w:rPr>
          <w:spacing w:val="-67"/>
        </w:rPr>
      </w:r>
      <w:r>
        <w:rPr/>
        <w:t>租金费用余额在租赁期内进行分摊。</w:t>
      </w:r>
    </w:p>
    <w:p>
      <w:pPr>
        <w:pStyle w:val="BodyText"/>
        <w:spacing w:line="357" w:lineRule="auto" w:before="58"/>
        <w:ind w:right="7872"/>
        <w:jc w:val="left"/>
      </w:pPr>
      <w:r>
        <w:rPr/>
        <w:t>②公司作为出租人对经营租赁的处理 1）租金的处理</w:t>
      </w:r>
    </w:p>
    <w:p>
      <w:pPr>
        <w:pStyle w:val="BodyText"/>
        <w:spacing w:line="357" w:lineRule="auto" w:before="28"/>
        <w:ind w:right="6072"/>
        <w:jc w:val="left"/>
      </w:pPr>
      <w:r>
        <w:rPr/>
        <w:t>出租人应采用直线法将收到的租金在租赁期内确认为收益。 2）初始直接费用的处理</w:t>
      </w:r>
    </w:p>
    <w:p>
      <w:pPr>
        <w:pStyle w:val="BodyText"/>
        <w:spacing w:line="316" w:lineRule="auto" w:before="28"/>
        <w:ind w:right="1128"/>
        <w:jc w:val="both"/>
      </w:pPr>
      <w:r>
        <w:rPr>
          <w:spacing w:val="-2"/>
        </w:rPr>
        <w:t>经营租赁中出租人发生的初始直接费用，是指在租赁谈判和签订租赁合同的过程中发生的可归属于租赁项目的手续费、律师</w:t>
      </w:r>
      <w:r>
        <w:rPr>
          <w:spacing w:val="-64"/>
        </w:rPr>
        <w:t> </w:t>
      </w:r>
      <w:r>
        <w:rPr>
          <w:spacing w:val="-64"/>
        </w:rPr>
      </w:r>
      <w:r>
        <w:rPr>
          <w:spacing w:val="-2"/>
        </w:rPr>
        <w:t>费、差旅费、印花税等，计入当期损益。金额较大的应当资本化，在整个经营租赁期内按照与确认租金收入相同的基础分期</w:t>
      </w:r>
      <w:r>
        <w:rPr>
          <w:spacing w:val="-65"/>
        </w:rPr>
        <w:t> </w:t>
      </w:r>
      <w:r>
        <w:rPr>
          <w:spacing w:val="-65"/>
        </w:rPr>
      </w:r>
      <w:r>
        <w:rPr/>
        <w:t>计入当期损益。</w:t>
      </w:r>
    </w:p>
    <w:p>
      <w:pPr>
        <w:pStyle w:val="BodyText"/>
        <w:spacing w:line="357" w:lineRule="auto" w:before="59"/>
        <w:ind w:right="3012"/>
        <w:jc w:val="left"/>
      </w:pPr>
      <w:r>
        <w:rPr/>
        <w:t>3）租赁资产折旧的计提 对于经营租赁资产中的固定资产，采用出租人对类似应折旧资产通常所采用的折旧政策计提折旧。 4）或有租金的处理</w:t>
      </w:r>
    </w:p>
    <w:p>
      <w:pPr>
        <w:pStyle w:val="BodyText"/>
        <w:spacing w:line="357" w:lineRule="auto" w:before="28"/>
        <w:ind w:right="7422"/>
        <w:jc w:val="left"/>
      </w:pPr>
      <w:r>
        <w:rPr/>
        <w:t>在实际发生时计入当期收益。 5）出租人对经营租赁提供激励措施的处理</w:t>
      </w:r>
    </w:p>
    <w:p>
      <w:pPr>
        <w:pStyle w:val="BodyText"/>
        <w:spacing w:line="316" w:lineRule="auto" w:before="28"/>
        <w:ind w:right="1129"/>
        <w:jc w:val="both"/>
      </w:pPr>
      <w:r>
        <w:rPr>
          <w:spacing w:val="-2"/>
        </w:rPr>
        <w:t>出租人提供免租期的，出租人将租金总额在不扣除免租期的整个租赁期内，按直线法或其他合理的方法进行分配，免租期内</w:t>
      </w:r>
      <w:r>
        <w:rPr>
          <w:spacing w:val="-67"/>
        </w:rPr>
        <w:t> </w:t>
      </w:r>
      <w:r>
        <w:rPr>
          <w:spacing w:val="-67"/>
        </w:rPr>
      </w:r>
      <w:r>
        <w:rPr>
          <w:spacing w:val="-2"/>
        </w:rPr>
        <w:t>出租人确认租金收入。出租人承担了承租人某些费用的，出租人将该费用自租金收入总额中扣除，按扣除后的租金收入余额</w:t>
      </w:r>
      <w:r>
        <w:rPr>
          <w:spacing w:val="-65"/>
        </w:rPr>
        <w:t> </w:t>
      </w:r>
      <w:r>
        <w:rPr>
          <w:spacing w:val="-65"/>
        </w:rPr>
      </w:r>
      <w:r>
        <w:rPr/>
        <w:t>在租赁期内进行分配。</w:t>
      </w:r>
    </w:p>
    <w:p>
      <w:pPr>
        <w:pStyle w:val="BodyText"/>
        <w:spacing w:line="338" w:lineRule="auto" w:before="59"/>
        <w:ind w:right="0"/>
        <w:jc w:val="left"/>
      </w:pPr>
      <w:r>
        <w:rPr/>
        <w:t>6）经营租赁资产在财务报表中的处理 </w:t>
      </w:r>
      <w:r>
        <w:rPr>
          <w:spacing w:val="-2"/>
        </w:rPr>
        <w:t>在经营租赁下，与资产所有权有关的主要风险和报酬仍然留在出租人一方，因此出租人将出租资产作为自身拥有的资产在资</w:t>
      </w:r>
      <w:r>
        <w:rPr>
          <w:spacing w:val="-64"/>
        </w:rPr>
        <w:t> </w:t>
      </w:r>
      <w:r>
        <w:rPr>
          <w:spacing w:val="-64"/>
        </w:rPr>
      </w:r>
      <w:r>
        <w:rPr>
          <w:spacing w:val="-2"/>
        </w:rPr>
        <w:t>产负债表中列示，如果出租资产属于固定资产，则列在资产负债表固定资产项下，如果出租资产属于流动资产，则列在资产</w:t>
      </w:r>
    </w:p>
    <w:p>
      <w:pPr>
        <w:pStyle w:val="BodyText"/>
        <w:spacing w:line="240" w:lineRule="auto" w:before="2"/>
        <w:ind w:right="0"/>
        <w:jc w:val="left"/>
      </w:pPr>
      <w:r>
        <w:rPr/>
        <w:t>负债表有关流动资产项下。</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7"/>
          <w:szCs w:val="17"/>
        </w:rPr>
      </w:pPr>
    </w:p>
    <w:p>
      <w:pPr>
        <w:pStyle w:val="Heading3"/>
        <w:spacing w:line="240" w:lineRule="auto"/>
        <w:ind w:right="0"/>
        <w:jc w:val="left"/>
        <w:rPr>
          <w:b w:val="0"/>
          <w:bCs w:val="0"/>
        </w:rPr>
      </w:pPr>
      <w:r>
        <w:rPr/>
        <w:t>（</w:t>
      </w:r>
      <w:r>
        <w:rPr>
          <w:rFonts w:ascii="Times New Roman" w:hAnsi="Times New Roman" w:cs="Times New Roman" w:eastAsia="Times New Roman" w:hint="default"/>
        </w:rPr>
        <w:t>2</w:t>
      </w:r>
      <w:r>
        <w:rPr/>
        <w:t>）融资租赁的会计处理方法</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43</w:t>
      </w:r>
      <w:r>
        <w:rPr/>
        <w:t>、其他重要的会计政策和会计估计</w:t>
      </w:r>
      <w:r>
        <w:rPr>
          <w:b w:val="0"/>
          <w:bCs w:val="0"/>
        </w:rPr>
      </w:r>
    </w:p>
    <w:p>
      <w:pPr>
        <w:spacing w:line="240" w:lineRule="auto" w:before="6"/>
        <w:rPr>
          <w:rFonts w:ascii="宋体" w:hAnsi="宋体" w:cs="宋体" w:eastAsia="宋体" w:hint="default"/>
          <w:b/>
          <w:bCs/>
          <w:sz w:val="26"/>
          <w:szCs w:val="26"/>
        </w:rPr>
      </w:pPr>
    </w:p>
    <w:p>
      <w:pPr>
        <w:pStyle w:val="BodyText"/>
        <w:spacing w:line="338" w:lineRule="auto"/>
        <w:ind w:right="1032"/>
        <w:jc w:val="left"/>
      </w:pPr>
      <w:r>
        <w:rPr/>
        <w:t>（1）分部报告 </w:t>
      </w:r>
      <w:r>
        <w:rPr>
          <w:spacing w:val="-2"/>
        </w:rPr>
        <w:t>公司以内部组织结构、管理要求、内部报告制度为依据确定经营分部，以经营分部为基础确定报告分部。并在财务报表附注</w:t>
      </w:r>
      <w:r>
        <w:rPr>
          <w:spacing w:val="-69"/>
        </w:rPr>
        <w:t> </w:t>
      </w:r>
      <w:r>
        <w:rPr>
          <w:spacing w:val="-69"/>
        </w:rPr>
      </w:r>
      <w:r>
        <w:rPr/>
        <w:t>中披露各报告分部的财务信息，包括营业收入，营业成本，资产总额，负债总额等。</w:t>
      </w:r>
    </w:p>
    <w:p>
      <w:pPr>
        <w:pStyle w:val="BodyText"/>
        <w:spacing w:line="240" w:lineRule="auto" w:before="43"/>
        <w:ind w:right="0"/>
        <w:jc w:val="left"/>
      </w:pPr>
      <w:r>
        <w:rPr/>
        <w:t>经营分部，是指公司内同时满足下列条件的组成部分：</w:t>
      </w:r>
    </w:p>
    <w:p>
      <w:pPr>
        <w:pStyle w:val="BodyText"/>
        <w:spacing w:line="240" w:lineRule="auto" w:before="116"/>
        <w:ind w:right="0"/>
        <w:jc w:val="left"/>
      </w:pPr>
      <w:r>
        <w:rPr/>
        <w:t>①该组成部分能够在日常活动中产生收入、发生费用；</w:t>
      </w:r>
    </w:p>
    <w:p>
      <w:pPr>
        <w:pStyle w:val="BodyText"/>
        <w:spacing w:line="240" w:lineRule="auto" w:before="116"/>
        <w:ind w:right="0"/>
        <w:jc w:val="left"/>
      </w:pPr>
      <w:r>
        <w:rPr/>
        <w:t>②企业管理层能够定期评价该组成部分的经营成果，以决定向其配置资源、评价其业绩；</w:t>
      </w:r>
    </w:p>
    <w:p>
      <w:pPr>
        <w:pStyle w:val="BodyText"/>
        <w:spacing w:line="240" w:lineRule="auto" w:before="116"/>
        <w:ind w:right="0"/>
        <w:jc w:val="left"/>
      </w:pPr>
      <w:r>
        <w:rPr/>
        <w:t>③企业能够取得该组成部分的财务状况、经营成果和现金流量等有关会计信息。</w:t>
      </w:r>
    </w:p>
    <w:p>
      <w:pPr>
        <w:pStyle w:val="BodyText"/>
        <w:spacing w:line="338" w:lineRule="auto" w:before="116"/>
        <w:ind w:right="1032"/>
        <w:jc w:val="left"/>
      </w:pPr>
      <w:r>
        <w:rPr/>
        <w:t>（2）股份回购 </w:t>
      </w:r>
      <w:r>
        <w:rPr>
          <w:spacing w:val="-2"/>
        </w:rPr>
        <w:t>本公司回购的股份在注销或者转让之前，作为库存股管理，回购股份的全部支出转作库存股成本。股份回购中支付的对价和</w:t>
      </w:r>
      <w:r>
        <w:rPr>
          <w:spacing w:val="-64"/>
        </w:rPr>
        <w:t> </w:t>
      </w:r>
      <w:r>
        <w:rPr>
          <w:spacing w:val="-64"/>
        </w:rPr>
      </w:r>
      <w:r>
        <w:rPr/>
        <w:t>交易费用减少所有者权益，回购、转让或注销本公司股份时，不确认利得或损失。</w:t>
      </w:r>
    </w:p>
    <w:p>
      <w:pPr>
        <w:pStyle w:val="BodyText"/>
        <w:spacing w:line="316" w:lineRule="auto" w:before="42"/>
        <w:ind w:right="1129"/>
        <w:jc w:val="both"/>
      </w:pPr>
      <w:r>
        <w:rPr>
          <w:spacing w:val="-2"/>
        </w:rPr>
        <w:t>转让库存股，按实际收到的金额与库存股账面金额的差额，冲减资本公积，资本公积不足冲减的，冲减盈余公积和未分配利</w:t>
      </w:r>
      <w:r>
        <w:rPr>
          <w:spacing w:val="-67"/>
        </w:rPr>
        <w:t> </w:t>
      </w:r>
      <w:r>
        <w:rPr>
          <w:spacing w:val="-67"/>
        </w:rPr>
      </w:r>
      <w:r>
        <w:rPr>
          <w:spacing w:val="-2"/>
        </w:rPr>
        <w:t>润。注销库存股，按股票面值和注销股数减少股本，按注销库存股的账面余额与面值的差额，冲减资本公积，资本公积不足</w:t>
      </w:r>
      <w:r>
        <w:rPr>
          <w:spacing w:val="-66"/>
        </w:rPr>
        <w:t> </w:t>
      </w:r>
      <w:r>
        <w:rPr>
          <w:spacing w:val="-66"/>
        </w:rPr>
      </w:r>
      <w:r>
        <w:rPr/>
        <w:t>冲减的，冲减盈余公积和未分配利润。</w:t>
      </w:r>
    </w:p>
    <w:p>
      <w:pPr>
        <w:spacing w:after="0" w:line="316" w:lineRule="auto"/>
        <w:jc w:val="both"/>
        <w:sectPr>
          <w:pgSz w:w="11910" w:h="16840"/>
          <w:pgMar w:header="906" w:footer="1018" w:top="1100" w:bottom="1200" w:left="10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8"/>
          <w:szCs w:val="28"/>
        </w:rPr>
      </w:pPr>
    </w:p>
    <w:p>
      <w:pPr>
        <w:pStyle w:val="Heading3"/>
        <w:spacing w:line="240" w:lineRule="auto" w:before="35"/>
        <w:ind w:right="0"/>
        <w:jc w:val="left"/>
        <w:rPr>
          <w:b w:val="0"/>
          <w:bCs w:val="0"/>
        </w:rPr>
      </w:pPr>
      <w:r>
        <w:rPr>
          <w:rFonts w:ascii="Times New Roman" w:hAnsi="Times New Roman" w:cs="Times New Roman" w:eastAsia="Times New Roman" w:hint="default"/>
        </w:rPr>
        <w:t>44</w:t>
      </w:r>
      <w:r>
        <w:rPr/>
        <w:t>、重要会计政策和会计估计变更</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t>（</w:t>
      </w:r>
      <w:r>
        <w:rPr>
          <w:rFonts w:ascii="Times New Roman" w:hAnsi="Times New Roman" w:cs="Times New Roman" w:eastAsia="Times New Roman" w:hint="default"/>
        </w:rPr>
        <w:t>1</w:t>
      </w:r>
      <w:r>
        <w:rPr/>
        <w:t>）重要会计政策变更</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91"/>
        <w:gridCol w:w="3189"/>
        <w:gridCol w:w="3189"/>
      </w:tblGrid>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510" w:right="0"/>
              <w:jc w:val="left"/>
              <w:rPr>
                <w:rFonts w:ascii="宋体" w:hAnsi="宋体" w:cs="宋体" w:eastAsia="宋体" w:hint="default"/>
                <w:sz w:val="18"/>
                <w:szCs w:val="18"/>
              </w:rPr>
            </w:pPr>
            <w:r>
              <w:rPr>
                <w:rFonts w:ascii="宋体" w:hAnsi="宋体" w:cs="宋体" w:eastAsia="宋体" w:hint="default"/>
                <w:sz w:val="18"/>
                <w:szCs w:val="18"/>
              </w:rPr>
              <w:t>会计政策变更的内容和原因</w:t>
            </w:r>
          </w:p>
        </w:tc>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审批程序</w:t>
            </w:r>
          </w:p>
        </w:tc>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备注</w:t>
            </w:r>
          </w:p>
        </w:tc>
      </w:tr>
    </w:tbl>
    <w:p>
      <w:pPr>
        <w:pStyle w:val="BodyText"/>
        <w:spacing w:line="316" w:lineRule="auto" w:before="9"/>
        <w:ind w:right="1129"/>
        <w:jc w:val="both"/>
      </w:pPr>
      <w:r>
        <w:rPr>
          <w:spacing w:val="-2"/>
        </w:rPr>
        <w:t>①财政部于2019年4月30日发布了《关于修订印发2019年一般企业财务报表格式的通知》(财会[2019]6号)文件，要求变更财</w:t>
      </w:r>
      <w:r>
        <w:rPr>
          <w:spacing w:val="-46"/>
        </w:rPr>
        <w:t> </w:t>
      </w:r>
      <w:r>
        <w:rPr>
          <w:spacing w:val="-46"/>
        </w:rPr>
      </w:r>
      <w:r>
        <w:rPr/>
        <w:t>务报表格式；并于2019年9月19日发布了《关于修订印发《合并财务报表格式(2019版)》的通知》(财会〔2019〕16号)，与</w:t>
      </w:r>
      <w:r>
        <w:rPr/>
        <w:t> 财会〔2019〕6号配套执行。</w:t>
      </w: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13"/>
          <w:szCs w:val="13"/>
        </w:rPr>
      </w:pPr>
    </w:p>
    <w:p>
      <w:pPr>
        <w:pStyle w:val="BodyText"/>
        <w:spacing w:line="319" w:lineRule="auto"/>
        <w:ind w:right="1129"/>
        <w:jc w:val="both"/>
      </w:pPr>
      <w:r>
        <w:rPr/>
        <w:t>公司根据财会〔2019〕6号、财会〔2019〕16号规定的财务报表格式编制比较财务报表，并采用追溯调整法变更了相关财务</w:t>
      </w:r>
      <w:r>
        <w:rPr>
          <w:spacing w:val="-85"/>
        </w:rPr>
        <w:t> </w:t>
      </w:r>
      <w:r>
        <w:rPr>
          <w:spacing w:val="-85"/>
        </w:rPr>
      </w:r>
      <w:r>
        <w:rPr/>
        <w:t>报表列报：</w:t>
      </w:r>
    </w:p>
    <w:p>
      <w:pPr>
        <w:pStyle w:val="BodyText"/>
        <w:spacing w:line="240" w:lineRule="auto" w:before="56"/>
        <w:ind w:right="0"/>
        <w:jc w:val="both"/>
        <w:rPr>
          <w:rFonts w:ascii="Times New Roman" w:hAnsi="Times New Roman" w:cs="Times New Roman" w:eastAsia="Times New Roman" w:hint="default"/>
        </w:rPr>
      </w:pPr>
      <w:r>
        <w:rPr/>
        <w:t>对合并资产负债表的影响列示如下</w:t>
      </w:r>
      <w:r>
        <w:rPr>
          <w:rFonts w:ascii="Times New Roman" w:hAnsi="Times New Roman" w:cs="Times New Roman" w:eastAsia="Times New Roman" w:hint="default"/>
        </w:rPr>
        <w:t>:</w:t>
      </w:r>
    </w:p>
    <w:p>
      <w:pPr>
        <w:spacing w:line="240" w:lineRule="auto" w:before="2"/>
        <w:rPr>
          <w:rFonts w:ascii="Times New Roman" w:hAnsi="Times New Roman" w:cs="Times New Roman" w:eastAsia="Times New Roman" w:hint="default"/>
          <w:sz w:val="8"/>
          <w:szCs w:val="8"/>
        </w:rPr>
      </w:pPr>
    </w:p>
    <w:tbl>
      <w:tblPr>
        <w:tblW w:w="0" w:type="auto"/>
        <w:jc w:val="left"/>
        <w:tblInd w:w="106" w:type="dxa"/>
        <w:tblLayout w:type="fixed"/>
        <w:tblCellMar>
          <w:top w:w="0" w:type="dxa"/>
          <w:left w:w="0" w:type="dxa"/>
          <w:bottom w:w="0" w:type="dxa"/>
          <w:right w:w="0" w:type="dxa"/>
        </w:tblCellMar>
        <w:tblLook w:val="01E0"/>
      </w:tblPr>
      <w:tblGrid>
        <w:gridCol w:w="4906"/>
        <w:gridCol w:w="2394"/>
        <w:gridCol w:w="2394"/>
      </w:tblGrid>
      <w:tr>
        <w:trPr>
          <w:trHeight w:val="427" w:hRule="exact"/>
        </w:trPr>
        <w:tc>
          <w:tcPr>
            <w:tcW w:w="4906" w:type="dxa"/>
            <w:vMerge w:val="restart"/>
            <w:tcBorders>
              <w:top w:val="single" w:sz="6" w:space="0" w:color="000000"/>
              <w:left w:val="single" w:sz="6" w:space="0" w:color="000000"/>
              <w:right w:val="single" w:sz="6" w:space="0" w:color="000000"/>
            </w:tcBorders>
          </w:tcPr>
          <w:p>
            <w:pPr>
              <w:pStyle w:val="TableParagraph"/>
              <w:spacing w:line="240" w:lineRule="auto" w:before="59"/>
              <w:ind w:left="2" w:right="0"/>
              <w:jc w:val="left"/>
              <w:rPr>
                <w:rFonts w:ascii="宋体" w:hAnsi="宋体" w:cs="宋体" w:eastAsia="宋体" w:hint="default"/>
                <w:sz w:val="18"/>
                <w:szCs w:val="18"/>
              </w:rPr>
            </w:pPr>
            <w:r>
              <w:rPr>
                <w:rFonts w:ascii="宋体" w:hAnsi="宋体" w:cs="宋体" w:eastAsia="宋体" w:hint="default"/>
                <w:sz w:val="18"/>
                <w:szCs w:val="18"/>
              </w:rPr>
              <w:t>会计政策变更的内容和原因</w:t>
            </w:r>
          </w:p>
        </w:tc>
        <w:tc>
          <w:tcPr>
            <w:tcW w:w="2394" w:type="dxa"/>
            <w:vMerge w:val="restart"/>
            <w:tcBorders>
              <w:top w:val="single" w:sz="6" w:space="0" w:color="000000"/>
              <w:left w:val="single" w:sz="6" w:space="0" w:color="000000"/>
              <w:right w:val="single" w:sz="6" w:space="0" w:color="000000"/>
            </w:tcBorders>
          </w:tcPr>
          <w:p>
            <w:pPr>
              <w:pStyle w:val="TableParagraph"/>
              <w:spacing w:line="240" w:lineRule="auto" w:before="59"/>
              <w:ind w:left="3" w:right="0"/>
              <w:jc w:val="left"/>
              <w:rPr>
                <w:rFonts w:ascii="宋体" w:hAnsi="宋体" w:cs="宋体" w:eastAsia="宋体" w:hint="default"/>
                <w:sz w:val="18"/>
                <w:szCs w:val="18"/>
              </w:rPr>
            </w:pPr>
            <w:r>
              <w:rPr>
                <w:rFonts w:ascii="宋体" w:hAnsi="宋体" w:cs="宋体" w:eastAsia="宋体" w:hint="default"/>
                <w:sz w:val="18"/>
                <w:szCs w:val="18"/>
              </w:rPr>
              <w:t>受影响的报表项目名称</w:t>
            </w:r>
          </w:p>
        </w:tc>
        <w:tc>
          <w:tcPr>
            <w:tcW w:w="23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right="0"/>
              <w:jc w:val="center"/>
              <w:rPr>
                <w:rFonts w:ascii="宋体" w:hAnsi="宋体" w:cs="宋体" w:eastAsia="宋体" w:hint="default"/>
                <w:sz w:val="18"/>
                <w:szCs w:val="18"/>
              </w:rPr>
            </w:pPr>
            <w:r>
              <w:rPr>
                <w:rFonts w:ascii="宋体" w:hAnsi="宋体" w:cs="宋体" w:eastAsia="宋体" w:hint="default"/>
                <w:sz w:val="18"/>
                <w:szCs w:val="18"/>
              </w:rPr>
              <w:t>影响金额</w:t>
            </w:r>
          </w:p>
        </w:tc>
      </w:tr>
      <w:tr>
        <w:trPr>
          <w:trHeight w:val="427" w:hRule="exact"/>
        </w:trPr>
        <w:tc>
          <w:tcPr>
            <w:tcW w:w="4906" w:type="dxa"/>
            <w:vMerge/>
            <w:tcBorders>
              <w:left w:val="single" w:sz="6" w:space="0" w:color="000000"/>
              <w:bottom w:val="single" w:sz="6" w:space="0" w:color="000000"/>
              <w:right w:val="single" w:sz="6" w:space="0" w:color="000000"/>
            </w:tcBorders>
          </w:tcPr>
          <w:p>
            <w:pPr/>
          </w:p>
        </w:tc>
        <w:tc>
          <w:tcPr>
            <w:tcW w:w="2394" w:type="dxa"/>
            <w:vMerge/>
            <w:tcBorders>
              <w:left w:val="single" w:sz="6" w:space="0" w:color="000000"/>
              <w:bottom w:val="single" w:sz="6" w:space="0" w:color="000000"/>
              <w:right w:val="single" w:sz="6" w:space="0" w:color="000000"/>
            </w:tcBorders>
          </w:tcPr>
          <w:p>
            <w:pPr/>
          </w:p>
        </w:tc>
        <w:tc>
          <w:tcPr>
            <w:tcW w:w="23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left="55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31</w:t>
            </w:r>
            <w:r>
              <w:rPr>
                <w:rFonts w:ascii="宋体" w:hAnsi="宋体" w:cs="宋体" w:eastAsia="宋体" w:hint="default"/>
                <w:sz w:val="18"/>
                <w:szCs w:val="18"/>
              </w:rPr>
              <w:t>日</w:t>
            </w:r>
          </w:p>
        </w:tc>
      </w:tr>
      <w:tr>
        <w:trPr>
          <w:trHeight w:val="427" w:hRule="exact"/>
        </w:trPr>
        <w:tc>
          <w:tcPr>
            <w:tcW w:w="4906" w:type="dxa"/>
            <w:vMerge w:val="restart"/>
            <w:tcBorders>
              <w:top w:val="single" w:sz="6" w:space="0" w:color="000000"/>
              <w:left w:val="single" w:sz="6" w:space="0" w:color="000000"/>
              <w:right w:val="single" w:sz="6" w:space="0" w:color="000000"/>
            </w:tcBorders>
          </w:tcPr>
          <w:p>
            <w:pPr>
              <w:pStyle w:val="TableParagraph"/>
              <w:spacing w:line="319" w:lineRule="auto" w:before="59"/>
              <w:ind w:left="2" w:right="1"/>
              <w:jc w:val="left"/>
              <w:rPr>
                <w:rFonts w:ascii="宋体" w:hAnsi="宋体" w:cs="宋体" w:eastAsia="宋体" w:hint="default"/>
                <w:sz w:val="18"/>
                <w:szCs w:val="18"/>
              </w:rPr>
            </w:pPr>
            <w:r>
              <w:rPr>
                <w:rFonts w:ascii="宋体" w:hAnsi="宋体" w:cs="宋体" w:eastAsia="宋体" w:hint="default"/>
                <w:sz w:val="18"/>
                <w:szCs w:val="18"/>
              </w:rPr>
              <w:t>公司将应收票据及应收账款项目分拆为应收账款项目和应收票</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据项目</w:t>
            </w:r>
          </w:p>
        </w:tc>
        <w:tc>
          <w:tcPr>
            <w:tcW w:w="23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left="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3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0"/>
              <w:jc w:val="right"/>
              <w:rPr>
                <w:rFonts w:ascii="Times New Roman" w:hAnsi="Times New Roman" w:cs="Times New Roman" w:eastAsia="Times New Roman" w:hint="default"/>
                <w:sz w:val="18"/>
                <w:szCs w:val="18"/>
              </w:rPr>
            </w:pPr>
            <w:r>
              <w:rPr>
                <w:rFonts w:ascii="Times New Roman"/>
                <w:sz w:val="18"/>
              </w:rPr>
              <w:t>90,851,198.76</w:t>
            </w:r>
          </w:p>
        </w:tc>
      </w:tr>
      <w:tr>
        <w:trPr>
          <w:trHeight w:val="427" w:hRule="exact"/>
        </w:trPr>
        <w:tc>
          <w:tcPr>
            <w:tcW w:w="4906" w:type="dxa"/>
            <w:vMerge/>
            <w:tcBorders>
              <w:left w:val="single" w:sz="6" w:space="0" w:color="000000"/>
              <w:right w:val="single" w:sz="6" w:space="0" w:color="000000"/>
            </w:tcBorders>
          </w:tcPr>
          <w:p>
            <w:pPr/>
          </w:p>
        </w:tc>
        <w:tc>
          <w:tcPr>
            <w:tcW w:w="23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left="3"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23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0"/>
              <w:jc w:val="right"/>
              <w:rPr>
                <w:rFonts w:ascii="Times New Roman" w:hAnsi="Times New Roman" w:cs="Times New Roman" w:eastAsia="Times New Roman" w:hint="default"/>
                <w:sz w:val="18"/>
                <w:szCs w:val="18"/>
              </w:rPr>
            </w:pPr>
            <w:r>
              <w:rPr>
                <w:rFonts w:ascii="Times New Roman"/>
                <w:sz w:val="18"/>
              </w:rPr>
              <w:t>51,820.94</w:t>
            </w:r>
          </w:p>
        </w:tc>
      </w:tr>
      <w:tr>
        <w:trPr>
          <w:trHeight w:val="427" w:hRule="exact"/>
        </w:trPr>
        <w:tc>
          <w:tcPr>
            <w:tcW w:w="4906" w:type="dxa"/>
            <w:vMerge/>
            <w:tcBorders>
              <w:left w:val="single" w:sz="6" w:space="0" w:color="000000"/>
              <w:bottom w:val="single" w:sz="6" w:space="0" w:color="000000"/>
              <w:right w:val="single" w:sz="6" w:space="0" w:color="000000"/>
            </w:tcBorders>
          </w:tcPr>
          <w:p>
            <w:pPr/>
          </w:p>
        </w:tc>
        <w:tc>
          <w:tcPr>
            <w:tcW w:w="23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left="3" w:right="0"/>
              <w:jc w:val="left"/>
              <w:rPr>
                <w:rFonts w:ascii="宋体" w:hAnsi="宋体" w:cs="宋体" w:eastAsia="宋体" w:hint="default"/>
                <w:sz w:val="18"/>
                <w:szCs w:val="18"/>
              </w:rPr>
            </w:pPr>
            <w:r>
              <w:rPr>
                <w:rFonts w:ascii="宋体" w:hAnsi="宋体" w:cs="宋体" w:eastAsia="宋体" w:hint="default"/>
                <w:sz w:val="18"/>
                <w:szCs w:val="18"/>
              </w:rPr>
              <w:t>应收票据及应收账款</w:t>
            </w:r>
          </w:p>
        </w:tc>
        <w:tc>
          <w:tcPr>
            <w:tcW w:w="23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w w:val="95"/>
                <w:sz w:val="18"/>
              </w:rPr>
              <w:t>-90,903,019.70</w:t>
            </w:r>
            <w:r>
              <w:rPr>
                <w:rFonts w:ascii="Times New Roman"/>
                <w:sz w:val="18"/>
              </w:rPr>
            </w:r>
          </w:p>
        </w:tc>
      </w:tr>
      <w:tr>
        <w:trPr>
          <w:trHeight w:val="427" w:hRule="exact"/>
        </w:trPr>
        <w:tc>
          <w:tcPr>
            <w:tcW w:w="4906" w:type="dxa"/>
            <w:vMerge w:val="restart"/>
            <w:tcBorders>
              <w:top w:val="single" w:sz="6" w:space="0" w:color="000000"/>
              <w:left w:val="single" w:sz="6" w:space="0" w:color="000000"/>
              <w:right w:val="single" w:sz="6" w:space="0" w:color="000000"/>
            </w:tcBorders>
          </w:tcPr>
          <w:p>
            <w:pPr>
              <w:pStyle w:val="TableParagraph"/>
              <w:spacing w:line="316" w:lineRule="auto" w:before="59"/>
              <w:ind w:left="2" w:right="1"/>
              <w:jc w:val="left"/>
              <w:rPr>
                <w:rFonts w:ascii="宋体" w:hAnsi="宋体" w:cs="宋体" w:eastAsia="宋体" w:hint="default"/>
                <w:sz w:val="18"/>
                <w:szCs w:val="18"/>
              </w:rPr>
            </w:pPr>
            <w:r>
              <w:rPr>
                <w:rFonts w:ascii="宋体" w:hAnsi="宋体" w:cs="宋体" w:eastAsia="宋体" w:hint="default"/>
                <w:sz w:val="18"/>
                <w:szCs w:val="18"/>
              </w:rPr>
              <w:t>公司将应付票据及应付账款项目分拆为应付账款项目和应付票</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据项目</w:t>
            </w:r>
          </w:p>
        </w:tc>
        <w:tc>
          <w:tcPr>
            <w:tcW w:w="23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left="3"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3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0"/>
              <w:jc w:val="right"/>
              <w:rPr>
                <w:rFonts w:ascii="Times New Roman" w:hAnsi="Times New Roman" w:cs="Times New Roman" w:eastAsia="Times New Roman" w:hint="default"/>
                <w:sz w:val="18"/>
                <w:szCs w:val="18"/>
              </w:rPr>
            </w:pPr>
            <w:r>
              <w:rPr>
                <w:rFonts w:ascii="Times New Roman"/>
                <w:sz w:val="18"/>
              </w:rPr>
              <w:t>179,104,736.62</w:t>
            </w:r>
          </w:p>
        </w:tc>
      </w:tr>
      <w:tr>
        <w:trPr>
          <w:trHeight w:val="427" w:hRule="exact"/>
        </w:trPr>
        <w:tc>
          <w:tcPr>
            <w:tcW w:w="4906" w:type="dxa"/>
            <w:vMerge/>
            <w:tcBorders>
              <w:left w:val="single" w:sz="6" w:space="0" w:color="000000"/>
              <w:right w:val="single" w:sz="6" w:space="0" w:color="000000"/>
            </w:tcBorders>
          </w:tcPr>
          <w:p>
            <w:pPr/>
          </w:p>
        </w:tc>
        <w:tc>
          <w:tcPr>
            <w:tcW w:w="23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left="3"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23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27" w:hRule="exact"/>
        </w:trPr>
        <w:tc>
          <w:tcPr>
            <w:tcW w:w="4906" w:type="dxa"/>
            <w:vMerge/>
            <w:tcBorders>
              <w:left w:val="single" w:sz="6" w:space="0" w:color="000000"/>
              <w:bottom w:val="single" w:sz="6" w:space="0" w:color="000000"/>
              <w:right w:val="single" w:sz="6" w:space="0" w:color="000000"/>
            </w:tcBorders>
          </w:tcPr>
          <w:p>
            <w:pPr/>
          </w:p>
        </w:tc>
        <w:tc>
          <w:tcPr>
            <w:tcW w:w="23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left="3" w:right="0"/>
              <w:jc w:val="left"/>
              <w:rPr>
                <w:rFonts w:ascii="宋体" w:hAnsi="宋体" w:cs="宋体" w:eastAsia="宋体" w:hint="default"/>
                <w:sz w:val="18"/>
                <w:szCs w:val="18"/>
              </w:rPr>
            </w:pPr>
            <w:r>
              <w:rPr>
                <w:rFonts w:ascii="宋体" w:hAnsi="宋体" w:cs="宋体" w:eastAsia="宋体" w:hint="default"/>
                <w:sz w:val="18"/>
                <w:szCs w:val="18"/>
              </w:rPr>
              <w:t>应付票据及应付账款</w:t>
            </w:r>
          </w:p>
        </w:tc>
        <w:tc>
          <w:tcPr>
            <w:tcW w:w="23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w w:val="95"/>
                <w:sz w:val="18"/>
              </w:rPr>
              <w:t>-179,104,736.62</w:t>
            </w:r>
            <w:r>
              <w:rPr>
                <w:rFonts w:ascii="Times New Roman"/>
                <w:sz w:val="18"/>
              </w:rPr>
            </w:r>
          </w:p>
        </w:tc>
      </w:tr>
    </w:tbl>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14"/>
          <w:szCs w:val="14"/>
        </w:rPr>
      </w:pPr>
    </w:p>
    <w:p>
      <w:pPr>
        <w:pStyle w:val="BodyText"/>
        <w:spacing w:line="240" w:lineRule="auto"/>
        <w:ind w:right="0"/>
        <w:jc w:val="left"/>
        <w:rPr>
          <w:rFonts w:ascii="Times New Roman" w:hAnsi="Times New Roman" w:cs="Times New Roman" w:eastAsia="Times New Roman" w:hint="default"/>
        </w:rPr>
      </w:pPr>
      <w:r>
        <w:rPr/>
        <w:t>对母公司资产负债表的影响列示如下</w:t>
      </w:r>
      <w:r>
        <w:rPr>
          <w:rFonts w:ascii="Times New Roman" w:hAnsi="Times New Roman" w:cs="Times New Roman" w:eastAsia="Times New Roman" w:hint="default"/>
        </w:rPr>
        <w:t>:</w:t>
      </w: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8"/>
          <w:szCs w:val="18"/>
        </w:rPr>
      </w:pPr>
    </w:p>
    <w:tbl>
      <w:tblPr>
        <w:tblW w:w="0" w:type="auto"/>
        <w:jc w:val="left"/>
        <w:tblInd w:w="106" w:type="dxa"/>
        <w:tblLayout w:type="fixed"/>
        <w:tblCellMar>
          <w:top w:w="0" w:type="dxa"/>
          <w:left w:w="0" w:type="dxa"/>
          <w:bottom w:w="0" w:type="dxa"/>
          <w:right w:w="0" w:type="dxa"/>
        </w:tblCellMar>
        <w:tblLook w:val="01E0"/>
      </w:tblPr>
      <w:tblGrid>
        <w:gridCol w:w="4906"/>
        <w:gridCol w:w="2394"/>
        <w:gridCol w:w="2394"/>
      </w:tblGrid>
      <w:tr>
        <w:trPr>
          <w:trHeight w:val="427" w:hRule="exact"/>
        </w:trPr>
        <w:tc>
          <w:tcPr>
            <w:tcW w:w="4906" w:type="dxa"/>
            <w:vMerge w:val="restart"/>
            <w:tcBorders>
              <w:top w:val="single" w:sz="6" w:space="0" w:color="000000"/>
              <w:left w:val="single" w:sz="6" w:space="0" w:color="000000"/>
              <w:right w:val="single" w:sz="6" w:space="0" w:color="000000"/>
            </w:tcBorders>
          </w:tcPr>
          <w:p>
            <w:pPr>
              <w:pStyle w:val="TableParagraph"/>
              <w:spacing w:line="240" w:lineRule="auto" w:before="59"/>
              <w:ind w:left="2" w:right="0"/>
              <w:jc w:val="left"/>
              <w:rPr>
                <w:rFonts w:ascii="宋体" w:hAnsi="宋体" w:cs="宋体" w:eastAsia="宋体" w:hint="default"/>
                <w:sz w:val="18"/>
                <w:szCs w:val="18"/>
              </w:rPr>
            </w:pPr>
            <w:r>
              <w:rPr>
                <w:rFonts w:ascii="宋体" w:hAnsi="宋体" w:cs="宋体" w:eastAsia="宋体" w:hint="default"/>
                <w:sz w:val="18"/>
                <w:szCs w:val="18"/>
              </w:rPr>
              <w:t>会计政策变更的内容和原因</w:t>
            </w:r>
          </w:p>
        </w:tc>
        <w:tc>
          <w:tcPr>
            <w:tcW w:w="2394" w:type="dxa"/>
            <w:vMerge w:val="restart"/>
            <w:tcBorders>
              <w:top w:val="single" w:sz="6" w:space="0" w:color="000000"/>
              <w:left w:val="single" w:sz="6" w:space="0" w:color="000000"/>
              <w:right w:val="single" w:sz="6" w:space="0" w:color="000000"/>
            </w:tcBorders>
          </w:tcPr>
          <w:p>
            <w:pPr>
              <w:pStyle w:val="TableParagraph"/>
              <w:spacing w:line="240" w:lineRule="auto" w:before="59"/>
              <w:ind w:left="3" w:right="0"/>
              <w:jc w:val="left"/>
              <w:rPr>
                <w:rFonts w:ascii="宋体" w:hAnsi="宋体" w:cs="宋体" w:eastAsia="宋体" w:hint="default"/>
                <w:sz w:val="18"/>
                <w:szCs w:val="18"/>
              </w:rPr>
            </w:pPr>
            <w:r>
              <w:rPr>
                <w:rFonts w:ascii="宋体" w:hAnsi="宋体" w:cs="宋体" w:eastAsia="宋体" w:hint="default"/>
                <w:sz w:val="18"/>
                <w:szCs w:val="18"/>
              </w:rPr>
              <w:t>受影响的报表项目名称</w:t>
            </w:r>
          </w:p>
        </w:tc>
        <w:tc>
          <w:tcPr>
            <w:tcW w:w="23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right="0"/>
              <w:jc w:val="center"/>
              <w:rPr>
                <w:rFonts w:ascii="宋体" w:hAnsi="宋体" w:cs="宋体" w:eastAsia="宋体" w:hint="default"/>
                <w:sz w:val="18"/>
                <w:szCs w:val="18"/>
              </w:rPr>
            </w:pPr>
            <w:r>
              <w:rPr>
                <w:rFonts w:ascii="宋体" w:hAnsi="宋体" w:cs="宋体" w:eastAsia="宋体" w:hint="default"/>
                <w:sz w:val="18"/>
                <w:szCs w:val="18"/>
              </w:rPr>
              <w:t>影响金额</w:t>
            </w:r>
          </w:p>
        </w:tc>
      </w:tr>
      <w:tr>
        <w:trPr>
          <w:trHeight w:val="427" w:hRule="exact"/>
        </w:trPr>
        <w:tc>
          <w:tcPr>
            <w:tcW w:w="4906" w:type="dxa"/>
            <w:vMerge/>
            <w:tcBorders>
              <w:left w:val="single" w:sz="6" w:space="0" w:color="000000"/>
              <w:bottom w:val="single" w:sz="6" w:space="0" w:color="000000"/>
              <w:right w:val="single" w:sz="6" w:space="0" w:color="000000"/>
            </w:tcBorders>
          </w:tcPr>
          <w:p>
            <w:pPr/>
          </w:p>
        </w:tc>
        <w:tc>
          <w:tcPr>
            <w:tcW w:w="2394" w:type="dxa"/>
            <w:vMerge/>
            <w:tcBorders>
              <w:left w:val="single" w:sz="6" w:space="0" w:color="000000"/>
              <w:bottom w:val="single" w:sz="6" w:space="0" w:color="000000"/>
              <w:right w:val="single" w:sz="6" w:space="0" w:color="000000"/>
            </w:tcBorders>
          </w:tcPr>
          <w:p>
            <w:pPr/>
          </w:p>
        </w:tc>
        <w:tc>
          <w:tcPr>
            <w:tcW w:w="23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left="37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31</w:t>
            </w:r>
            <w:r>
              <w:rPr>
                <w:rFonts w:ascii="宋体" w:hAnsi="宋体" w:cs="宋体" w:eastAsia="宋体" w:hint="default"/>
                <w:sz w:val="18"/>
                <w:szCs w:val="18"/>
              </w:rPr>
              <w:t>日</w:t>
            </w:r>
          </w:p>
        </w:tc>
      </w:tr>
      <w:tr>
        <w:trPr>
          <w:trHeight w:val="427" w:hRule="exact"/>
        </w:trPr>
        <w:tc>
          <w:tcPr>
            <w:tcW w:w="4906" w:type="dxa"/>
            <w:vMerge w:val="restart"/>
            <w:tcBorders>
              <w:top w:val="single" w:sz="6" w:space="0" w:color="000000"/>
              <w:left w:val="single" w:sz="6" w:space="0" w:color="000000"/>
              <w:right w:val="single" w:sz="6" w:space="0" w:color="000000"/>
            </w:tcBorders>
          </w:tcPr>
          <w:p>
            <w:pPr>
              <w:pStyle w:val="TableParagraph"/>
              <w:spacing w:line="319" w:lineRule="auto" w:before="59"/>
              <w:ind w:left="2" w:right="1"/>
              <w:jc w:val="left"/>
              <w:rPr>
                <w:rFonts w:ascii="宋体" w:hAnsi="宋体" w:cs="宋体" w:eastAsia="宋体" w:hint="default"/>
                <w:sz w:val="18"/>
                <w:szCs w:val="18"/>
              </w:rPr>
            </w:pPr>
            <w:r>
              <w:rPr>
                <w:rFonts w:ascii="宋体" w:hAnsi="宋体" w:cs="宋体" w:eastAsia="宋体" w:hint="default"/>
                <w:sz w:val="18"/>
                <w:szCs w:val="18"/>
              </w:rPr>
              <w:t>公司将应收票据及应收账款项目分拆为应收账款项目和应收票</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据项目</w:t>
            </w:r>
          </w:p>
        </w:tc>
        <w:tc>
          <w:tcPr>
            <w:tcW w:w="23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left="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3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0"/>
              <w:jc w:val="right"/>
              <w:rPr>
                <w:rFonts w:ascii="Times New Roman" w:hAnsi="Times New Roman" w:cs="Times New Roman" w:eastAsia="Times New Roman" w:hint="default"/>
                <w:sz w:val="18"/>
                <w:szCs w:val="18"/>
              </w:rPr>
            </w:pPr>
            <w:r>
              <w:rPr>
                <w:rFonts w:ascii="Times New Roman"/>
                <w:sz w:val="18"/>
              </w:rPr>
              <w:t>87,815,430.22</w:t>
            </w:r>
          </w:p>
        </w:tc>
      </w:tr>
      <w:tr>
        <w:trPr>
          <w:trHeight w:val="427" w:hRule="exact"/>
        </w:trPr>
        <w:tc>
          <w:tcPr>
            <w:tcW w:w="4906" w:type="dxa"/>
            <w:vMerge/>
            <w:tcBorders>
              <w:left w:val="single" w:sz="6" w:space="0" w:color="000000"/>
              <w:right w:val="single" w:sz="6" w:space="0" w:color="000000"/>
            </w:tcBorders>
          </w:tcPr>
          <w:p>
            <w:pPr/>
          </w:p>
        </w:tc>
        <w:tc>
          <w:tcPr>
            <w:tcW w:w="23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left="3"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23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0"/>
              <w:jc w:val="right"/>
              <w:rPr>
                <w:rFonts w:ascii="Times New Roman" w:hAnsi="Times New Roman" w:cs="Times New Roman" w:eastAsia="Times New Roman" w:hint="default"/>
                <w:sz w:val="18"/>
                <w:szCs w:val="18"/>
              </w:rPr>
            </w:pPr>
            <w:r>
              <w:rPr>
                <w:rFonts w:ascii="Times New Roman"/>
                <w:sz w:val="18"/>
              </w:rPr>
              <w:t>51,820.94</w:t>
            </w:r>
          </w:p>
        </w:tc>
      </w:tr>
      <w:tr>
        <w:trPr>
          <w:trHeight w:val="427" w:hRule="exact"/>
        </w:trPr>
        <w:tc>
          <w:tcPr>
            <w:tcW w:w="4906" w:type="dxa"/>
            <w:vMerge/>
            <w:tcBorders>
              <w:left w:val="single" w:sz="6" w:space="0" w:color="000000"/>
              <w:bottom w:val="single" w:sz="6" w:space="0" w:color="000000"/>
              <w:right w:val="single" w:sz="6" w:space="0" w:color="000000"/>
            </w:tcBorders>
          </w:tcPr>
          <w:p>
            <w:pPr/>
          </w:p>
        </w:tc>
        <w:tc>
          <w:tcPr>
            <w:tcW w:w="23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left="3" w:right="0"/>
              <w:jc w:val="left"/>
              <w:rPr>
                <w:rFonts w:ascii="宋体" w:hAnsi="宋体" w:cs="宋体" w:eastAsia="宋体" w:hint="default"/>
                <w:sz w:val="18"/>
                <w:szCs w:val="18"/>
              </w:rPr>
            </w:pPr>
            <w:r>
              <w:rPr>
                <w:rFonts w:ascii="宋体" w:hAnsi="宋体" w:cs="宋体" w:eastAsia="宋体" w:hint="default"/>
                <w:sz w:val="18"/>
                <w:szCs w:val="18"/>
              </w:rPr>
              <w:t>应收票据及应收账款</w:t>
            </w:r>
          </w:p>
        </w:tc>
        <w:tc>
          <w:tcPr>
            <w:tcW w:w="23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w w:val="95"/>
                <w:sz w:val="18"/>
              </w:rPr>
              <w:t>-87,867,251.16</w:t>
            </w:r>
            <w:r>
              <w:rPr>
                <w:rFonts w:ascii="Times New Roman"/>
                <w:sz w:val="18"/>
              </w:rPr>
            </w:r>
          </w:p>
        </w:tc>
      </w:tr>
      <w:tr>
        <w:trPr>
          <w:trHeight w:val="427" w:hRule="exact"/>
        </w:trPr>
        <w:tc>
          <w:tcPr>
            <w:tcW w:w="4906" w:type="dxa"/>
            <w:vMerge w:val="restart"/>
            <w:tcBorders>
              <w:top w:val="single" w:sz="6" w:space="0" w:color="000000"/>
              <w:left w:val="single" w:sz="6" w:space="0" w:color="000000"/>
              <w:right w:val="single" w:sz="6" w:space="0" w:color="000000"/>
            </w:tcBorders>
          </w:tcPr>
          <w:p>
            <w:pPr>
              <w:pStyle w:val="TableParagraph"/>
              <w:spacing w:line="316" w:lineRule="auto" w:before="59"/>
              <w:ind w:left="2" w:right="1"/>
              <w:jc w:val="left"/>
              <w:rPr>
                <w:rFonts w:ascii="宋体" w:hAnsi="宋体" w:cs="宋体" w:eastAsia="宋体" w:hint="default"/>
                <w:sz w:val="18"/>
                <w:szCs w:val="18"/>
              </w:rPr>
            </w:pPr>
            <w:r>
              <w:rPr>
                <w:rFonts w:ascii="宋体" w:hAnsi="宋体" w:cs="宋体" w:eastAsia="宋体" w:hint="default"/>
                <w:sz w:val="18"/>
                <w:szCs w:val="18"/>
              </w:rPr>
              <w:t>公司将应付票据及应付账款项目分拆为应付账款项目和应付票</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据项目</w:t>
            </w:r>
          </w:p>
        </w:tc>
        <w:tc>
          <w:tcPr>
            <w:tcW w:w="23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left="3"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3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0"/>
              <w:jc w:val="right"/>
              <w:rPr>
                <w:rFonts w:ascii="Times New Roman" w:hAnsi="Times New Roman" w:cs="Times New Roman" w:eastAsia="Times New Roman" w:hint="default"/>
                <w:sz w:val="18"/>
                <w:szCs w:val="18"/>
              </w:rPr>
            </w:pPr>
            <w:r>
              <w:rPr>
                <w:rFonts w:ascii="Times New Roman"/>
                <w:sz w:val="18"/>
              </w:rPr>
              <w:t>177,878,965.16</w:t>
            </w:r>
          </w:p>
        </w:tc>
      </w:tr>
      <w:tr>
        <w:trPr>
          <w:trHeight w:val="427" w:hRule="exact"/>
        </w:trPr>
        <w:tc>
          <w:tcPr>
            <w:tcW w:w="4906" w:type="dxa"/>
            <w:vMerge/>
            <w:tcBorders>
              <w:left w:val="single" w:sz="6" w:space="0" w:color="000000"/>
              <w:right w:val="single" w:sz="6" w:space="0" w:color="000000"/>
            </w:tcBorders>
          </w:tcPr>
          <w:p>
            <w:pPr/>
          </w:p>
        </w:tc>
        <w:tc>
          <w:tcPr>
            <w:tcW w:w="23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left="3"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23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27" w:hRule="exact"/>
        </w:trPr>
        <w:tc>
          <w:tcPr>
            <w:tcW w:w="4906" w:type="dxa"/>
            <w:vMerge/>
            <w:tcBorders>
              <w:left w:val="single" w:sz="6" w:space="0" w:color="000000"/>
              <w:bottom w:val="single" w:sz="6" w:space="0" w:color="000000"/>
              <w:right w:val="single" w:sz="6" w:space="0" w:color="000000"/>
            </w:tcBorders>
          </w:tcPr>
          <w:p>
            <w:pPr/>
          </w:p>
        </w:tc>
        <w:tc>
          <w:tcPr>
            <w:tcW w:w="23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left="3" w:right="0"/>
              <w:jc w:val="left"/>
              <w:rPr>
                <w:rFonts w:ascii="宋体" w:hAnsi="宋体" w:cs="宋体" w:eastAsia="宋体" w:hint="default"/>
                <w:sz w:val="18"/>
                <w:szCs w:val="18"/>
              </w:rPr>
            </w:pPr>
            <w:r>
              <w:rPr>
                <w:rFonts w:ascii="宋体" w:hAnsi="宋体" w:cs="宋体" w:eastAsia="宋体" w:hint="default"/>
                <w:sz w:val="18"/>
                <w:szCs w:val="18"/>
              </w:rPr>
              <w:t>应付票据及应付账款</w:t>
            </w:r>
          </w:p>
        </w:tc>
        <w:tc>
          <w:tcPr>
            <w:tcW w:w="23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w w:val="95"/>
                <w:sz w:val="18"/>
              </w:rPr>
              <w:t>-177,878,965.16</w:t>
            </w:r>
            <w:r>
              <w:rPr>
                <w:rFonts w:ascii="Times New Roman"/>
                <w:sz w:val="18"/>
              </w:rPr>
            </w:r>
          </w:p>
        </w:tc>
      </w:tr>
    </w:tbl>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14"/>
          <w:szCs w:val="14"/>
        </w:rPr>
      </w:pPr>
    </w:p>
    <w:p>
      <w:pPr>
        <w:pStyle w:val="BodyText"/>
        <w:spacing w:line="240" w:lineRule="auto"/>
        <w:ind w:right="0"/>
        <w:jc w:val="left"/>
      </w:pPr>
      <w:r>
        <w:rPr/>
        <w:t>②财政部于2017年3月31日分别发布</w:t>
      </w:r>
      <w:r>
        <w:rPr>
          <w:spacing w:val="-16"/>
        </w:rPr>
        <w:t>了</w:t>
      </w:r>
      <w:r>
        <w:rPr/>
        <w:t>《企业会计准则</w:t>
      </w:r>
      <w:r>
        <w:rPr>
          <w:spacing w:val="-1"/>
        </w:rPr>
        <w:t>第</w:t>
      </w:r>
      <w:r>
        <w:rPr/>
        <w:t>22号</w:t>
      </w:r>
      <w:r>
        <w:rPr>
          <w:rFonts w:ascii="Times New Roman" w:hAnsi="Times New Roman" w:cs="Times New Roman" w:eastAsia="Times New Roman" w:hint="default"/>
        </w:rPr>
        <w:t>——</w:t>
      </w:r>
      <w:r>
        <w:rPr/>
        <w:t>金融工具确</w:t>
      </w:r>
      <w:r>
        <w:rPr>
          <w:spacing w:val="1"/>
        </w:rPr>
        <w:t>认</w:t>
      </w:r>
      <w:r>
        <w:rPr/>
        <w:t>和计</w:t>
      </w:r>
      <w:r>
        <w:rPr>
          <w:spacing w:val="-17"/>
        </w:rPr>
        <w:t>量</w:t>
      </w:r>
      <w:r>
        <w:rPr/>
        <w:t>（2017年修订</w:t>
      </w:r>
      <w:r>
        <w:rPr>
          <w:spacing w:val="-90"/>
        </w:rPr>
        <w:t>）</w:t>
      </w:r>
      <w:r>
        <w:rPr>
          <w:spacing w:val="-107"/>
        </w:rPr>
        <w:t>》</w:t>
      </w:r>
      <w:r>
        <w:rPr/>
        <w:t>（财</w:t>
      </w:r>
      <w:r>
        <w:rPr>
          <w:spacing w:val="-17"/>
        </w:rPr>
        <w:t>会</w:t>
      </w:r>
      <w:r>
        <w:rPr/>
        <w:t>〔2017</w:t>
      </w:r>
      <w:r>
        <w:rPr>
          <w:spacing w:val="-17"/>
        </w:rPr>
        <w:t>〕</w:t>
      </w:r>
      <w:r>
        <w:rPr/>
        <w:t>7号</w:t>
      </w:r>
      <w:r>
        <w:rPr>
          <w:spacing w:val="-90"/>
        </w:rPr>
        <w:t>）</w:t>
      </w:r>
      <w:r>
        <w:rPr/>
        <w:t>、</w:t>
      </w:r>
    </w:p>
    <w:p>
      <w:pPr>
        <w:pStyle w:val="BodyText"/>
        <w:spacing w:line="240" w:lineRule="auto" w:before="62"/>
        <w:ind w:right="0"/>
        <w:jc w:val="left"/>
      </w:pPr>
      <w:r>
        <w:rPr/>
        <w:t>《</w:t>
      </w:r>
      <w:r>
        <w:rPr>
          <w:spacing w:val="1"/>
        </w:rPr>
        <w:t>企</w:t>
      </w:r>
      <w:r>
        <w:rPr/>
        <w:t>业会计</w:t>
      </w:r>
      <w:r>
        <w:rPr>
          <w:spacing w:val="1"/>
        </w:rPr>
        <w:t>准</w:t>
      </w:r>
      <w:r>
        <w:rPr/>
        <w:t>则</w:t>
      </w:r>
      <w:r>
        <w:rPr>
          <w:spacing w:val="-2"/>
        </w:rPr>
        <w:t>第</w:t>
      </w:r>
      <w:r>
        <w:rPr/>
        <w:t>23号</w:t>
      </w:r>
      <w:r>
        <w:rPr>
          <w:rFonts w:ascii="Times New Roman" w:hAnsi="Times New Roman" w:cs="Times New Roman" w:eastAsia="Times New Roman" w:hint="default"/>
        </w:rPr>
        <w:t>——</w:t>
      </w:r>
      <w:r>
        <w:rPr/>
        <w:t>金</w:t>
      </w:r>
      <w:r>
        <w:rPr>
          <w:spacing w:val="1"/>
        </w:rPr>
        <w:t>融</w:t>
      </w:r>
      <w:r>
        <w:rPr/>
        <w:t>资产转移（2017年</w:t>
      </w:r>
      <w:r>
        <w:rPr>
          <w:spacing w:val="1"/>
        </w:rPr>
        <w:t>修</w:t>
      </w:r>
      <w:r>
        <w:rPr>
          <w:spacing w:val="-2"/>
        </w:rPr>
        <w:t>订</w:t>
      </w:r>
      <w:r>
        <w:rPr>
          <w:spacing w:val="-90"/>
        </w:rPr>
        <w:t>）》</w:t>
      </w:r>
      <w:r>
        <w:rPr/>
        <w:t>（</w:t>
      </w:r>
      <w:r>
        <w:rPr>
          <w:spacing w:val="1"/>
        </w:rPr>
        <w:t>财</w:t>
      </w:r>
      <w:r>
        <w:rPr>
          <w:spacing w:val="-2"/>
        </w:rPr>
        <w:t>会</w:t>
      </w:r>
      <w:r>
        <w:rPr>
          <w:spacing w:val="1"/>
        </w:rPr>
        <w:t>〔</w:t>
      </w:r>
      <w:r>
        <w:rPr/>
        <w:t>2017〕8</w:t>
      </w:r>
      <w:r>
        <w:rPr>
          <w:spacing w:val="1"/>
        </w:rPr>
        <w:t>号</w:t>
      </w:r>
      <w:r>
        <w:rPr>
          <w:spacing w:val="-90"/>
        </w:rPr>
        <w:t>）、</w:t>
      </w:r>
      <w:r>
        <w:rPr/>
        <w:t>《企业会计</w:t>
      </w:r>
      <w:r>
        <w:rPr>
          <w:spacing w:val="1"/>
        </w:rPr>
        <w:t>准</w:t>
      </w:r>
      <w:r>
        <w:rPr/>
        <w:t>则</w:t>
      </w:r>
      <w:r>
        <w:rPr>
          <w:spacing w:val="-2"/>
        </w:rPr>
        <w:t>第</w:t>
      </w:r>
      <w:r>
        <w:rPr/>
        <w:t>24</w:t>
      </w:r>
      <w:r>
        <w:rPr>
          <w:spacing w:val="1"/>
        </w:rPr>
        <w:t>号</w:t>
      </w:r>
      <w:r>
        <w:rPr>
          <w:rFonts w:ascii="Times New Roman" w:hAnsi="Times New Roman" w:cs="Times New Roman" w:eastAsia="Times New Roman" w:hint="default"/>
        </w:rPr>
        <w:t>——</w:t>
      </w:r>
      <w:r>
        <w:rPr/>
        <w:t>套</w:t>
      </w:r>
      <w:r>
        <w:rPr>
          <w:spacing w:val="1"/>
        </w:rPr>
        <w:t>期</w:t>
      </w:r>
      <w:r>
        <w:rPr/>
        <w:t>会</w:t>
      </w:r>
      <w:r>
        <w:rPr>
          <w:spacing w:val="-2"/>
        </w:rPr>
        <w:t>计</w:t>
      </w:r>
      <w:r>
        <w:rPr>
          <w:spacing w:val="1"/>
        </w:rPr>
        <w:t>（</w:t>
      </w:r>
      <w:r>
        <w:rPr/>
        <w:t>2017</w:t>
      </w:r>
    </w:p>
    <w:p>
      <w:pPr>
        <w:spacing w:after="0" w:line="240" w:lineRule="auto"/>
        <w:jc w:val="left"/>
        <w:sectPr>
          <w:pgSz w:w="11910" w:h="16840"/>
          <w:pgMar w:header="906" w:footer="1018" w:top="1100" w:bottom="1200" w:left="1020" w:right="0"/>
        </w:sectPr>
      </w:pPr>
    </w:p>
    <w:p>
      <w:pPr>
        <w:spacing w:line="240" w:lineRule="auto" w:before="11"/>
        <w:rPr>
          <w:rFonts w:ascii="宋体" w:hAnsi="宋体" w:cs="宋体" w:eastAsia="宋体" w:hint="default"/>
          <w:sz w:val="22"/>
          <w:szCs w:val="22"/>
        </w:rPr>
      </w:pPr>
    </w:p>
    <w:p>
      <w:pPr>
        <w:pStyle w:val="BodyText"/>
        <w:spacing w:line="300" w:lineRule="auto" w:before="44"/>
        <w:ind w:right="0"/>
        <w:jc w:val="left"/>
      </w:pPr>
      <w:r>
        <w:rPr>
          <w:spacing w:val="-12"/>
        </w:rPr>
        <w:t>年修订）》（财会〔2017〕9号），于2017年5月2日发布了《企业会计准则第37号</w:t>
      </w:r>
      <w:r>
        <w:rPr>
          <w:rFonts w:ascii="Times New Roman" w:hAnsi="Times New Roman" w:cs="Times New Roman" w:eastAsia="Times New Roman" w:hint="default"/>
          <w:spacing w:val="-12"/>
        </w:rPr>
        <w:t>——</w:t>
      </w:r>
      <w:r>
        <w:rPr>
          <w:spacing w:val="-12"/>
        </w:rPr>
        <w:t>金融工具列报（2017年修订）》（财会〔2017〕</w:t>
      </w:r>
      <w:r>
        <w:rPr>
          <w:spacing w:val="-72"/>
        </w:rPr>
        <w:t> </w:t>
      </w:r>
      <w:r>
        <w:rPr>
          <w:spacing w:val="-72"/>
        </w:rPr>
      </w:r>
      <w:r>
        <w:rPr>
          <w:spacing w:val="-5"/>
          <w:w w:val="100"/>
        </w:rPr>
        <w:t>14号）（上述准则以下统称</w:t>
      </w:r>
      <w:r>
        <w:rPr>
          <w:rFonts w:ascii="Times New Roman" w:hAnsi="Times New Roman" w:cs="Times New Roman" w:eastAsia="Times New Roman" w:hint="default"/>
          <w:spacing w:val="-5"/>
          <w:w w:val="100"/>
        </w:rPr>
        <w:t>“</w:t>
      </w:r>
      <w:r>
        <w:rPr>
          <w:spacing w:val="-5"/>
          <w:w w:val="100"/>
        </w:rPr>
        <w:t>新金融工具准则</w:t>
      </w:r>
      <w:r>
        <w:rPr>
          <w:rFonts w:ascii="Times New Roman" w:hAnsi="Times New Roman" w:cs="Times New Roman" w:eastAsia="Times New Roman" w:hint="default"/>
          <w:spacing w:val="-5"/>
          <w:w w:val="100"/>
        </w:rPr>
        <w:t>”</w:t>
      </w:r>
      <w:r>
        <w:rPr>
          <w:spacing w:val="-5"/>
          <w:w w:val="100"/>
        </w:rPr>
        <w:t>）。要求境内上市企业自2019年1月1日起执行新金融工具准则。公司自2019</w:t>
      </w:r>
      <w:r>
        <w:rPr>
          <w:w w:val="100"/>
        </w:rPr>
        <w:t> </w:t>
      </w:r>
      <w:r>
        <w:rPr/>
        <w:t>年1</w:t>
      </w:r>
      <w:r>
        <w:rPr>
          <w:spacing w:val="-37"/>
        </w:rPr>
        <w:t> </w:t>
      </w:r>
      <w:r>
        <w:rPr>
          <w:spacing w:val="-37"/>
        </w:rPr>
      </w:r>
      <w:r>
        <w:rPr/>
        <w:t>月1日起执行新金融工具准则。</w:t>
      </w:r>
    </w:p>
    <w:p>
      <w:pPr>
        <w:spacing w:line="240" w:lineRule="auto" w:before="6"/>
        <w:rPr>
          <w:rFonts w:ascii="宋体" w:hAnsi="宋体" w:cs="宋体" w:eastAsia="宋体" w:hint="default"/>
          <w:sz w:val="23"/>
          <w:szCs w:val="23"/>
        </w:rPr>
      </w:pPr>
    </w:p>
    <w:p>
      <w:pPr>
        <w:pStyle w:val="Heading3"/>
        <w:spacing w:line="240" w:lineRule="auto"/>
        <w:ind w:right="0"/>
        <w:jc w:val="left"/>
        <w:rPr>
          <w:b w:val="0"/>
          <w:bCs w:val="0"/>
        </w:rPr>
      </w:pPr>
      <w:r>
        <w:rPr/>
        <w:t>（</w:t>
      </w:r>
      <w:r>
        <w:rPr>
          <w:rFonts w:ascii="Times New Roman" w:hAnsi="Times New Roman" w:cs="Times New Roman" w:eastAsia="Times New Roman" w:hint="default"/>
        </w:rPr>
        <w:t>2</w:t>
      </w:r>
      <w:r>
        <w:rPr/>
        <w:t>）重要会计估计变更</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3"/>
        <w:rPr>
          <w:rFonts w:ascii="宋体" w:hAnsi="宋体" w:cs="宋体" w:eastAsia="宋体" w:hint="default"/>
          <w:sz w:val="26"/>
          <w:szCs w:val="26"/>
        </w:rPr>
      </w:pPr>
    </w:p>
    <w:p>
      <w:pPr>
        <w:pStyle w:val="Heading3"/>
        <w:spacing w:line="240" w:lineRule="auto"/>
        <w:ind w:right="0"/>
        <w:jc w:val="left"/>
        <w:rPr>
          <w:b w:val="0"/>
          <w:bCs w:val="0"/>
        </w:rPr>
      </w:pPr>
      <w:r>
        <w:rPr/>
        <w:t>（</w:t>
      </w:r>
      <w:r>
        <w:rPr>
          <w:rFonts w:ascii="Times New Roman" w:hAnsi="Times New Roman" w:cs="Times New Roman" w:eastAsia="Times New Roman" w:hint="default"/>
        </w:rPr>
        <w:t>3</w:t>
      </w:r>
      <w:r>
        <w:rPr/>
        <w:t>）</w:t>
      </w:r>
      <w:r>
        <w:rPr>
          <w:rFonts w:ascii="Times New Roman" w:hAnsi="Times New Roman" w:cs="Times New Roman" w:eastAsia="Times New Roman" w:hint="default"/>
        </w:rPr>
        <w:t>2019</w:t>
      </w:r>
      <w:r>
        <w:rPr>
          <w:rFonts w:ascii="Times New Roman" w:hAnsi="Times New Roman" w:cs="Times New Roman" w:eastAsia="Times New Roman" w:hint="default"/>
          <w:spacing w:val="-16"/>
        </w:rPr>
        <w:t> </w:t>
      </w:r>
      <w:r>
        <w:rPr/>
        <w:t>年起执行新金融工具准则、新收入准则或新租赁准则调整执行当年年初财务报表相关项目情况</w:t>
      </w:r>
      <w:r>
        <w:rPr>
          <w:b w:val="0"/>
          <w:bCs w:val="0"/>
        </w:rPr>
      </w:r>
    </w:p>
    <w:p>
      <w:pPr>
        <w:spacing w:line="240" w:lineRule="auto" w:before="1"/>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906" w:footer="1018" w:top="1100" w:bottom="1200" w:left="1020" w:right="0"/>
        </w:sectPr>
      </w:pPr>
    </w:p>
    <w:p>
      <w:pPr>
        <w:pStyle w:val="BodyText"/>
        <w:spacing w:line="357" w:lineRule="auto" w:before="44"/>
        <w:ind w:right="-20"/>
        <w:jc w:val="left"/>
      </w:pPr>
      <w:r>
        <w:rPr/>
        <w:t>√ 适用 □ 不适用 合并资产负债表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pStyle w:val="BodyText"/>
        <w:spacing w:line="240" w:lineRule="auto"/>
        <w:ind w:right="0"/>
        <w:jc w:val="left"/>
      </w:pPr>
      <w:r>
        <w:rPr/>
        <w:t>单位：元</w:t>
      </w:r>
    </w:p>
    <w:p>
      <w:pPr>
        <w:spacing w:after="0" w:line="240" w:lineRule="auto"/>
        <w:jc w:val="left"/>
        <w:sectPr>
          <w:type w:val="continuous"/>
          <w:pgSz w:w="11910" w:h="16840"/>
          <w:pgMar w:top="1100" w:bottom="1200" w:left="1020" w:right="0"/>
          <w:cols w:num="2" w:equalWidth="0">
            <w:col w:w="1644" w:space="7274"/>
            <w:col w:w="1972"/>
          </w:cols>
        </w:sectPr>
      </w:pP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206"/>
        <w:gridCol w:w="2453"/>
        <w:gridCol w:w="2454"/>
        <w:gridCol w:w="2454"/>
      </w:tblGrid>
      <w:tr>
        <w:trPr>
          <w:trHeight w:val="401"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4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7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7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调整数</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2453"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3"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774,995,915.93</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774,995,915.93</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238,350,000.00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238,350,000.00</w:t>
            </w:r>
          </w:p>
        </w:tc>
      </w:tr>
      <w:tr>
        <w:trPr>
          <w:trHeight w:val="1026"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02" w:right="111" w:firstLine="360"/>
              <w:jc w:val="both"/>
              <w:rPr>
                <w:rFonts w:ascii="宋体" w:hAnsi="宋体" w:cs="宋体" w:eastAsia="宋体" w:hint="default"/>
                <w:sz w:val="18"/>
                <w:szCs w:val="18"/>
              </w:rPr>
            </w:pPr>
            <w:r>
              <w:rPr>
                <w:rFonts w:ascii="宋体" w:hAnsi="宋体" w:cs="宋体" w:eastAsia="宋体" w:hint="default"/>
                <w:sz w:val="18"/>
                <w:szCs w:val="18"/>
              </w:rPr>
              <w:t>以公允价值计量且其 变动计入当期损益的金融 资产</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51,820.94</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w w:val="95"/>
                <w:sz w:val="18"/>
              </w:rPr>
              <w:t>-51,820.94</w:t>
            </w:r>
            <w:r>
              <w:rPr>
                <w:rFonts w:ascii="Times New Roman"/>
                <w:sz w:val="18"/>
              </w:rPr>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90,851,198.76</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91,070,505.47</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219,306.71</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应收款项融资</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51,820.94</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51,820.94</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308,783,403.76</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308,783,403.76</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应收分保合同准备金</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8,364,104.07</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8,563,250.62</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199,146.55</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642" w:right="0"/>
              <w:jc w:val="left"/>
              <w:rPr>
                <w:rFonts w:ascii="宋体" w:hAnsi="宋体" w:cs="宋体" w:eastAsia="宋体" w:hint="default"/>
                <w:sz w:val="18"/>
                <w:szCs w:val="18"/>
              </w:rPr>
            </w:pPr>
            <w:r>
              <w:rPr>
                <w:rFonts w:ascii="宋体" w:hAnsi="宋体" w:cs="宋体" w:eastAsia="宋体" w:hint="default"/>
                <w:sz w:val="18"/>
                <w:szCs w:val="18"/>
              </w:rPr>
              <w:t>其中：应收利息</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182"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196,152,735.29</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196,152,735.29</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合同资产</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持有待售资产</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100" w:bottom="1200" w:left="1020" w:right="0"/>
        </w:sectPr>
      </w:pPr>
    </w:p>
    <w:p>
      <w:pPr>
        <w:spacing w:line="240" w:lineRule="auto" w:before="0"/>
        <w:rPr>
          <w:rFonts w:ascii="Times New Roman" w:hAnsi="Times New Roman" w:cs="Times New Roman" w:eastAsia="Times New Roman" w:hint="default"/>
          <w:sz w:val="29"/>
          <w:szCs w:val="29"/>
        </w:rPr>
      </w:pPr>
    </w:p>
    <w:tbl>
      <w:tblPr>
        <w:tblW w:w="0" w:type="auto"/>
        <w:jc w:val="left"/>
        <w:tblInd w:w="109" w:type="dxa"/>
        <w:tblLayout w:type="fixed"/>
        <w:tblCellMar>
          <w:top w:w="0" w:type="dxa"/>
          <w:left w:w="0" w:type="dxa"/>
          <w:bottom w:w="0" w:type="dxa"/>
          <w:right w:w="0" w:type="dxa"/>
        </w:tblCellMar>
        <w:tblLook w:val="01E0"/>
      </w:tblPr>
      <w:tblGrid>
        <w:gridCol w:w="2206"/>
        <w:gridCol w:w="2453"/>
        <w:gridCol w:w="2454"/>
        <w:gridCol w:w="2454"/>
      </w:tblGrid>
      <w:tr>
        <w:trPr>
          <w:trHeight w:val="714"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02" w:right="111" w:firstLine="360"/>
              <w:jc w:val="left"/>
              <w:rPr>
                <w:rFonts w:ascii="宋体" w:hAnsi="宋体" w:cs="宋体" w:eastAsia="宋体" w:hint="default"/>
                <w:sz w:val="18"/>
                <w:szCs w:val="18"/>
              </w:rPr>
            </w:pPr>
            <w:r>
              <w:rPr>
                <w:rFonts w:ascii="宋体" w:hAnsi="宋体" w:cs="宋体" w:eastAsia="宋体" w:hint="default"/>
                <w:sz w:val="18"/>
                <w:szCs w:val="18"/>
              </w:rPr>
              <w:t>一年内到期的非流动 资产</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238,961,910.72</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611,910.72</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-238,350,000.00</w:t>
            </w:r>
            <w:r>
              <w:rPr>
                <w:rFonts w:ascii="Times New Roman"/>
                <w:sz w:val="18"/>
              </w:rPr>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1,618,161,089.47</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1,618,579,542.73</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418,453.26</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2453"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发放贷款和垫款</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债权投资</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21,030,000.00</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-21,030,000.00</w:t>
            </w:r>
            <w:r>
              <w:rPr>
                <w:rFonts w:ascii="Times New Roman"/>
                <w:sz w:val="18"/>
              </w:rPr>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其他债权投资</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209,435,048.81</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209,435,048.81</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其他权益工具投资</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21,030,000.00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21,030,000.00</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其他非流动金融资产</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194,067,865.01</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194,067,865.01</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使用权资产</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135,303,356.84</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135,303,356.84</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65,716,543.35</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65,716,543.35</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2,701,349.54</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2,701,349.54</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4,098,913.47</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4,093,716.45</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-5,197.02</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632,353,077.02</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632,347,880.00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-5,197.02</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2,250,514,166.49</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2,250,927,422.73</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413,256.24</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2453"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向中央银行借款</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673"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02" w:right="111" w:firstLine="360"/>
              <w:jc w:val="left"/>
              <w:rPr>
                <w:rFonts w:ascii="宋体" w:hAnsi="宋体" w:cs="宋体" w:eastAsia="宋体" w:hint="default"/>
                <w:sz w:val="18"/>
                <w:szCs w:val="18"/>
              </w:rPr>
            </w:pPr>
            <w:r>
              <w:rPr>
                <w:rFonts w:ascii="宋体" w:hAnsi="宋体" w:cs="宋体" w:eastAsia="宋体" w:hint="default"/>
                <w:sz w:val="18"/>
                <w:szCs w:val="18"/>
              </w:rPr>
              <w:t>以公允价值计量且其 变动计入当期损益的金融</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bl>
    <w:p>
      <w:pPr>
        <w:spacing w:after="0"/>
        <w:sectPr>
          <w:footerReference w:type="default" r:id="rId20"/>
          <w:pgSz w:w="11910" w:h="16840"/>
          <w:pgMar w:footer="1018" w:header="906" w:top="1100" w:bottom="1200" w:left="1020" w:right="0"/>
          <w:pgNumType w:start="110"/>
        </w:sectPr>
      </w:pPr>
    </w:p>
    <w:p>
      <w:pPr>
        <w:spacing w:line="240" w:lineRule="auto" w:before="0"/>
        <w:rPr>
          <w:rFonts w:ascii="Times New Roman" w:hAnsi="Times New Roman" w:cs="Times New Roman" w:eastAsia="Times New Roman" w:hint="default"/>
          <w:sz w:val="29"/>
          <w:szCs w:val="29"/>
        </w:rPr>
      </w:pPr>
    </w:p>
    <w:tbl>
      <w:tblPr>
        <w:tblW w:w="0" w:type="auto"/>
        <w:jc w:val="left"/>
        <w:tblInd w:w="109" w:type="dxa"/>
        <w:tblLayout w:type="fixed"/>
        <w:tblCellMar>
          <w:top w:w="0" w:type="dxa"/>
          <w:left w:w="0" w:type="dxa"/>
          <w:bottom w:w="0" w:type="dxa"/>
          <w:right w:w="0" w:type="dxa"/>
        </w:tblCellMar>
        <w:tblLook w:val="01E0"/>
      </w:tblPr>
      <w:tblGrid>
        <w:gridCol w:w="2206"/>
        <w:gridCol w:w="2453"/>
        <w:gridCol w:w="2454"/>
        <w:gridCol w:w="2454"/>
      </w:tblGrid>
      <w:tr>
        <w:trPr>
          <w:trHeight w:val="36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负债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179,104,736.62</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179,104,736.62</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43,438,836.07</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43,438,836.07</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合同负债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11"/>
              <w:jc w:val="right"/>
              <w:rPr>
                <w:rFonts w:ascii="宋体" w:hAnsi="宋体" w:cs="宋体" w:eastAsia="宋体" w:hint="default"/>
                <w:sz w:val="18"/>
                <w:szCs w:val="18"/>
              </w:rPr>
            </w:pPr>
            <w:r>
              <w:rPr>
                <w:rFonts w:ascii="宋体" w:hAnsi="宋体" w:cs="宋体" w:eastAsia="宋体" w:hint="default"/>
                <w:sz w:val="18"/>
                <w:szCs w:val="18"/>
              </w:rPr>
              <w:t>卖出回购金融资产款</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11"/>
              <w:jc w:val="right"/>
              <w:rPr>
                <w:rFonts w:ascii="宋体" w:hAnsi="宋体" w:cs="宋体" w:eastAsia="宋体" w:hint="default"/>
                <w:sz w:val="18"/>
                <w:szCs w:val="18"/>
              </w:rPr>
            </w:pPr>
            <w:r>
              <w:rPr>
                <w:rFonts w:ascii="宋体" w:hAnsi="宋体" w:cs="宋体" w:eastAsia="宋体" w:hint="default"/>
                <w:sz w:val="18"/>
                <w:szCs w:val="18"/>
              </w:rPr>
              <w:t>吸收存款及同业存放</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代理买卖证券款</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代理承销证券款</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4,275,089.12</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4,275,089.12</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6,323,848.64</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6,323,848.64</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16,939,453.26</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16,939,453.26</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642" w:right="0"/>
              <w:jc w:val="left"/>
              <w:rPr>
                <w:rFonts w:ascii="宋体" w:hAnsi="宋体" w:cs="宋体" w:eastAsia="宋体" w:hint="default"/>
                <w:sz w:val="18"/>
                <w:szCs w:val="18"/>
              </w:rPr>
            </w:pPr>
            <w:r>
              <w:rPr>
                <w:rFonts w:ascii="宋体" w:hAnsi="宋体" w:cs="宋体" w:eastAsia="宋体" w:hint="default"/>
                <w:sz w:val="18"/>
                <w:szCs w:val="18"/>
              </w:rPr>
              <w:t>其中：应付利息</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182"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持有待售负债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49"/>
              <w:ind w:left="102" w:right="111" w:firstLine="360"/>
              <w:jc w:val="left"/>
              <w:rPr>
                <w:rFonts w:ascii="宋体" w:hAnsi="宋体" w:cs="宋体" w:eastAsia="宋体" w:hint="default"/>
                <w:sz w:val="18"/>
                <w:szCs w:val="18"/>
              </w:rPr>
            </w:pPr>
            <w:r>
              <w:rPr>
                <w:rFonts w:ascii="宋体" w:hAnsi="宋体" w:cs="宋体" w:eastAsia="宋体" w:hint="default"/>
                <w:sz w:val="18"/>
                <w:szCs w:val="18"/>
              </w:rPr>
              <w:t>一年内到期的非流动 负债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250,081,963.71</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250,081,963.71</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2453"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保险合同准备金</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642"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182"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租赁负债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1,693,776.25</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1,693,776.25</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16,015,975.30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16,015,975.30</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6" w:footer="1018" w:top="1100" w:bottom="1200" w:left="1020" w:right="0"/>
        </w:sectPr>
      </w:pPr>
    </w:p>
    <w:p>
      <w:pPr>
        <w:spacing w:line="240" w:lineRule="auto" w:before="0"/>
        <w:rPr>
          <w:rFonts w:ascii="Times New Roman" w:hAnsi="Times New Roman" w:cs="Times New Roman" w:eastAsia="Times New Roman" w:hint="default"/>
          <w:sz w:val="29"/>
          <w:szCs w:val="29"/>
        </w:rPr>
      </w:pPr>
    </w:p>
    <w:tbl>
      <w:tblPr>
        <w:tblW w:w="0" w:type="auto"/>
        <w:jc w:val="left"/>
        <w:tblInd w:w="109" w:type="dxa"/>
        <w:tblLayout w:type="fixed"/>
        <w:tblCellMar>
          <w:top w:w="0" w:type="dxa"/>
          <w:left w:w="0" w:type="dxa"/>
          <w:bottom w:w="0" w:type="dxa"/>
          <w:right w:w="0" w:type="dxa"/>
        </w:tblCellMar>
        <w:tblLook w:val="01E0"/>
      </w:tblPr>
      <w:tblGrid>
        <w:gridCol w:w="2206"/>
        <w:gridCol w:w="2453"/>
        <w:gridCol w:w="2454"/>
        <w:gridCol w:w="2454"/>
      </w:tblGrid>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17,709,751.55</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17,709,751.55</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267,791,715.26</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267,791,715.26</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2453"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712,028,800.00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712,028,800.00</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642"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182"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74,500,100.81</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74,500,100.81</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46,010,428.76</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46,010,428.76</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1,358,868.21</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1,358,868.21</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207,516,674.80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207,521,352.12</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4,677.32</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944,612,685.27</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945,021,264.19</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408,578.92</w:t>
            </w:r>
          </w:p>
        </w:tc>
      </w:tr>
      <w:tr>
        <w:trPr>
          <w:trHeight w:val="714"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0"/>
              <w:ind w:left="102" w:right="111"/>
              <w:jc w:val="left"/>
              <w:rPr>
                <w:rFonts w:ascii="宋体" w:hAnsi="宋体" w:cs="宋体" w:eastAsia="宋体" w:hint="default"/>
                <w:sz w:val="18"/>
                <w:szCs w:val="18"/>
              </w:rPr>
            </w:pPr>
            <w:r>
              <w:rPr>
                <w:rFonts w:ascii="宋体" w:hAnsi="宋体" w:cs="宋体" w:eastAsia="宋体" w:hint="default"/>
                <w:sz w:val="18"/>
                <w:szCs w:val="18"/>
              </w:rPr>
              <w:t>归属于母公司所有者权益 合计</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1,894,006,700.33</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1,894,419,956.57</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413,256.24</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88,715,750.90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88,715,750.90</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1,982,722,451.23</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1,983,135,707.47</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413,256.24</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2,250,514,166.49</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2,250,927,422.73</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413,256.24</w:t>
            </w:r>
          </w:p>
        </w:tc>
      </w:tr>
    </w:tbl>
    <w:p>
      <w:pPr>
        <w:spacing w:after="0" w:line="240" w:lineRule="auto"/>
        <w:jc w:val="right"/>
        <w:rPr>
          <w:rFonts w:ascii="Times New Roman" w:hAnsi="Times New Roman" w:cs="Times New Roman" w:eastAsia="Times New Roman" w:hint="default"/>
          <w:sz w:val="18"/>
          <w:szCs w:val="18"/>
        </w:rPr>
        <w:sectPr>
          <w:pgSz w:w="11910" w:h="16840"/>
          <w:pgMar w:header="906" w:footer="1018" w:top="1100" w:bottom="1200" w:left="1020" w:right="0"/>
        </w:sectPr>
      </w:pPr>
    </w:p>
    <w:p>
      <w:pPr>
        <w:pStyle w:val="BodyText"/>
        <w:spacing w:line="360" w:lineRule="auto" w:before="50"/>
        <w:ind w:right="-20"/>
        <w:jc w:val="left"/>
      </w:pPr>
      <w:r>
        <w:rPr/>
        <w:t>调整情况说明 母公司资产负债表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21"/>
          <w:szCs w:val="21"/>
        </w:rPr>
      </w:pPr>
    </w:p>
    <w:p>
      <w:pPr>
        <w:pStyle w:val="BodyText"/>
        <w:spacing w:line="240" w:lineRule="auto"/>
        <w:ind w:right="0"/>
        <w:jc w:val="left"/>
      </w:pPr>
      <w:r>
        <w:rPr/>
        <w:t>单位：元</w:t>
      </w:r>
    </w:p>
    <w:p>
      <w:pPr>
        <w:spacing w:after="0" w:line="240" w:lineRule="auto"/>
        <w:jc w:val="left"/>
        <w:sectPr>
          <w:type w:val="continuous"/>
          <w:pgSz w:w="11910" w:h="16840"/>
          <w:pgMar w:top="1100" w:bottom="1200" w:left="1020" w:right="0"/>
          <w:cols w:num="2" w:equalWidth="0">
            <w:col w:w="1554" w:space="7364"/>
            <w:col w:w="1972"/>
          </w:cols>
        </w:sectPr>
      </w:pP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206"/>
        <w:gridCol w:w="2453"/>
        <w:gridCol w:w="2454"/>
        <w:gridCol w:w="2454"/>
      </w:tblGrid>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4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7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7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调整数</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2453"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574,801,241.35</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574,801,241.35</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210,000,000.00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210,000,000.00</w:t>
            </w:r>
          </w:p>
        </w:tc>
      </w:tr>
      <w:tr>
        <w:trPr>
          <w:trHeight w:val="1026"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02" w:right="111" w:firstLine="360"/>
              <w:jc w:val="both"/>
              <w:rPr>
                <w:rFonts w:ascii="宋体" w:hAnsi="宋体" w:cs="宋体" w:eastAsia="宋体" w:hint="default"/>
                <w:sz w:val="18"/>
                <w:szCs w:val="18"/>
              </w:rPr>
            </w:pPr>
            <w:r>
              <w:rPr>
                <w:rFonts w:ascii="宋体" w:hAnsi="宋体" w:cs="宋体" w:eastAsia="宋体" w:hint="default"/>
                <w:sz w:val="18"/>
                <w:szCs w:val="18"/>
              </w:rPr>
              <w:t>以公允价值计量且其 变动计入当期损益的金融 资产</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51,820.94</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-51,820.94</w:t>
            </w:r>
            <w:r>
              <w:rPr>
                <w:rFonts w:ascii="Times New Roman"/>
                <w:sz w:val="18"/>
              </w:rPr>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87,815,430.22</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87,635,284.88</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-180,145.34</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应收款项融资</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51,820.94</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51,820.94</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109,472,836.86</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109,472,836.86</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7,135,589.14</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7,367,704.72</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232,115.58</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100" w:bottom="1200" w:left="1020" w:right="0"/>
        </w:sectPr>
      </w:pPr>
    </w:p>
    <w:p>
      <w:pPr>
        <w:spacing w:line="240" w:lineRule="auto" w:before="0"/>
        <w:rPr>
          <w:rFonts w:ascii="Times New Roman" w:hAnsi="Times New Roman" w:cs="Times New Roman" w:eastAsia="Times New Roman" w:hint="default"/>
          <w:sz w:val="29"/>
          <w:szCs w:val="29"/>
        </w:rPr>
      </w:pPr>
    </w:p>
    <w:tbl>
      <w:tblPr>
        <w:tblW w:w="0" w:type="auto"/>
        <w:jc w:val="left"/>
        <w:tblInd w:w="109" w:type="dxa"/>
        <w:tblLayout w:type="fixed"/>
        <w:tblCellMar>
          <w:top w:w="0" w:type="dxa"/>
          <w:left w:w="0" w:type="dxa"/>
          <w:bottom w:w="0" w:type="dxa"/>
          <w:right w:w="0" w:type="dxa"/>
        </w:tblCellMar>
        <w:tblLook w:val="01E0"/>
      </w:tblPr>
      <w:tblGrid>
        <w:gridCol w:w="2206"/>
        <w:gridCol w:w="2453"/>
        <w:gridCol w:w="2454"/>
        <w:gridCol w:w="2454"/>
      </w:tblGrid>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642" w:right="0"/>
              <w:jc w:val="left"/>
              <w:rPr>
                <w:rFonts w:ascii="宋体" w:hAnsi="宋体" w:cs="宋体" w:eastAsia="宋体" w:hint="default"/>
                <w:sz w:val="18"/>
                <w:szCs w:val="18"/>
              </w:rPr>
            </w:pPr>
            <w:r>
              <w:rPr>
                <w:rFonts w:ascii="宋体" w:hAnsi="宋体" w:cs="宋体" w:eastAsia="宋体" w:hint="default"/>
                <w:sz w:val="18"/>
                <w:szCs w:val="18"/>
              </w:rPr>
              <w:t>其中：应收利息</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182"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194,776,965.12</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194,776,965.12</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合同资产</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持有待售资产</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0"/>
              <w:ind w:left="102" w:right="111" w:firstLine="360"/>
              <w:jc w:val="left"/>
              <w:rPr>
                <w:rFonts w:ascii="宋体" w:hAnsi="宋体" w:cs="宋体" w:eastAsia="宋体" w:hint="default"/>
                <w:sz w:val="18"/>
                <w:szCs w:val="18"/>
              </w:rPr>
            </w:pPr>
            <w:r>
              <w:rPr>
                <w:rFonts w:ascii="宋体" w:hAnsi="宋体" w:cs="宋体" w:eastAsia="宋体" w:hint="default"/>
                <w:sz w:val="18"/>
                <w:szCs w:val="18"/>
              </w:rPr>
              <w:t>一年内到期的非流动 资产</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210,025,626.10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25,626.10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-210,000,000.00</w:t>
            </w:r>
            <w:r>
              <w:rPr>
                <w:rFonts w:ascii="Times New Roman"/>
                <w:sz w:val="18"/>
              </w:rPr>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1,184,079,509.73</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1,184,131,479.97</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51,970.24</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2453"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债权投资</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21,000,000.00</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-21,000,000.00</w:t>
            </w:r>
            <w:r>
              <w:rPr>
                <w:rFonts w:ascii="Times New Roman"/>
                <w:sz w:val="18"/>
              </w:rPr>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其他债权投资</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701,011,619.54</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701,011,619.54</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其他权益工具投资</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21,000,000.00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21,000,000.00</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其他非流动金融资产</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192,055,721.77</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192,055,721.77</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使用权资产</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42,203,356.84</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42,203,356.84</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1,685,897.33</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1,685,897.33</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3,414,604.82</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3,409,407.80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-5,197.02</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961,371,200.30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961,366,003.28</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-5,197.02</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2,145,450,710.03</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2,145,497,483.25</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46,773.22</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2453"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1"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6" w:footer="1018" w:top="1100" w:bottom="1200" w:left="1020" w:right="0"/>
        </w:sectPr>
      </w:pPr>
    </w:p>
    <w:p>
      <w:pPr>
        <w:spacing w:line="240" w:lineRule="auto" w:before="0"/>
        <w:rPr>
          <w:rFonts w:ascii="Times New Roman" w:hAnsi="Times New Roman" w:cs="Times New Roman" w:eastAsia="Times New Roman" w:hint="default"/>
          <w:sz w:val="29"/>
          <w:szCs w:val="29"/>
        </w:rPr>
      </w:pPr>
    </w:p>
    <w:tbl>
      <w:tblPr>
        <w:tblW w:w="0" w:type="auto"/>
        <w:jc w:val="left"/>
        <w:tblInd w:w="109" w:type="dxa"/>
        <w:tblLayout w:type="fixed"/>
        <w:tblCellMar>
          <w:top w:w="0" w:type="dxa"/>
          <w:left w:w="0" w:type="dxa"/>
          <w:bottom w:w="0" w:type="dxa"/>
          <w:right w:w="0" w:type="dxa"/>
        </w:tblCellMar>
        <w:tblLook w:val="01E0"/>
      </w:tblPr>
      <w:tblGrid>
        <w:gridCol w:w="2206"/>
        <w:gridCol w:w="2453"/>
        <w:gridCol w:w="2454"/>
        <w:gridCol w:w="2454"/>
      </w:tblGrid>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02" w:right="111" w:firstLine="360"/>
              <w:jc w:val="both"/>
              <w:rPr>
                <w:rFonts w:ascii="宋体" w:hAnsi="宋体" w:cs="宋体" w:eastAsia="宋体" w:hint="default"/>
                <w:sz w:val="18"/>
                <w:szCs w:val="18"/>
              </w:rPr>
            </w:pPr>
            <w:r>
              <w:rPr>
                <w:rFonts w:ascii="宋体" w:hAnsi="宋体" w:cs="宋体" w:eastAsia="宋体" w:hint="default"/>
                <w:sz w:val="18"/>
                <w:szCs w:val="18"/>
              </w:rPr>
              <w:t>以公允价值计量且其 变动计入当期损益的金融 负债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177,878,965.16</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177,878,965.16</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12,256,927.13</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12,256,927.13</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合同负债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44,197.74</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44,197.74</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3,148,096.08</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3,148,096.08</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16,061,408.36</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16,061,408.36</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291"/>
              <w:jc w:val="right"/>
              <w:rPr>
                <w:rFonts w:ascii="宋体" w:hAnsi="宋体" w:cs="宋体" w:eastAsia="宋体" w:hint="default"/>
                <w:sz w:val="18"/>
                <w:szCs w:val="18"/>
              </w:rPr>
            </w:pPr>
            <w:r>
              <w:rPr>
                <w:rFonts w:ascii="宋体" w:hAnsi="宋体" w:cs="宋体" w:eastAsia="宋体" w:hint="default"/>
                <w:sz w:val="18"/>
                <w:szCs w:val="18"/>
              </w:rPr>
              <w:t>其中：应付利息</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291"/>
              <w:jc w:val="right"/>
              <w:rPr>
                <w:rFonts w:ascii="宋体" w:hAnsi="宋体" w:cs="宋体" w:eastAsia="宋体" w:hint="default"/>
                <w:sz w:val="18"/>
                <w:szCs w:val="18"/>
              </w:rPr>
            </w:pPr>
            <w:r>
              <w:rPr>
                <w:rFonts w:ascii="宋体" w:hAnsi="宋体" w:cs="宋体" w:eastAsia="宋体" w:hint="default"/>
                <w:sz w:val="18"/>
                <w:szCs w:val="18"/>
              </w:rPr>
              <w:t>应付股利</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持有待售负债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02" w:right="111" w:firstLine="360"/>
              <w:jc w:val="left"/>
              <w:rPr>
                <w:rFonts w:ascii="宋体" w:hAnsi="宋体" w:cs="宋体" w:eastAsia="宋体" w:hint="default"/>
                <w:sz w:val="18"/>
                <w:szCs w:val="18"/>
              </w:rPr>
            </w:pPr>
            <w:r>
              <w:rPr>
                <w:rFonts w:ascii="宋体" w:hAnsi="宋体" w:cs="宋体" w:eastAsia="宋体" w:hint="default"/>
                <w:sz w:val="18"/>
                <w:szCs w:val="18"/>
              </w:rPr>
              <w:t>一年内到期的非流动 负债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209,389,594.47</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209,389,594.47</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2453"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642"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182"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租赁负债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291"/>
              <w:jc w:val="righ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1,600,000.00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1,600,000.00</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2,050,975.30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2,050,975.30</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3,650,975.30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3,650,975.30</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213,040,569.77</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213,040,569.77</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2453"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1"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712,028,800.00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712,028,800.00</w:t>
            </w:r>
          </w:p>
        </w:tc>
        <w:tc>
          <w:tcPr>
            <w:tcW w:w="245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6" w:footer="1018" w:top="1100" w:bottom="1200" w:left="1020" w:right="0"/>
        </w:sectPr>
      </w:pPr>
    </w:p>
    <w:p>
      <w:pPr>
        <w:spacing w:line="240" w:lineRule="auto" w:before="0"/>
        <w:rPr>
          <w:rFonts w:ascii="Times New Roman" w:hAnsi="Times New Roman" w:cs="Times New Roman" w:eastAsia="Times New Roman" w:hint="default"/>
          <w:sz w:val="29"/>
          <w:szCs w:val="29"/>
        </w:rPr>
      </w:pPr>
    </w:p>
    <w:tbl>
      <w:tblPr>
        <w:tblW w:w="0" w:type="auto"/>
        <w:jc w:val="left"/>
        <w:tblInd w:w="109" w:type="dxa"/>
        <w:tblLayout w:type="fixed"/>
        <w:tblCellMar>
          <w:top w:w="0" w:type="dxa"/>
          <w:left w:w="0" w:type="dxa"/>
          <w:bottom w:w="0" w:type="dxa"/>
          <w:right w:w="0" w:type="dxa"/>
        </w:tblCellMar>
        <w:tblLook w:val="01E0"/>
      </w:tblPr>
      <w:tblGrid>
        <w:gridCol w:w="2206"/>
        <w:gridCol w:w="2453"/>
        <w:gridCol w:w="2454"/>
        <w:gridCol w:w="2454"/>
      </w:tblGrid>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642"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182"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89,303,021.56</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89,303,021.56</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46,010,428.76</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46,010,428.76</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207,516,674.80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207,521,352.12</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4,677.32</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969,572,072.66</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969,614,168.56</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42,095.90</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1,932,410,140.26</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1,932,456,913.48</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46,773.22</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2,145,450,710.03</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2,145,497,483.25</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46,773.22</w:t>
            </w:r>
          </w:p>
        </w:tc>
      </w:tr>
    </w:tbl>
    <w:p>
      <w:pPr>
        <w:pStyle w:val="BodyText"/>
        <w:spacing w:line="240" w:lineRule="auto" w:before="50"/>
        <w:ind w:right="0"/>
        <w:jc w:val="left"/>
      </w:pPr>
      <w:r>
        <w:rPr/>
        <w:t>调整情况说明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t>（</w:t>
      </w:r>
      <w:r>
        <w:rPr>
          <w:rFonts w:ascii="Times New Roman" w:hAnsi="Times New Roman" w:cs="Times New Roman" w:eastAsia="Times New Roman" w:hint="default"/>
        </w:rPr>
        <w:t>4</w:t>
      </w:r>
      <w:r>
        <w:rPr/>
        <w:t>）</w:t>
      </w:r>
      <w:r>
        <w:rPr>
          <w:rFonts w:ascii="Times New Roman" w:hAnsi="Times New Roman" w:cs="Times New Roman" w:eastAsia="Times New Roman" w:hint="default"/>
        </w:rPr>
        <w:t>2019</w:t>
      </w:r>
      <w:r>
        <w:rPr>
          <w:rFonts w:ascii="Times New Roman" w:hAnsi="Times New Roman" w:cs="Times New Roman" w:eastAsia="Times New Roman" w:hint="default"/>
          <w:spacing w:val="-6"/>
        </w:rPr>
        <w:t> </w:t>
      </w:r>
      <w:r>
        <w:rPr/>
        <w:t>年起执行新金融工具准则或新租赁准则追溯调整前期比较数据说明</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 适用 □ 不适用</w:t>
      </w:r>
    </w:p>
    <w:p>
      <w:pPr>
        <w:pStyle w:val="BodyText"/>
        <w:spacing w:line="319" w:lineRule="auto" w:before="116"/>
        <w:ind w:right="1032"/>
        <w:jc w:val="left"/>
      </w:pPr>
      <w:r>
        <w:rPr>
          <w:spacing w:val="-2"/>
        </w:rPr>
        <w:t>根据新金融工具准则的相关规定，公司对于首次执行该准则的累积影响数调整</w:t>
      </w:r>
      <w:r>
        <w:rPr>
          <w:rFonts w:ascii="Times New Roman" w:hAnsi="Times New Roman" w:cs="Times New Roman" w:eastAsia="Times New Roman" w:hint="default"/>
          <w:spacing w:val="-2"/>
        </w:rPr>
        <w:t>2019</w:t>
      </w:r>
      <w:r>
        <w:rPr>
          <w:spacing w:val="-2"/>
        </w:rPr>
        <w:t>年年初留存收益以及财务报表其他相关项</w:t>
      </w:r>
      <w:r>
        <w:rPr>
          <w:spacing w:val="-60"/>
        </w:rPr>
        <w:t> </w:t>
      </w:r>
      <w:r>
        <w:rPr/>
        <w:t>目金额，</w:t>
      </w:r>
      <w:r>
        <w:rPr>
          <w:rFonts w:ascii="Times New Roman" w:hAnsi="Times New Roman" w:cs="Times New Roman" w:eastAsia="Times New Roman" w:hint="default"/>
        </w:rPr>
        <w:t>2018</w:t>
      </w:r>
      <w:r>
        <w:rPr/>
        <w:t>年度的比较财务报表未重列。 </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w:t>
      </w:r>
      <w:r>
        <w:rPr/>
        <w:t>日，公司合并财务报表中金融资产按照原金融工具准则和新金融工具准则的规定进行分类和计量的结果对比表：</w:t>
      </w:r>
    </w:p>
    <w:p>
      <w:pPr>
        <w:spacing w:line="240" w:lineRule="auto" w:before="1"/>
        <w:rPr>
          <w:rFonts w:ascii="宋体" w:hAnsi="宋体" w:cs="宋体" w:eastAsia="宋体" w:hint="default"/>
          <w:sz w:val="2"/>
          <w:szCs w:val="2"/>
        </w:rPr>
      </w:pPr>
    </w:p>
    <w:tbl>
      <w:tblPr>
        <w:tblW w:w="0" w:type="auto"/>
        <w:jc w:val="left"/>
        <w:tblInd w:w="106" w:type="dxa"/>
        <w:tblLayout w:type="fixed"/>
        <w:tblCellMar>
          <w:top w:w="0" w:type="dxa"/>
          <w:left w:w="0" w:type="dxa"/>
          <w:bottom w:w="0" w:type="dxa"/>
          <w:right w:w="0" w:type="dxa"/>
        </w:tblCellMar>
        <w:tblLook w:val="01E0"/>
      </w:tblPr>
      <w:tblGrid>
        <w:gridCol w:w="1605"/>
        <w:gridCol w:w="1606"/>
        <w:gridCol w:w="1607"/>
        <w:gridCol w:w="1606"/>
        <w:gridCol w:w="1606"/>
        <w:gridCol w:w="1607"/>
      </w:tblGrid>
      <w:tr>
        <w:trPr>
          <w:trHeight w:val="427" w:hRule="exact"/>
        </w:trPr>
        <w:tc>
          <w:tcPr>
            <w:tcW w:w="4818"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center"/>
              <w:rPr>
                <w:rFonts w:ascii="宋体" w:hAnsi="宋体" w:cs="宋体" w:eastAsia="宋体" w:hint="default"/>
                <w:sz w:val="18"/>
                <w:szCs w:val="18"/>
              </w:rPr>
            </w:pPr>
            <w:r>
              <w:rPr>
                <w:rFonts w:ascii="宋体" w:hAnsi="宋体" w:cs="宋体" w:eastAsia="宋体" w:hint="default"/>
                <w:sz w:val="18"/>
                <w:szCs w:val="18"/>
              </w:rPr>
              <w:t>原金融工具准则</w:t>
            </w:r>
          </w:p>
        </w:tc>
        <w:tc>
          <w:tcPr>
            <w:tcW w:w="4819"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center"/>
              <w:rPr>
                <w:rFonts w:ascii="宋体" w:hAnsi="宋体" w:cs="宋体" w:eastAsia="宋体" w:hint="default"/>
                <w:sz w:val="18"/>
                <w:szCs w:val="18"/>
              </w:rPr>
            </w:pPr>
            <w:r>
              <w:rPr>
                <w:rFonts w:ascii="宋体" w:hAnsi="宋体" w:cs="宋体" w:eastAsia="宋体" w:hint="default"/>
                <w:sz w:val="18"/>
                <w:szCs w:val="18"/>
              </w:rPr>
              <w:t>新金融工具准则</w:t>
            </w:r>
          </w:p>
        </w:tc>
      </w:tr>
      <w:tr>
        <w:trPr>
          <w:trHeight w:val="427" w:hRule="exact"/>
        </w:trPr>
        <w:tc>
          <w:tcPr>
            <w:tcW w:w="16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center"/>
              <w:rPr>
                <w:rFonts w:ascii="宋体" w:hAnsi="宋体" w:cs="宋体" w:eastAsia="宋体" w:hint="default"/>
                <w:sz w:val="18"/>
                <w:szCs w:val="18"/>
              </w:rPr>
            </w:pPr>
            <w:r>
              <w:rPr>
                <w:rFonts w:ascii="宋体" w:hAnsi="宋体" w:cs="宋体" w:eastAsia="宋体" w:hint="default"/>
                <w:sz w:val="18"/>
                <w:szCs w:val="18"/>
              </w:rPr>
              <w:t>科目</w:t>
            </w:r>
          </w:p>
        </w:tc>
        <w:tc>
          <w:tcPr>
            <w:tcW w:w="16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435" w:right="0"/>
              <w:jc w:val="left"/>
              <w:rPr>
                <w:rFonts w:ascii="宋体" w:hAnsi="宋体" w:cs="宋体" w:eastAsia="宋体" w:hint="default"/>
                <w:sz w:val="18"/>
                <w:szCs w:val="18"/>
              </w:rPr>
            </w:pPr>
            <w:r>
              <w:rPr>
                <w:rFonts w:ascii="宋体" w:hAnsi="宋体" w:cs="宋体" w:eastAsia="宋体" w:hint="default"/>
                <w:sz w:val="18"/>
                <w:szCs w:val="18"/>
              </w:rPr>
              <w:t>计量类别</w:t>
            </w:r>
          </w:p>
        </w:tc>
        <w:tc>
          <w:tcPr>
            <w:tcW w:w="16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435"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6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center"/>
              <w:rPr>
                <w:rFonts w:ascii="宋体" w:hAnsi="宋体" w:cs="宋体" w:eastAsia="宋体" w:hint="default"/>
                <w:sz w:val="18"/>
                <w:szCs w:val="18"/>
              </w:rPr>
            </w:pPr>
            <w:r>
              <w:rPr>
                <w:rFonts w:ascii="宋体" w:hAnsi="宋体" w:cs="宋体" w:eastAsia="宋体" w:hint="default"/>
                <w:sz w:val="18"/>
                <w:szCs w:val="18"/>
              </w:rPr>
              <w:t>科目</w:t>
            </w:r>
          </w:p>
        </w:tc>
        <w:tc>
          <w:tcPr>
            <w:tcW w:w="16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435" w:right="0"/>
              <w:jc w:val="left"/>
              <w:rPr>
                <w:rFonts w:ascii="宋体" w:hAnsi="宋体" w:cs="宋体" w:eastAsia="宋体" w:hint="default"/>
                <w:sz w:val="18"/>
                <w:szCs w:val="18"/>
              </w:rPr>
            </w:pPr>
            <w:r>
              <w:rPr>
                <w:rFonts w:ascii="宋体" w:hAnsi="宋体" w:cs="宋体" w:eastAsia="宋体" w:hint="default"/>
                <w:sz w:val="18"/>
                <w:szCs w:val="18"/>
              </w:rPr>
              <w:t>计量类别</w:t>
            </w:r>
          </w:p>
        </w:tc>
        <w:tc>
          <w:tcPr>
            <w:tcW w:w="16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435"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373" w:hRule="exact"/>
        </w:trPr>
        <w:tc>
          <w:tcPr>
            <w:tcW w:w="1605"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59"/>
              <w:ind w:left="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606"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59"/>
              <w:ind w:left="2" w:right="0"/>
              <w:jc w:val="left"/>
              <w:rPr>
                <w:rFonts w:ascii="宋体" w:hAnsi="宋体" w:cs="宋体" w:eastAsia="宋体" w:hint="default"/>
                <w:sz w:val="18"/>
                <w:szCs w:val="18"/>
              </w:rPr>
            </w:pPr>
            <w:r>
              <w:rPr>
                <w:rFonts w:ascii="宋体" w:hAnsi="宋体" w:cs="宋体" w:eastAsia="宋体" w:hint="default"/>
                <w:sz w:val="18"/>
                <w:szCs w:val="18"/>
              </w:rPr>
              <w:t>摊余成本</w:t>
            </w:r>
          </w:p>
        </w:tc>
        <w:tc>
          <w:tcPr>
            <w:tcW w:w="1607"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51,820.94</w:t>
            </w:r>
          </w:p>
        </w:tc>
        <w:tc>
          <w:tcPr>
            <w:tcW w:w="1606"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59"/>
              <w:ind w:left="2" w:right="0"/>
              <w:jc w:val="left"/>
              <w:rPr>
                <w:rFonts w:ascii="宋体" w:hAnsi="宋体" w:cs="宋体" w:eastAsia="宋体" w:hint="default"/>
                <w:sz w:val="18"/>
                <w:szCs w:val="18"/>
              </w:rPr>
            </w:pPr>
            <w:r>
              <w:rPr>
                <w:rFonts w:ascii="宋体" w:hAnsi="宋体" w:cs="宋体" w:eastAsia="宋体" w:hint="default"/>
                <w:sz w:val="18"/>
                <w:szCs w:val="18"/>
              </w:rPr>
              <w:t>应收款项融资</w:t>
            </w:r>
          </w:p>
        </w:tc>
        <w:tc>
          <w:tcPr>
            <w:tcW w:w="1606"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59"/>
              <w:ind w:left="2" w:right="0"/>
              <w:jc w:val="left"/>
              <w:rPr>
                <w:rFonts w:ascii="宋体" w:hAnsi="宋体" w:cs="宋体" w:eastAsia="宋体" w:hint="default"/>
                <w:sz w:val="18"/>
                <w:szCs w:val="18"/>
              </w:rPr>
            </w:pPr>
            <w:r>
              <w:rPr>
                <w:rFonts w:ascii="宋体" w:hAnsi="宋体" w:cs="宋体" w:eastAsia="宋体" w:hint="default"/>
                <w:sz w:val="18"/>
                <w:szCs w:val="18"/>
              </w:rPr>
              <w:t>以公允价值计量且</w:t>
            </w:r>
          </w:p>
        </w:tc>
        <w:tc>
          <w:tcPr>
            <w:tcW w:w="1607"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51,820.94</w:t>
            </w:r>
          </w:p>
        </w:tc>
      </w:tr>
      <w:tr>
        <w:trPr>
          <w:trHeight w:val="307" w:hRule="exact"/>
        </w:trPr>
        <w:tc>
          <w:tcPr>
            <w:tcW w:w="1605" w:type="dxa"/>
            <w:tcBorders>
              <w:top w:val="nil" w:sz="6" w:space="0" w:color="auto"/>
              <w:left w:val="single" w:sz="6" w:space="0" w:color="000000"/>
              <w:bottom w:val="nil" w:sz="6" w:space="0" w:color="auto"/>
              <w:right w:val="single" w:sz="6" w:space="0" w:color="000000"/>
            </w:tcBorders>
          </w:tcPr>
          <w:p>
            <w:pPr/>
          </w:p>
        </w:tc>
        <w:tc>
          <w:tcPr>
            <w:tcW w:w="1606" w:type="dxa"/>
            <w:tcBorders>
              <w:top w:val="nil" w:sz="6" w:space="0" w:color="auto"/>
              <w:left w:val="single" w:sz="6" w:space="0" w:color="000000"/>
              <w:bottom w:val="nil" w:sz="6" w:space="0" w:color="auto"/>
              <w:right w:val="single" w:sz="6" w:space="0" w:color="000000"/>
            </w:tcBorders>
          </w:tcPr>
          <w:p>
            <w:pPr/>
          </w:p>
        </w:tc>
        <w:tc>
          <w:tcPr>
            <w:tcW w:w="1607" w:type="dxa"/>
            <w:tcBorders>
              <w:top w:val="nil" w:sz="6" w:space="0" w:color="auto"/>
              <w:left w:val="single" w:sz="6" w:space="0" w:color="000000"/>
              <w:bottom w:val="nil" w:sz="6" w:space="0" w:color="auto"/>
              <w:right w:val="single" w:sz="6" w:space="0" w:color="000000"/>
            </w:tcBorders>
          </w:tcPr>
          <w:p>
            <w:pPr/>
          </w:p>
        </w:tc>
        <w:tc>
          <w:tcPr>
            <w:tcW w:w="1606" w:type="dxa"/>
            <w:tcBorders>
              <w:top w:val="nil" w:sz="6" w:space="0" w:color="auto"/>
              <w:left w:val="single" w:sz="6" w:space="0" w:color="000000"/>
              <w:bottom w:val="nil" w:sz="6" w:space="0" w:color="auto"/>
              <w:right w:val="single" w:sz="6" w:space="0" w:color="000000"/>
            </w:tcBorders>
          </w:tcPr>
          <w:p>
            <w:pPr/>
          </w:p>
        </w:tc>
        <w:tc>
          <w:tcPr>
            <w:tcW w:w="1606" w:type="dxa"/>
            <w:tcBorders>
              <w:top w:val="nil" w:sz="6" w:space="0" w:color="auto"/>
              <w:left w:val="single" w:sz="6" w:space="0" w:color="000000"/>
              <w:bottom w:val="nil" w:sz="6" w:space="0" w:color="auto"/>
              <w:right w:val="single" w:sz="6" w:space="0" w:color="000000"/>
            </w:tcBorders>
          </w:tcPr>
          <w:p>
            <w:pPr>
              <w:pStyle w:val="TableParagraph"/>
              <w:spacing w:line="240" w:lineRule="auto" w:before="6"/>
              <w:ind w:left="2" w:right="0"/>
              <w:jc w:val="left"/>
              <w:rPr>
                <w:rFonts w:ascii="宋体" w:hAnsi="宋体" w:cs="宋体" w:eastAsia="宋体" w:hint="default"/>
                <w:sz w:val="18"/>
                <w:szCs w:val="18"/>
              </w:rPr>
            </w:pPr>
            <w:r>
              <w:rPr>
                <w:rFonts w:ascii="宋体" w:hAnsi="宋体" w:cs="宋体" w:eastAsia="宋体" w:hint="default"/>
                <w:sz w:val="18"/>
                <w:szCs w:val="18"/>
              </w:rPr>
              <w:t>其变动计入其他综</w:t>
            </w:r>
          </w:p>
        </w:tc>
        <w:tc>
          <w:tcPr>
            <w:tcW w:w="1607" w:type="dxa"/>
            <w:tcBorders>
              <w:top w:val="nil" w:sz="6" w:space="0" w:color="auto"/>
              <w:left w:val="single" w:sz="6" w:space="0" w:color="000000"/>
              <w:bottom w:val="nil" w:sz="6" w:space="0" w:color="auto"/>
              <w:right w:val="single" w:sz="6" w:space="0" w:color="000000"/>
            </w:tcBorders>
          </w:tcPr>
          <w:p>
            <w:pPr/>
          </w:p>
        </w:tc>
      </w:tr>
      <w:tr>
        <w:trPr>
          <w:trHeight w:val="370" w:hRule="exact"/>
        </w:trPr>
        <w:tc>
          <w:tcPr>
            <w:tcW w:w="1605" w:type="dxa"/>
            <w:tcBorders>
              <w:top w:val="nil" w:sz="6" w:space="0" w:color="auto"/>
              <w:left w:val="single" w:sz="6" w:space="0" w:color="000000"/>
              <w:bottom w:val="single" w:sz="6" w:space="0" w:color="000000"/>
              <w:right w:val="single" w:sz="6" w:space="0" w:color="000000"/>
            </w:tcBorders>
          </w:tcPr>
          <w:p>
            <w:pPr/>
          </w:p>
        </w:tc>
        <w:tc>
          <w:tcPr>
            <w:tcW w:w="1606" w:type="dxa"/>
            <w:tcBorders>
              <w:top w:val="nil" w:sz="6" w:space="0" w:color="auto"/>
              <w:left w:val="single" w:sz="6" w:space="0" w:color="000000"/>
              <w:bottom w:val="single" w:sz="6" w:space="0" w:color="000000"/>
              <w:right w:val="single" w:sz="6" w:space="0" w:color="000000"/>
            </w:tcBorders>
          </w:tcPr>
          <w:p>
            <w:pPr/>
          </w:p>
        </w:tc>
        <w:tc>
          <w:tcPr>
            <w:tcW w:w="1607" w:type="dxa"/>
            <w:tcBorders>
              <w:top w:val="nil" w:sz="6" w:space="0" w:color="auto"/>
              <w:left w:val="single" w:sz="6" w:space="0" w:color="000000"/>
              <w:bottom w:val="single" w:sz="6" w:space="0" w:color="000000"/>
              <w:right w:val="single" w:sz="6" w:space="0" w:color="000000"/>
            </w:tcBorders>
          </w:tcPr>
          <w:p>
            <w:pPr/>
          </w:p>
        </w:tc>
        <w:tc>
          <w:tcPr>
            <w:tcW w:w="1606" w:type="dxa"/>
            <w:tcBorders>
              <w:top w:val="nil" w:sz="6" w:space="0" w:color="auto"/>
              <w:left w:val="single" w:sz="6" w:space="0" w:color="000000"/>
              <w:bottom w:val="single" w:sz="6" w:space="0" w:color="000000"/>
              <w:right w:val="single" w:sz="6" w:space="0" w:color="000000"/>
            </w:tcBorders>
          </w:tcPr>
          <w:p>
            <w:pPr/>
          </w:p>
        </w:tc>
        <w:tc>
          <w:tcPr>
            <w:tcW w:w="1606"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合收益</w:t>
            </w:r>
          </w:p>
        </w:tc>
        <w:tc>
          <w:tcPr>
            <w:tcW w:w="1607" w:type="dxa"/>
            <w:tcBorders>
              <w:top w:val="nil" w:sz="6" w:space="0" w:color="auto"/>
              <w:left w:val="single" w:sz="6" w:space="0" w:color="000000"/>
              <w:bottom w:val="single" w:sz="6" w:space="0" w:color="000000"/>
              <w:right w:val="single" w:sz="6" w:space="0" w:color="000000"/>
            </w:tcBorders>
          </w:tcPr>
          <w:p>
            <w:pPr/>
          </w:p>
        </w:tc>
      </w:tr>
      <w:tr>
        <w:trPr>
          <w:trHeight w:val="427" w:hRule="exact"/>
        </w:trPr>
        <w:tc>
          <w:tcPr>
            <w:tcW w:w="16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6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摊余成本</w:t>
            </w:r>
          </w:p>
        </w:tc>
        <w:tc>
          <w:tcPr>
            <w:tcW w:w="16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90,851,198.76</w:t>
            </w:r>
          </w:p>
        </w:tc>
        <w:tc>
          <w:tcPr>
            <w:tcW w:w="16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6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摊余成本</w:t>
            </w:r>
          </w:p>
        </w:tc>
        <w:tc>
          <w:tcPr>
            <w:tcW w:w="16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91,070,505.47</w:t>
            </w:r>
          </w:p>
        </w:tc>
      </w:tr>
      <w:tr>
        <w:trPr>
          <w:trHeight w:val="427" w:hRule="exact"/>
        </w:trPr>
        <w:tc>
          <w:tcPr>
            <w:tcW w:w="16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6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摊余成本</w:t>
            </w:r>
          </w:p>
        </w:tc>
        <w:tc>
          <w:tcPr>
            <w:tcW w:w="16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8,364,104.07</w:t>
            </w:r>
          </w:p>
        </w:tc>
        <w:tc>
          <w:tcPr>
            <w:tcW w:w="16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6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摊余成本</w:t>
            </w:r>
          </w:p>
        </w:tc>
        <w:tc>
          <w:tcPr>
            <w:tcW w:w="16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8,563,250.62</w:t>
            </w:r>
          </w:p>
        </w:tc>
      </w:tr>
      <w:tr>
        <w:trPr>
          <w:trHeight w:val="373" w:hRule="exact"/>
        </w:trPr>
        <w:tc>
          <w:tcPr>
            <w:tcW w:w="1605"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606"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以公允价值计量且</w:t>
            </w:r>
          </w:p>
        </w:tc>
        <w:tc>
          <w:tcPr>
            <w:tcW w:w="1607"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238,350,000.00</w:t>
            </w:r>
          </w:p>
        </w:tc>
        <w:tc>
          <w:tcPr>
            <w:tcW w:w="1606"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1606"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以公允价值计量且</w:t>
            </w:r>
          </w:p>
        </w:tc>
        <w:tc>
          <w:tcPr>
            <w:tcW w:w="1607"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238,350,000.00</w:t>
            </w:r>
          </w:p>
        </w:tc>
      </w:tr>
      <w:tr>
        <w:trPr>
          <w:trHeight w:val="307" w:hRule="exact"/>
        </w:trPr>
        <w:tc>
          <w:tcPr>
            <w:tcW w:w="1605" w:type="dxa"/>
            <w:tcBorders>
              <w:top w:val="nil" w:sz="6" w:space="0" w:color="auto"/>
              <w:left w:val="single" w:sz="6" w:space="0" w:color="000000"/>
              <w:bottom w:val="nil" w:sz="6" w:space="0" w:color="auto"/>
              <w:right w:val="single" w:sz="6" w:space="0" w:color="000000"/>
            </w:tcBorders>
          </w:tcPr>
          <w:p>
            <w:pPr>
              <w:pStyle w:val="TableParagraph"/>
              <w:spacing w:line="240" w:lineRule="auto" w:before="6"/>
              <w:ind w:left="2" w:right="0"/>
              <w:jc w:val="left"/>
              <w:rPr>
                <w:rFonts w:ascii="宋体" w:hAnsi="宋体" w:cs="宋体" w:eastAsia="宋体" w:hint="default"/>
                <w:sz w:val="18"/>
                <w:szCs w:val="18"/>
              </w:rPr>
            </w:pPr>
            <w:r>
              <w:rPr>
                <w:rFonts w:ascii="宋体" w:hAnsi="宋体" w:cs="宋体" w:eastAsia="宋体" w:hint="default"/>
                <w:sz w:val="18"/>
                <w:szCs w:val="18"/>
              </w:rPr>
              <w:t>(含其他流动资产)</w:t>
            </w:r>
          </w:p>
        </w:tc>
        <w:tc>
          <w:tcPr>
            <w:tcW w:w="1606" w:type="dxa"/>
            <w:tcBorders>
              <w:top w:val="nil" w:sz="6" w:space="0" w:color="auto"/>
              <w:left w:val="single" w:sz="6" w:space="0" w:color="000000"/>
              <w:bottom w:val="nil" w:sz="6" w:space="0" w:color="auto"/>
              <w:right w:val="single" w:sz="6" w:space="0" w:color="000000"/>
            </w:tcBorders>
          </w:tcPr>
          <w:p>
            <w:pPr>
              <w:pStyle w:val="TableParagraph"/>
              <w:spacing w:line="240" w:lineRule="auto" w:before="6"/>
              <w:ind w:left="2" w:right="0"/>
              <w:jc w:val="left"/>
              <w:rPr>
                <w:rFonts w:ascii="宋体" w:hAnsi="宋体" w:cs="宋体" w:eastAsia="宋体" w:hint="default"/>
                <w:sz w:val="18"/>
                <w:szCs w:val="18"/>
              </w:rPr>
            </w:pPr>
            <w:r>
              <w:rPr>
                <w:rFonts w:ascii="宋体" w:hAnsi="宋体" w:cs="宋体" w:eastAsia="宋体" w:hint="default"/>
                <w:sz w:val="18"/>
                <w:szCs w:val="18"/>
              </w:rPr>
              <w:t>其变动计入其他综</w:t>
            </w:r>
          </w:p>
        </w:tc>
        <w:tc>
          <w:tcPr>
            <w:tcW w:w="1607" w:type="dxa"/>
            <w:tcBorders>
              <w:top w:val="nil" w:sz="6" w:space="0" w:color="auto"/>
              <w:left w:val="single" w:sz="6" w:space="0" w:color="000000"/>
              <w:bottom w:val="nil" w:sz="6" w:space="0" w:color="auto"/>
              <w:right w:val="single" w:sz="6" w:space="0" w:color="000000"/>
            </w:tcBorders>
          </w:tcPr>
          <w:p>
            <w:pPr/>
          </w:p>
        </w:tc>
        <w:tc>
          <w:tcPr>
            <w:tcW w:w="1606" w:type="dxa"/>
            <w:tcBorders>
              <w:top w:val="nil" w:sz="6" w:space="0" w:color="auto"/>
              <w:left w:val="single" w:sz="6" w:space="0" w:color="000000"/>
              <w:bottom w:val="nil" w:sz="6" w:space="0" w:color="auto"/>
              <w:right w:val="single" w:sz="6" w:space="0" w:color="000000"/>
            </w:tcBorders>
          </w:tcPr>
          <w:p>
            <w:pPr/>
          </w:p>
        </w:tc>
        <w:tc>
          <w:tcPr>
            <w:tcW w:w="1606" w:type="dxa"/>
            <w:tcBorders>
              <w:top w:val="nil" w:sz="6" w:space="0" w:color="auto"/>
              <w:left w:val="single" w:sz="6" w:space="0" w:color="000000"/>
              <w:bottom w:val="nil" w:sz="6" w:space="0" w:color="auto"/>
              <w:right w:val="single" w:sz="6" w:space="0" w:color="000000"/>
            </w:tcBorders>
          </w:tcPr>
          <w:p>
            <w:pPr>
              <w:pStyle w:val="TableParagraph"/>
              <w:spacing w:line="240" w:lineRule="auto" w:before="6"/>
              <w:ind w:left="2" w:right="0"/>
              <w:jc w:val="left"/>
              <w:rPr>
                <w:rFonts w:ascii="宋体" w:hAnsi="宋体" w:cs="宋体" w:eastAsia="宋体" w:hint="default"/>
                <w:sz w:val="18"/>
                <w:szCs w:val="18"/>
              </w:rPr>
            </w:pPr>
            <w:r>
              <w:rPr>
                <w:rFonts w:ascii="宋体" w:hAnsi="宋体" w:cs="宋体" w:eastAsia="宋体" w:hint="default"/>
                <w:sz w:val="18"/>
                <w:szCs w:val="18"/>
              </w:rPr>
              <w:t>其变动计入当期损</w:t>
            </w:r>
          </w:p>
        </w:tc>
        <w:tc>
          <w:tcPr>
            <w:tcW w:w="1607" w:type="dxa"/>
            <w:tcBorders>
              <w:top w:val="nil" w:sz="6" w:space="0" w:color="auto"/>
              <w:left w:val="single" w:sz="6" w:space="0" w:color="000000"/>
              <w:bottom w:val="nil" w:sz="6" w:space="0" w:color="auto"/>
              <w:right w:val="single" w:sz="6" w:space="0" w:color="000000"/>
            </w:tcBorders>
          </w:tcPr>
          <w:p>
            <w:pPr/>
          </w:p>
        </w:tc>
      </w:tr>
      <w:tr>
        <w:trPr>
          <w:trHeight w:val="370" w:hRule="exact"/>
        </w:trPr>
        <w:tc>
          <w:tcPr>
            <w:tcW w:w="1605" w:type="dxa"/>
            <w:tcBorders>
              <w:top w:val="nil" w:sz="6" w:space="0" w:color="auto"/>
              <w:left w:val="single" w:sz="6" w:space="0" w:color="000000"/>
              <w:bottom w:val="nil" w:sz="6" w:space="0" w:color="auto"/>
              <w:right w:val="single" w:sz="6" w:space="0" w:color="000000"/>
            </w:tcBorders>
          </w:tcPr>
          <w:p>
            <w:pPr/>
          </w:p>
        </w:tc>
        <w:tc>
          <w:tcPr>
            <w:tcW w:w="1606"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合收益(银行理财)</w:t>
            </w:r>
          </w:p>
        </w:tc>
        <w:tc>
          <w:tcPr>
            <w:tcW w:w="1607" w:type="dxa"/>
            <w:tcBorders>
              <w:top w:val="nil" w:sz="6" w:space="0" w:color="auto"/>
              <w:left w:val="single" w:sz="6" w:space="0" w:color="000000"/>
              <w:bottom w:val="single" w:sz="6" w:space="0" w:color="000000"/>
              <w:right w:val="single" w:sz="6" w:space="0" w:color="000000"/>
            </w:tcBorders>
          </w:tcPr>
          <w:p>
            <w:pPr/>
          </w:p>
        </w:tc>
        <w:tc>
          <w:tcPr>
            <w:tcW w:w="1606" w:type="dxa"/>
            <w:tcBorders>
              <w:top w:val="nil" w:sz="6" w:space="0" w:color="auto"/>
              <w:left w:val="single" w:sz="6" w:space="0" w:color="000000"/>
              <w:bottom w:val="single" w:sz="6" w:space="0" w:color="000000"/>
              <w:right w:val="single" w:sz="6" w:space="0" w:color="000000"/>
            </w:tcBorders>
          </w:tcPr>
          <w:p>
            <w:pPr/>
          </w:p>
        </w:tc>
        <w:tc>
          <w:tcPr>
            <w:tcW w:w="1606"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益</w:t>
            </w:r>
          </w:p>
        </w:tc>
        <w:tc>
          <w:tcPr>
            <w:tcW w:w="1607" w:type="dxa"/>
            <w:tcBorders>
              <w:top w:val="nil" w:sz="6" w:space="0" w:color="auto"/>
              <w:left w:val="single" w:sz="6" w:space="0" w:color="000000"/>
              <w:bottom w:val="single" w:sz="6" w:space="0" w:color="000000"/>
              <w:right w:val="single" w:sz="6" w:space="0" w:color="000000"/>
            </w:tcBorders>
          </w:tcPr>
          <w:p>
            <w:pPr/>
          </w:p>
        </w:tc>
      </w:tr>
      <w:tr>
        <w:trPr>
          <w:trHeight w:val="373" w:hRule="exact"/>
        </w:trPr>
        <w:tc>
          <w:tcPr>
            <w:tcW w:w="1605" w:type="dxa"/>
            <w:tcBorders>
              <w:top w:val="nil" w:sz="6" w:space="0" w:color="auto"/>
              <w:left w:val="single" w:sz="6" w:space="0" w:color="000000"/>
              <w:bottom w:val="nil" w:sz="6" w:space="0" w:color="auto"/>
              <w:right w:val="single" w:sz="6" w:space="0" w:color="000000"/>
            </w:tcBorders>
          </w:tcPr>
          <w:p>
            <w:pPr/>
          </w:p>
        </w:tc>
        <w:tc>
          <w:tcPr>
            <w:tcW w:w="1606"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以公允价值计量且</w:t>
            </w:r>
          </w:p>
        </w:tc>
        <w:tc>
          <w:tcPr>
            <w:tcW w:w="1607"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21,030,000.00</w:t>
            </w:r>
          </w:p>
        </w:tc>
        <w:tc>
          <w:tcPr>
            <w:tcW w:w="1606"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其他权益工具投资</w:t>
            </w:r>
          </w:p>
        </w:tc>
        <w:tc>
          <w:tcPr>
            <w:tcW w:w="1606"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以公允价值计量且</w:t>
            </w:r>
          </w:p>
        </w:tc>
        <w:tc>
          <w:tcPr>
            <w:tcW w:w="1607"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21,030,000.00</w:t>
            </w:r>
          </w:p>
        </w:tc>
      </w:tr>
      <w:tr>
        <w:trPr>
          <w:trHeight w:val="308" w:hRule="exact"/>
        </w:trPr>
        <w:tc>
          <w:tcPr>
            <w:tcW w:w="1605" w:type="dxa"/>
            <w:tcBorders>
              <w:top w:val="nil" w:sz="6" w:space="0" w:color="auto"/>
              <w:left w:val="single" w:sz="6" w:space="0" w:color="000000"/>
              <w:bottom w:val="nil" w:sz="6" w:space="0" w:color="auto"/>
              <w:right w:val="single" w:sz="6" w:space="0" w:color="000000"/>
            </w:tcBorders>
          </w:tcPr>
          <w:p>
            <w:pPr/>
          </w:p>
        </w:tc>
        <w:tc>
          <w:tcPr>
            <w:tcW w:w="1606" w:type="dxa"/>
            <w:tcBorders>
              <w:top w:val="nil" w:sz="6" w:space="0" w:color="auto"/>
              <w:left w:val="single" w:sz="6" w:space="0" w:color="000000"/>
              <w:bottom w:val="nil" w:sz="6" w:space="0" w:color="auto"/>
              <w:right w:val="single" w:sz="6" w:space="0" w:color="000000"/>
            </w:tcBorders>
          </w:tcPr>
          <w:p>
            <w:pPr>
              <w:pStyle w:val="TableParagraph"/>
              <w:spacing w:line="240" w:lineRule="auto" w:before="6"/>
              <w:ind w:left="2" w:right="0"/>
              <w:jc w:val="left"/>
              <w:rPr>
                <w:rFonts w:ascii="宋体" w:hAnsi="宋体" w:cs="宋体" w:eastAsia="宋体" w:hint="default"/>
                <w:sz w:val="18"/>
                <w:szCs w:val="18"/>
              </w:rPr>
            </w:pPr>
            <w:r>
              <w:rPr>
                <w:rFonts w:ascii="宋体" w:hAnsi="宋体" w:cs="宋体" w:eastAsia="宋体" w:hint="default"/>
                <w:sz w:val="18"/>
                <w:szCs w:val="18"/>
              </w:rPr>
              <w:t>其变动计入其他综</w:t>
            </w:r>
          </w:p>
        </w:tc>
        <w:tc>
          <w:tcPr>
            <w:tcW w:w="1607" w:type="dxa"/>
            <w:tcBorders>
              <w:top w:val="nil" w:sz="6" w:space="0" w:color="auto"/>
              <w:left w:val="single" w:sz="6" w:space="0" w:color="000000"/>
              <w:bottom w:val="nil" w:sz="6" w:space="0" w:color="auto"/>
              <w:right w:val="single" w:sz="6" w:space="0" w:color="000000"/>
            </w:tcBorders>
          </w:tcPr>
          <w:p>
            <w:pPr/>
          </w:p>
        </w:tc>
        <w:tc>
          <w:tcPr>
            <w:tcW w:w="1606" w:type="dxa"/>
            <w:tcBorders>
              <w:top w:val="nil" w:sz="6" w:space="0" w:color="auto"/>
              <w:left w:val="single" w:sz="6" w:space="0" w:color="000000"/>
              <w:bottom w:val="nil" w:sz="6" w:space="0" w:color="auto"/>
              <w:right w:val="single" w:sz="6" w:space="0" w:color="000000"/>
            </w:tcBorders>
          </w:tcPr>
          <w:p>
            <w:pPr/>
          </w:p>
        </w:tc>
        <w:tc>
          <w:tcPr>
            <w:tcW w:w="1606" w:type="dxa"/>
            <w:tcBorders>
              <w:top w:val="nil" w:sz="6" w:space="0" w:color="auto"/>
              <w:left w:val="single" w:sz="6" w:space="0" w:color="000000"/>
              <w:bottom w:val="nil" w:sz="6" w:space="0" w:color="auto"/>
              <w:right w:val="single" w:sz="6" w:space="0" w:color="000000"/>
            </w:tcBorders>
          </w:tcPr>
          <w:p>
            <w:pPr>
              <w:pStyle w:val="TableParagraph"/>
              <w:spacing w:line="240" w:lineRule="auto" w:before="6"/>
              <w:ind w:left="2" w:right="0"/>
              <w:jc w:val="left"/>
              <w:rPr>
                <w:rFonts w:ascii="宋体" w:hAnsi="宋体" w:cs="宋体" w:eastAsia="宋体" w:hint="default"/>
                <w:sz w:val="18"/>
                <w:szCs w:val="18"/>
              </w:rPr>
            </w:pPr>
            <w:r>
              <w:rPr>
                <w:rFonts w:ascii="宋体" w:hAnsi="宋体" w:cs="宋体" w:eastAsia="宋体" w:hint="default"/>
                <w:sz w:val="18"/>
                <w:szCs w:val="18"/>
              </w:rPr>
              <w:t>其变动计入其他综</w:t>
            </w:r>
          </w:p>
        </w:tc>
        <w:tc>
          <w:tcPr>
            <w:tcW w:w="1607" w:type="dxa"/>
            <w:tcBorders>
              <w:top w:val="nil" w:sz="6" w:space="0" w:color="auto"/>
              <w:left w:val="single" w:sz="6" w:space="0" w:color="000000"/>
              <w:bottom w:val="nil" w:sz="6" w:space="0" w:color="auto"/>
              <w:right w:val="single" w:sz="6" w:space="0" w:color="000000"/>
            </w:tcBorders>
          </w:tcPr>
          <w:p>
            <w:pPr/>
          </w:p>
        </w:tc>
      </w:tr>
      <w:tr>
        <w:trPr>
          <w:trHeight w:val="370" w:hRule="exact"/>
        </w:trPr>
        <w:tc>
          <w:tcPr>
            <w:tcW w:w="1605" w:type="dxa"/>
            <w:tcBorders>
              <w:top w:val="nil" w:sz="6" w:space="0" w:color="auto"/>
              <w:left w:val="single" w:sz="6" w:space="0" w:color="000000"/>
              <w:bottom w:val="single" w:sz="6" w:space="0" w:color="000000"/>
              <w:right w:val="single" w:sz="6" w:space="0" w:color="000000"/>
            </w:tcBorders>
          </w:tcPr>
          <w:p>
            <w:pPr/>
          </w:p>
        </w:tc>
        <w:tc>
          <w:tcPr>
            <w:tcW w:w="1606"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合收益(权益工具)</w:t>
            </w:r>
          </w:p>
        </w:tc>
        <w:tc>
          <w:tcPr>
            <w:tcW w:w="1607" w:type="dxa"/>
            <w:tcBorders>
              <w:top w:val="nil" w:sz="6" w:space="0" w:color="auto"/>
              <w:left w:val="single" w:sz="6" w:space="0" w:color="000000"/>
              <w:bottom w:val="single" w:sz="6" w:space="0" w:color="000000"/>
              <w:right w:val="single" w:sz="6" w:space="0" w:color="000000"/>
            </w:tcBorders>
          </w:tcPr>
          <w:p>
            <w:pPr/>
          </w:p>
        </w:tc>
        <w:tc>
          <w:tcPr>
            <w:tcW w:w="1606" w:type="dxa"/>
            <w:tcBorders>
              <w:top w:val="nil" w:sz="6" w:space="0" w:color="auto"/>
              <w:left w:val="single" w:sz="6" w:space="0" w:color="000000"/>
              <w:bottom w:val="single" w:sz="6" w:space="0" w:color="000000"/>
              <w:right w:val="single" w:sz="6" w:space="0" w:color="000000"/>
            </w:tcBorders>
          </w:tcPr>
          <w:p>
            <w:pPr/>
          </w:p>
        </w:tc>
        <w:tc>
          <w:tcPr>
            <w:tcW w:w="1606"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合收益</w:t>
            </w:r>
          </w:p>
        </w:tc>
        <w:tc>
          <w:tcPr>
            <w:tcW w:w="1607" w:type="dxa"/>
            <w:tcBorders>
              <w:top w:val="nil" w:sz="6" w:space="0" w:color="auto"/>
              <w:left w:val="single" w:sz="6" w:space="0" w:color="000000"/>
              <w:bottom w:val="single" w:sz="6" w:space="0" w:color="000000"/>
              <w:right w:val="single" w:sz="6" w:space="0" w:color="000000"/>
            </w:tcBorders>
          </w:tcPr>
          <w:p>
            <w:pPr/>
          </w:p>
        </w:tc>
      </w:tr>
    </w:tbl>
    <w:p>
      <w:pPr>
        <w:spacing w:line="240" w:lineRule="auto" w:before="5"/>
        <w:rPr>
          <w:rFonts w:ascii="宋体" w:hAnsi="宋体" w:cs="宋体" w:eastAsia="宋体" w:hint="default"/>
          <w:sz w:val="27"/>
          <w:szCs w:val="27"/>
        </w:rPr>
      </w:pPr>
    </w:p>
    <w:p>
      <w:pPr>
        <w:pStyle w:val="BodyText"/>
        <w:spacing w:line="240" w:lineRule="auto" w:before="44"/>
        <w:ind w:right="0"/>
        <w:jc w:val="left"/>
      </w:pP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w:t>
      </w:r>
      <w:r>
        <w:rPr/>
        <w:t>日，母公司财务报表中金融资产按照原金融工具准则和新金融工具准则的规定进行分类和计量的结果对比表：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4"/>
          <w:szCs w:val="14"/>
        </w:rPr>
      </w:pPr>
    </w:p>
    <w:tbl>
      <w:tblPr>
        <w:tblW w:w="0" w:type="auto"/>
        <w:jc w:val="left"/>
        <w:tblInd w:w="106" w:type="dxa"/>
        <w:tblLayout w:type="fixed"/>
        <w:tblCellMar>
          <w:top w:w="0" w:type="dxa"/>
          <w:left w:w="0" w:type="dxa"/>
          <w:bottom w:w="0" w:type="dxa"/>
          <w:right w:w="0" w:type="dxa"/>
        </w:tblCellMar>
        <w:tblLook w:val="01E0"/>
      </w:tblPr>
      <w:tblGrid>
        <w:gridCol w:w="1605"/>
        <w:gridCol w:w="1606"/>
        <w:gridCol w:w="1607"/>
        <w:gridCol w:w="1606"/>
        <w:gridCol w:w="1606"/>
        <w:gridCol w:w="1607"/>
      </w:tblGrid>
      <w:tr>
        <w:trPr>
          <w:trHeight w:val="427" w:hRule="exact"/>
        </w:trPr>
        <w:tc>
          <w:tcPr>
            <w:tcW w:w="4818"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center"/>
              <w:rPr>
                <w:rFonts w:ascii="宋体" w:hAnsi="宋体" w:cs="宋体" w:eastAsia="宋体" w:hint="default"/>
                <w:sz w:val="18"/>
                <w:szCs w:val="18"/>
              </w:rPr>
            </w:pPr>
            <w:r>
              <w:rPr>
                <w:rFonts w:ascii="宋体" w:hAnsi="宋体" w:cs="宋体" w:eastAsia="宋体" w:hint="default"/>
                <w:sz w:val="18"/>
                <w:szCs w:val="18"/>
              </w:rPr>
              <w:t>原金融工具准则</w:t>
            </w:r>
          </w:p>
        </w:tc>
        <w:tc>
          <w:tcPr>
            <w:tcW w:w="4819"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center"/>
              <w:rPr>
                <w:rFonts w:ascii="宋体" w:hAnsi="宋体" w:cs="宋体" w:eastAsia="宋体" w:hint="default"/>
                <w:sz w:val="18"/>
                <w:szCs w:val="18"/>
              </w:rPr>
            </w:pPr>
            <w:r>
              <w:rPr>
                <w:rFonts w:ascii="宋体" w:hAnsi="宋体" w:cs="宋体" w:eastAsia="宋体" w:hint="default"/>
                <w:sz w:val="18"/>
                <w:szCs w:val="18"/>
              </w:rPr>
              <w:t>新金融工具准则</w:t>
            </w:r>
          </w:p>
        </w:tc>
      </w:tr>
      <w:tr>
        <w:trPr>
          <w:trHeight w:val="426" w:hRule="exact"/>
        </w:trPr>
        <w:tc>
          <w:tcPr>
            <w:tcW w:w="16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center"/>
              <w:rPr>
                <w:rFonts w:ascii="宋体" w:hAnsi="宋体" w:cs="宋体" w:eastAsia="宋体" w:hint="default"/>
                <w:sz w:val="18"/>
                <w:szCs w:val="18"/>
              </w:rPr>
            </w:pPr>
            <w:r>
              <w:rPr>
                <w:rFonts w:ascii="宋体" w:hAnsi="宋体" w:cs="宋体" w:eastAsia="宋体" w:hint="default"/>
                <w:sz w:val="18"/>
                <w:szCs w:val="18"/>
              </w:rPr>
              <w:t>科目</w:t>
            </w:r>
          </w:p>
        </w:tc>
        <w:tc>
          <w:tcPr>
            <w:tcW w:w="16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435" w:right="0"/>
              <w:jc w:val="left"/>
              <w:rPr>
                <w:rFonts w:ascii="宋体" w:hAnsi="宋体" w:cs="宋体" w:eastAsia="宋体" w:hint="default"/>
                <w:sz w:val="18"/>
                <w:szCs w:val="18"/>
              </w:rPr>
            </w:pPr>
            <w:r>
              <w:rPr>
                <w:rFonts w:ascii="宋体" w:hAnsi="宋体" w:cs="宋体" w:eastAsia="宋体" w:hint="default"/>
                <w:sz w:val="18"/>
                <w:szCs w:val="18"/>
              </w:rPr>
              <w:t>计量类别</w:t>
            </w:r>
          </w:p>
        </w:tc>
        <w:tc>
          <w:tcPr>
            <w:tcW w:w="16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435"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6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center"/>
              <w:rPr>
                <w:rFonts w:ascii="宋体" w:hAnsi="宋体" w:cs="宋体" w:eastAsia="宋体" w:hint="default"/>
                <w:sz w:val="18"/>
                <w:szCs w:val="18"/>
              </w:rPr>
            </w:pPr>
            <w:r>
              <w:rPr>
                <w:rFonts w:ascii="宋体" w:hAnsi="宋体" w:cs="宋体" w:eastAsia="宋体" w:hint="default"/>
                <w:sz w:val="18"/>
                <w:szCs w:val="18"/>
              </w:rPr>
              <w:t>科目</w:t>
            </w:r>
          </w:p>
        </w:tc>
        <w:tc>
          <w:tcPr>
            <w:tcW w:w="16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435" w:right="0"/>
              <w:jc w:val="left"/>
              <w:rPr>
                <w:rFonts w:ascii="宋体" w:hAnsi="宋体" w:cs="宋体" w:eastAsia="宋体" w:hint="default"/>
                <w:sz w:val="18"/>
                <w:szCs w:val="18"/>
              </w:rPr>
            </w:pPr>
            <w:r>
              <w:rPr>
                <w:rFonts w:ascii="宋体" w:hAnsi="宋体" w:cs="宋体" w:eastAsia="宋体" w:hint="default"/>
                <w:sz w:val="18"/>
                <w:szCs w:val="18"/>
              </w:rPr>
              <w:t>计量类别</w:t>
            </w:r>
          </w:p>
        </w:tc>
        <w:tc>
          <w:tcPr>
            <w:tcW w:w="16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435"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spacing w:after="0" w:line="240" w:lineRule="auto"/>
        <w:jc w:val="left"/>
        <w:rPr>
          <w:rFonts w:ascii="宋体" w:hAnsi="宋体" w:cs="宋体" w:eastAsia="宋体" w:hint="default"/>
          <w:sz w:val="18"/>
          <w:szCs w:val="18"/>
        </w:rPr>
        <w:sectPr>
          <w:pgSz w:w="11910" w:h="16840"/>
          <w:pgMar w:header="906" w:footer="1018" w:top="1100" w:bottom="1200" w:left="1020" w:right="0"/>
        </w:sectPr>
      </w:pPr>
    </w:p>
    <w:p>
      <w:pPr>
        <w:spacing w:line="240" w:lineRule="auto" w:before="7"/>
        <w:rPr>
          <w:rFonts w:ascii="宋体" w:hAnsi="宋体" w:cs="宋体" w:eastAsia="宋体" w:hint="default"/>
          <w:sz w:val="25"/>
          <w:szCs w:val="25"/>
        </w:rPr>
      </w:pPr>
    </w:p>
    <w:tbl>
      <w:tblPr>
        <w:tblW w:w="0" w:type="auto"/>
        <w:jc w:val="left"/>
        <w:tblInd w:w="106" w:type="dxa"/>
        <w:tblLayout w:type="fixed"/>
        <w:tblCellMar>
          <w:top w:w="0" w:type="dxa"/>
          <w:left w:w="0" w:type="dxa"/>
          <w:bottom w:w="0" w:type="dxa"/>
          <w:right w:w="0" w:type="dxa"/>
        </w:tblCellMar>
        <w:tblLook w:val="01E0"/>
      </w:tblPr>
      <w:tblGrid>
        <w:gridCol w:w="1605"/>
        <w:gridCol w:w="1606"/>
        <w:gridCol w:w="1607"/>
        <w:gridCol w:w="1606"/>
        <w:gridCol w:w="1606"/>
        <w:gridCol w:w="1607"/>
      </w:tblGrid>
      <w:tr>
        <w:trPr>
          <w:trHeight w:val="373" w:hRule="exact"/>
        </w:trPr>
        <w:tc>
          <w:tcPr>
            <w:tcW w:w="1605"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606"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摊余成本</w:t>
            </w:r>
          </w:p>
        </w:tc>
        <w:tc>
          <w:tcPr>
            <w:tcW w:w="1607"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51,820.94</w:t>
            </w:r>
          </w:p>
        </w:tc>
        <w:tc>
          <w:tcPr>
            <w:tcW w:w="1606"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应收款项融资</w:t>
            </w:r>
          </w:p>
        </w:tc>
        <w:tc>
          <w:tcPr>
            <w:tcW w:w="1606"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以公允价值计量且</w:t>
            </w:r>
          </w:p>
        </w:tc>
        <w:tc>
          <w:tcPr>
            <w:tcW w:w="1607"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51,820.94</w:t>
            </w:r>
          </w:p>
        </w:tc>
      </w:tr>
      <w:tr>
        <w:trPr>
          <w:trHeight w:val="308" w:hRule="exact"/>
        </w:trPr>
        <w:tc>
          <w:tcPr>
            <w:tcW w:w="1605" w:type="dxa"/>
            <w:tcBorders>
              <w:top w:val="nil" w:sz="6" w:space="0" w:color="auto"/>
              <w:left w:val="single" w:sz="6" w:space="0" w:color="000000"/>
              <w:bottom w:val="nil" w:sz="6" w:space="0" w:color="auto"/>
              <w:right w:val="single" w:sz="6" w:space="0" w:color="000000"/>
            </w:tcBorders>
          </w:tcPr>
          <w:p>
            <w:pPr/>
          </w:p>
        </w:tc>
        <w:tc>
          <w:tcPr>
            <w:tcW w:w="1606" w:type="dxa"/>
            <w:tcBorders>
              <w:top w:val="nil" w:sz="6" w:space="0" w:color="auto"/>
              <w:left w:val="single" w:sz="6" w:space="0" w:color="000000"/>
              <w:bottom w:val="nil" w:sz="6" w:space="0" w:color="auto"/>
              <w:right w:val="single" w:sz="6" w:space="0" w:color="000000"/>
            </w:tcBorders>
          </w:tcPr>
          <w:p>
            <w:pPr/>
          </w:p>
        </w:tc>
        <w:tc>
          <w:tcPr>
            <w:tcW w:w="1607" w:type="dxa"/>
            <w:tcBorders>
              <w:top w:val="nil" w:sz="6" w:space="0" w:color="auto"/>
              <w:left w:val="single" w:sz="6" w:space="0" w:color="000000"/>
              <w:bottom w:val="nil" w:sz="6" w:space="0" w:color="auto"/>
              <w:right w:val="single" w:sz="6" w:space="0" w:color="000000"/>
            </w:tcBorders>
          </w:tcPr>
          <w:p>
            <w:pPr/>
          </w:p>
        </w:tc>
        <w:tc>
          <w:tcPr>
            <w:tcW w:w="1606" w:type="dxa"/>
            <w:tcBorders>
              <w:top w:val="nil" w:sz="6" w:space="0" w:color="auto"/>
              <w:left w:val="single" w:sz="6" w:space="0" w:color="000000"/>
              <w:bottom w:val="nil" w:sz="6" w:space="0" w:color="auto"/>
              <w:right w:val="single" w:sz="6" w:space="0" w:color="000000"/>
            </w:tcBorders>
          </w:tcPr>
          <w:p>
            <w:pPr/>
          </w:p>
        </w:tc>
        <w:tc>
          <w:tcPr>
            <w:tcW w:w="1606" w:type="dxa"/>
            <w:tcBorders>
              <w:top w:val="nil" w:sz="6" w:space="0" w:color="auto"/>
              <w:left w:val="single" w:sz="6" w:space="0" w:color="000000"/>
              <w:bottom w:val="nil" w:sz="6" w:space="0" w:color="auto"/>
              <w:right w:val="single" w:sz="6" w:space="0" w:color="000000"/>
            </w:tcBorders>
          </w:tcPr>
          <w:p>
            <w:pPr>
              <w:pStyle w:val="TableParagraph"/>
              <w:spacing w:line="240" w:lineRule="auto" w:before="6"/>
              <w:ind w:left="2" w:right="0"/>
              <w:jc w:val="left"/>
              <w:rPr>
                <w:rFonts w:ascii="宋体" w:hAnsi="宋体" w:cs="宋体" w:eastAsia="宋体" w:hint="default"/>
                <w:sz w:val="18"/>
                <w:szCs w:val="18"/>
              </w:rPr>
            </w:pPr>
            <w:r>
              <w:rPr>
                <w:rFonts w:ascii="宋体" w:hAnsi="宋体" w:cs="宋体" w:eastAsia="宋体" w:hint="default"/>
                <w:sz w:val="18"/>
                <w:szCs w:val="18"/>
              </w:rPr>
              <w:t>其变动计入其他综</w:t>
            </w:r>
          </w:p>
        </w:tc>
        <w:tc>
          <w:tcPr>
            <w:tcW w:w="1607" w:type="dxa"/>
            <w:tcBorders>
              <w:top w:val="nil" w:sz="6" w:space="0" w:color="auto"/>
              <w:left w:val="single" w:sz="6" w:space="0" w:color="000000"/>
              <w:bottom w:val="nil" w:sz="6" w:space="0" w:color="auto"/>
              <w:right w:val="single" w:sz="6" w:space="0" w:color="000000"/>
            </w:tcBorders>
          </w:tcPr>
          <w:p>
            <w:pPr/>
          </w:p>
        </w:tc>
      </w:tr>
      <w:tr>
        <w:trPr>
          <w:trHeight w:val="370" w:hRule="exact"/>
        </w:trPr>
        <w:tc>
          <w:tcPr>
            <w:tcW w:w="1605" w:type="dxa"/>
            <w:tcBorders>
              <w:top w:val="nil" w:sz="6" w:space="0" w:color="auto"/>
              <w:left w:val="single" w:sz="6" w:space="0" w:color="000000"/>
              <w:bottom w:val="single" w:sz="6" w:space="0" w:color="000000"/>
              <w:right w:val="single" w:sz="6" w:space="0" w:color="000000"/>
            </w:tcBorders>
          </w:tcPr>
          <w:p>
            <w:pPr/>
          </w:p>
        </w:tc>
        <w:tc>
          <w:tcPr>
            <w:tcW w:w="1606" w:type="dxa"/>
            <w:tcBorders>
              <w:top w:val="nil" w:sz="6" w:space="0" w:color="auto"/>
              <w:left w:val="single" w:sz="6" w:space="0" w:color="000000"/>
              <w:bottom w:val="single" w:sz="6" w:space="0" w:color="000000"/>
              <w:right w:val="single" w:sz="6" w:space="0" w:color="000000"/>
            </w:tcBorders>
          </w:tcPr>
          <w:p>
            <w:pPr/>
          </w:p>
        </w:tc>
        <w:tc>
          <w:tcPr>
            <w:tcW w:w="1607" w:type="dxa"/>
            <w:tcBorders>
              <w:top w:val="nil" w:sz="6" w:space="0" w:color="auto"/>
              <w:left w:val="single" w:sz="6" w:space="0" w:color="000000"/>
              <w:bottom w:val="single" w:sz="6" w:space="0" w:color="000000"/>
              <w:right w:val="single" w:sz="6" w:space="0" w:color="000000"/>
            </w:tcBorders>
          </w:tcPr>
          <w:p>
            <w:pPr/>
          </w:p>
        </w:tc>
        <w:tc>
          <w:tcPr>
            <w:tcW w:w="1606" w:type="dxa"/>
            <w:tcBorders>
              <w:top w:val="nil" w:sz="6" w:space="0" w:color="auto"/>
              <w:left w:val="single" w:sz="6" w:space="0" w:color="000000"/>
              <w:bottom w:val="single" w:sz="6" w:space="0" w:color="000000"/>
              <w:right w:val="single" w:sz="6" w:space="0" w:color="000000"/>
            </w:tcBorders>
          </w:tcPr>
          <w:p>
            <w:pPr/>
          </w:p>
        </w:tc>
        <w:tc>
          <w:tcPr>
            <w:tcW w:w="1606"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合收益</w:t>
            </w:r>
          </w:p>
        </w:tc>
        <w:tc>
          <w:tcPr>
            <w:tcW w:w="1607" w:type="dxa"/>
            <w:tcBorders>
              <w:top w:val="nil" w:sz="6" w:space="0" w:color="auto"/>
              <w:left w:val="single" w:sz="6" w:space="0" w:color="000000"/>
              <w:bottom w:val="single" w:sz="6" w:space="0" w:color="000000"/>
              <w:right w:val="single" w:sz="6" w:space="0" w:color="000000"/>
            </w:tcBorders>
          </w:tcPr>
          <w:p>
            <w:pPr/>
          </w:p>
        </w:tc>
      </w:tr>
      <w:tr>
        <w:trPr>
          <w:trHeight w:val="427" w:hRule="exact"/>
        </w:trPr>
        <w:tc>
          <w:tcPr>
            <w:tcW w:w="16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6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摊余成本</w:t>
            </w:r>
          </w:p>
        </w:tc>
        <w:tc>
          <w:tcPr>
            <w:tcW w:w="16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87,815,430.22</w:t>
            </w:r>
          </w:p>
        </w:tc>
        <w:tc>
          <w:tcPr>
            <w:tcW w:w="16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6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摊余成本</w:t>
            </w:r>
          </w:p>
        </w:tc>
        <w:tc>
          <w:tcPr>
            <w:tcW w:w="16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87,635,284.88</w:t>
            </w:r>
          </w:p>
        </w:tc>
      </w:tr>
      <w:tr>
        <w:trPr>
          <w:trHeight w:val="427" w:hRule="exact"/>
        </w:trPr>
        <w:tc>
          <w:tcPr>
            <w:tcW w:w="16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left="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6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left="2" w:right="0"/>
              <w:jc w:val="left"/>
              <w:rPr>
                <w:rFonts w:ascii="宋体" w:hAnsi="宋体" w:cs="宋体" w:eastAsia="宋体" w:hint="default"/>
                <w:sz w:val="18"/>
                <w:szCs w:val="18"/>
              </w:rPr>
            </w:pPr>
            <w:r>
              <w:rPr>
                <w:rFonts w:ascii="宋体" w:hAnsi="宋体" w:cs="宋体" w:eastAsia="宋体" w:hint="default"/>
                <w:sz w:val="18"/>
                <w:szCs w:val="18"/>
              </w:rPr>
              <w:t>摊余成本</w:t>
            </w:r>
          </w:p>
        </w:tc>
        <w:tc>
          <w:tcPr>
            <w:tcW w:w="16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7,135,589.14</w:t>
            </w:r>
          </w:p>
        </w:tc>
        <w:tc>
          <w:tcPr>
            <w:tcW w:w="16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left="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6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left="2" w:right="0"/>
              <w:jc w:val="left"/>
              <w:rPr>
                <w:rFonts w:ascii="宋体" w:hAnsi="宋体" w:cs="宋体" w:eastAsia="宋体" w:hint="default"/>
                <w:sz w:val="18"/>
                <w:szCs w:val="18"/>
              </w:rPr>
            </w:pPr>
            <w:r>
              <w:rPr>
                <w:rFonts w:ascii="宋体" w:hAnsi="宋体" w:cs="宋体" w:eastAsia="宋体" w:hint="default"/>
                <w:sz w:val="18"/>
                <w:szCs w:val="18"/>
              </w:rPr>
              <w:t>摊余成本</w:t>
            </w:r>
          </w:p>
        </w:tc>
        <w:tc>
          <w:tcPr>
            <w:tcW w:w="16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7,367,704.72</w:t>
            </w:r>
          </w:p>
        </w:tc>
      </w:tr>
      <w:tr>
        <w:trPr>
          <w:trHeight w:val="373" w:hRule="exact"/>
        </w:trPr>
        <w:tc>
          <w:tcPr>
            <w:tcW w:w="1605"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606"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以公允价值计量且</w:t>
            </w:r>
          </w:p>
        </w:tc>
        <w:tc>
          <w:tcPr>
            <w:tcW w:w="1607"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210,000,000.00</w:t>
            </w:r>
          </w:p>
        </w:tc>
        <w:tc>
          <w:tcPr>
            <w:tcW w:w="1606"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1606"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以公允价值计量且</w:t>
            </w:r>
          </w:p>
        </w:tc>
        <w:tc>
          <w:tcPr>
            <w:tcW w:w="1607"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210,000,000.00</w:t>
            </w:r>
          </w:p>
        </w:tc>
      </w:tr>
      <w:tr>
        <w:trPr>
          <w:trHeight w:val="308" w:hRule="exact"/>
        </w:trPr>
        <w:tc>
          <w:tcPr>
            <w:tcW w:w="1605" w:type="dxa"/>
            <w:tcBorders>
              <w:top w:val="nil" w:sz="6" w:space="0" w:color="auto"/>
              <w:left w:val="single" w:sz="6" w:space="0" w:color="000000"/>
              <w:bottom w:val="nil" w:sz="6" w:space="0" w:color="auto"/>
              <w:right w:val="single" w:sz="6" w:space="0" w:color="000000"/>
            </w:tcBorders>
          </w:tcPr>
          <w:p>
            <w:pPr>
              <w:pStyle w:val="TableParagraph"/>
              <w:spacing w:line="240" w:lineRule="auto" w:before="6"/>
              <w:ind w:left="2" w:right="0"/>
              <w:jc w:val="left"/>
              <w:rPr>
                <w:rFonts w:ascii="宋体" w:hAnsi="宋体" w:cs="宋体" w:eastAsia="宋体" w:hint="default"/>
                <w:sz w:val="18"/>
                <w:szCs w:val="18"/>
              </w:rPr>
            </w:pPr>
            <w:r>
              <w:rPr>
                <w:rFonts w:ascii="宋体" w:hAnsi="宋体" w:cs="宋体" w:eastAsia="宋体" w:hint="default"/>
                <w:sz w:val="18"/>
                <w:szCs w:val="18"/>
              </w:rPr>
              <w:t>(含其他流动资产)</w:t>
            </w:r>
          </w:p>
        </w:tc>
        <w:tc>
          <w:tcPr>
            <w:tcW w:w="1606" w:type="dxa"/>
            <w:tcBorders>
              <w:top w:val="nil" w:sz="6" w:space="0" w:color="auto"/>
              <w:left w:val="single" w:sz="6" w:space="0" w:color="000000"/>
              <w:bottom w:val="nil" w:sz="6" w:space="0" w:color="auto"/>
              <w:right w:val="single" w:sz="6" w:space="0" w:color="000000"/>
            </w:tcBorders>
          </w:tcPr>
          <w:p>
            <w:pPr>
              <w:pStyle w:val="TableParagraph"/>
              <w:spacing w:line="240" w:lineRule="auto" w:before="6"/>
              <w:ind w:left="2" w:right="0"/>
              <w:jc w:val="left"/>
              <w:rPr>
                <w:rFonts w:ascii="宋体" w:hAnsi="宋体" w:cs="宋体" w:eastAsia="宋体" w:hint="default"/>
                <w:sz w:val="18"/>
                <w:szCs w:val="18"/>
              </w:rPr>
            </w:pPr>
            <w:r>
              <w:rPr>
                <w:rFonts w:ascii="宋体" w:hAnsi="宋体" w:cs="宋体" w:eastAsia="宋体" w:hint="default"/>
                <w:sz w:val="18"/>
                <w:szCs w:val="18"/>
              </w:rPr>
              <w:t>其变动计入其他综</w:t>
            </w:r>
          </w:p>
        </w:tc>
        <w:tc>
          <w:tcPr>
            <w:tcW w:w="1607" w:type="dxa"/>
            <w:tcBorders>
              <w:top w:val="nil" w:sz="6" w:space="0" w:color="auto"/>
              <w:left w:val="single" w:sz="6" w:space="0" w:color="000000"/>
              <w:bottom w:val="nil" w:sz="6" w:space="0" w:color="auto"/>
              <w:right w:val="single" w:sz="6" w:space="0" w:color="000000"/>
            </w:tcBorders>
          </w:tcPr>
          <w:p>
            <w:pPr/>
          </w:p>
        </w:tc>
        <w:tc>
          <w:tcPr>
            <w:tcW w:w="1606" w:type="dxa"/>
            <w:tcBorders>
              <w:top w:val="nil" w:sz="6" w:space="0" w:color="auto"/>
              <w:left w:val="single" w:sz="6" w:space="0" w:color="000000"/>
              <w:bottom w:val="nil" w:sz="6" w:space="0" w:color="auto"/>
              <w:right w:val="single" w:sz="6" w:space="0" w:color="000000"/>
            </w:tcBorders>
          </w:tcPr>
          <w:p>
            <w:pPr/>
          </w:p>
        </w:tc>
        <w:tc>
          <w:tcPr>
            <w:tcW w:w="1606" w:type="dxa"/>
            <w:tcBorders>
              <w:top w:val="nil" w:sz="6" w:space="0" w:color="auto"/>
              <w:left w:val="single" w:sz="6" w:space="0" w:color="000000"/>
              <w:bottom w:val="nil" w:sz="6" w:space="0" w:color="auto"/>
              <w:right w:val="single" w:sz="6" w:space="0" w:color="000000"/>
            </w:tcBorders>
          </w:tcPr>
          <w:p>
            <w:pPr>
              <w:pStyle w:val="TableParagraph"/>
              <w:spacing w:line="240" w:lineRule="auto" w:before="6"/>
              <w:ind w:left="2" w:right="0"/>
              <w:jc w:val="left"/>
              <w:rPr>
                <w:rFonts w:ascii="宋体" w:hAnsi="宋体" w:cs="宋体" w:eastAsia="宋体" w:hint="default"/>
                <w:sz w:val="18"/>
                <w:szCs w:val="18"/>
              </w:rPr>
            </w:pPr>
            <w:r>
              <w:rPr>
                <w:rFonts w:ascii="宋体" w:hAnsi="宋体" w:cs="宋体" w:eastAsia="宋体" w:hint="default"/>
                <w:sz w:val="18"/>
                <w:szCs w:val="18"/>
              </w:rPr>
              <w:t>其变动计入当期损</w:t>
            </w:r>
          </w:p>
        </w:tc>
        <w:tc>
          <w:tcPr>
            <w:tcW w:w="1607" w:type="dxa"/>
            <w:tcBorders>
              <w:top w:val="nil" w:sz="6" w:space="0" w:color="auto"/>
              <w:left w:val="single" w:sz="6" w:space="0" w:color="000000"/>
              <w:bottom w:val="nil" w:sz="6" w:space="0" w:color="auto"/>
              <w:right w:val="single" w:sz="6" w:space="0" w:color="000000"/>
            </w:tcBorders>
          </w:tcPr>
          <w:p>
            <w:pPr/>
          </w:p>
        </w:tc>
      </w:tr>
      <w:tr>
        <w:trPr>
          <w:trHeight w:val="370" w:hRule="exact"/>
        </w:trPr>
        <w:tc>
          <w:tcPr>
            <w:tcW w:w="1605" w:type="dxa"/>
            <w:tcBorders>
              <w:top w:val="nil" w:sz="6" w:space="0" w:color="auto"/>
              <w:left w:val="single" w:sz="6" w:space="0" w:color="000000"/>
              <w:bottom w:val="nil" w:sz="6" w:space="0" w:color="auto"/>
              <w:right w:val="single" w:sz="6" w:space="0" w:color="000000"/>
            </w:tcBorders>
          </w:tcPr>
          <w:p>
            <w:pPr/>
          </w:p>
        </w:tc>
        <w:tc>
          <w:tcPr>
            <w:tcW w:w="1606"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合收益(银行理财)</w:t>
            </w:r>
          </w:p>
        </w:tc>
        <w:tc>
          <w:tcPr>
            <w:tcW w:w="1607" w:type="dxa"/>
            <w:tcBorders>
              <w:top w:val="nil" w:sz="6" w:space="0" w:color="auto"/>
              <w:left w:val="single" w:sz="6" w:space="0" w:color="000000"/>
              <w:bottom w:val="single" w:sz="6" w:space="0" w:color="000000"/>
              <w:right w:val="single" w:sz="6" w:space="0" w:color="000000"/>
            </w:tcBorders>
          </w:tcPr>
          <w:p>
            <w:pPr/>
          </w:p>
        </w:tc>
        <w:tc>
          <w:tcPr>
            <w:tcW w:w="1606" w:type="dxa"/>
            <w:tcBorders>
              <w:top w:val="nil" w:sz="6" w:space="0" w:color="auto"/>
              <w:left w:val="single" w:sz="6" w:space="0" w:color="000000"/>
              <w:bottom w:val="single" w:sz="6" w:space="0" w:color="000000"/>
              <w:right w:val="single" w:sz="6" w:space="0" w:color="000000"/>
            </w:tcBorders>
          </w:tcPr>
          <w:p>
            <w:pPr/>
          </w:p>
        </w:tc>
        <w:tc>
          <w:tcPr>
            <w:tcW w:w="1606"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益</w:t>
            </w:r>
          </w:p>
        </w:tc>
        <w:tc>
          <w:tcPr>
            <w:tcW w:w="1607" w:type="dxa"/>
            <w:tcBorders>
              <w:top w:val="nil" w:sz="6" w:space="0" w:color="auto"/>
              <w:left w:val="single" w:sz="6" w:space="0" w:color="000000"/>
              <w:bottom w:val="single" w:sz="6" w:space="0" w:color="000000"/>
              <w:right w:val="single" w:sz="6" w:space="0" w:color="000000"/>
            </w:tcBorders>
          </w:tcPr>
          <w:p>
            <w:pPr/>
          </w:p>
        </w:tc>
      </w:tr>
      <w:tr>
        <w:trPr>
          <w:trHeight w:val="373" w:hRule="exact"/>
        </w:trPr>
        <w:tc>
          <w:tcPr>
            <w:tcW w:w="1605" w:type="dxa"/>
            <w:tcBorders>
              <w:top w:val="nil" w:sz="6" w:space="0" w:color="auto"/>
              <w:left w:val="single" w:sz="6" w:space="0" w:color="000000"/>
              <w:bottom w:val="nil" w:sz="6" w:space="0" w:color="auto"/>
              <w:right w:val="single" w:sz="6" w:space="0" w:color="000000"/>
            </w:tcBorders>
          </w:tcPr>
          <w:p>
            <w:pPr/>
          </w:p>
        </w:tc>
        <w:tc>
          <w:tcPr>
            <w:tcW w:w="1606"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以公允价值计量且</w:t>
            </w:r>
          </w:p>
        </w:tc>
        <w:tc>
          <w:tcPr>
            <w:tcW w:w="1607"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21,000,000.00</w:t>
            </w:r>
          </w:p>
        </w:tc>
        <w:tc>
          <w:tcPr>
            <w:tcW w:w="1606"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其他权益工具投资</w:t>
            </w:r>
          </w:p>
        </w:tc>
        <w:tc>
          <w:tcPr>
            <w:tcW w:w="1606"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以公允价值计量且</w:t>
            </w:r>
          </w:p>
        </w:tc>
        <w:tc>
          <w:tcPr>
            <w:tcW w:w="1607"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21,000,000.00</w:t>
            </w:r>
          </w:p>
        </w:tc>
      </w:tr>
      <w:tr>
        <w:trPr>
          <w:trHeight w:val="308" w:hRule="exact"/>
        </w:trPr>
        <w:tc>
          <w:tcPr>
            <w:tcW w:w="1605" w:type="dxa"/>
            <w:tcBorders>
              <w:top w:val="nil" w:sz="6" w:space="0" w:color="auto"/>
              <w:left w:val="single" w:sz="6" w:space="0" w:color="000000"/>
              <w:bottom w:val="nil" w:sz="6" w:space="0" w:color="auto"/>
              <w:right w:val="single" w:sz="6" w:space="0" w:color="000000"/>
            </w:tcBorders>
          </w:tcPr>
          <w:p>
            <w:pPr/>
          </w:p>
        </w:tc>
        <w:tc>
          <w:tcPr>
            <w:tcW w:w="1606" w:type="dxa"/>
            <w:tcBorders>
              <w:top w:val="nil" w:sz="6" w:space="0" w:color="auto"/>
              <w:left w:val="single" w:sz="6" w:space="0" w:color="000000"/>
              <w:bottom w:val="nil" w:sz="6" w:space="0" w:color="auto"/>
              <w:right w:val="single" w:sz="6" w:space="0" w:color="000000"/>
            </w:tcBorders>
          </w:tcPr>
          <w:p>
            <w:pPr>
              <w:pStyle w:val="TableParagraph"/>
              <w:spacing w:line="240" w:lineRule="auto" w:before="6"/>
              <w:ind w:left="2" w:right="0"/>
              <w:jc w:val="left"/>
              <w:rPr>
                <w:rFonts w:ascii="宋体" w:hAnsi="宋体" w:cs="宋体" w:eastAsia="宋体" w:hint="default"/>
                <w:sz w:val="18"/>
                <w:szCs w:val="18"/>
              </w:rPr>
            </w:pPr>
            <w:r>
              <w:rPr>
                <w:rFonts w:ascii="宋体" w:hAnsi="宋体" w:cs="宋体" w:eastAsia="宋体" w:hint="default"/>
                <w:sz w:val="18"/>
                <w:szCs w:val="18"/>
              </w:rPr>
              <w:t>其变动计入其他综</w:t>
            </w:r>
          </w:p>
        </w:tc>
        <w:tc>
          <w:tcPr>
            <w:tcW w:w="1607" w:type="dxa"/>
            <w:tcBorders>
              <w:top w:val="nil" w:sz="6" w:space="0" w:color="auto"/>
              <w:left w:val="single" w:sz="6" w:space="0" w:color="000000"/>
              <w:bottom w:val="nil" w:sz="6" w:space="0" w:color="auto"/>
              <w:right w:val="single" w:sz="6" w:space="0" w:color="000000"/>
            </w:tcBorders>
          </w:tcPr>
          <w:p>
            <w:pPr/>
          </w:p>
        </w:tc>
        <w:tc>
          <w:tcPr>
            <w:tcW w:w="1606" w:type="dxa"/>
            <w:tcBorders>
              <w:top w:val="nil" w:sz="6" w:space="0" w:color="auto"/>
              <w:left w:val="single" w:sz="6" w:space="0" w:color="000000"/>
              <w:bottom w:val="nil" w:sz="6" w:space="0" w:color="auto"/>
              <w:right w:val="single" w:sz="6" w:space="0" w:color="000000"/>
            </w:tcBorders>
          </w:tcPr>
          <w:p>
            <w:pPr/>
          </w:p>
        </w:tc>
        <w:tc>
          <w:tcPr>
            <w:tcW w:w="1606" w:type="dxa"/>
            <w:tcBorders>
              <w:top w:val="nil" w:sz="6" w:space="0" w:color="auto"/>
              <w:left w:val="single" w:sz="6" w:space="0" w:color="000000"/>
              <w:bottom w:val="nil" w:sz="6" w:space="0" w:color="auto"/>
              <w:right w:val="single" w:sz="6" w:space="0" w:color="000000"/>
            </w:tcBorders>
          </w:tcPr>
          <w:p>
            <w:pPr>
              <w:pStyle w:val="TableParagraph"/>
              <w:spacing w:line="240" w:lineRule="auto" w:before="6"/>
              <w:ind w:left="2" w:right="0"/>
              <w:jc w:val="left"/>
              <w:rPr>
                <w:rFonts w:ascii="宋体" w:hAnsi="宋体" w:cs="宋体" w:eastAsia="宋体" w:hint="default"/>
                <w:sz w:val="18"/>
                <w:szCs w:val="18"/>
              </w:rPr>
            </w:pPr>
            <w:r>
              <w:rPr>
                <w:rFonts w:ascii="宋体" w:hAnsi="宋体" w:cs="宋体" w:eastAsia="宋体" w:hint="default"/>
                <w:sz w:val="18"/>
                <w:szCs w:val="18"/>
              </w:rPr>
              <w:t>其变动计入其他综</w:t>
            </w:r>
          </w:p>
        </w:tc>
        <w:tc>
          <w:tcPr>
            <w:tcW w:w="1607" w:type="dxa"/>
            <w:tcBorders>
              <w:top w:val="nil" w:sz="6" w:space="0" w:color="auto"/>
              <w:left w:val="single" w:sz="6" w:space="0" w:color="000000"/>
              <w:bottom w:val="nil" w:sz="6" w:space="0" w:color="auto"/>
              <w:right w:val="single" w:sz="6" w:space="0" w:color="000000"/>
            </w:tcBorders>
          </w:tcPr>
          <w:p>
            <w:pPr/>
          </w:p>
        </w:tc>
      </w:tr>
      <w:tr>
        <w:trPr>
          <w:trHeight w:val="370" w:hRule="exact"/>
        </w:trPr>
        <w:tc>
          <w:tcPr>
            <w:tcW w:w="1605" w:type="dxa"/>
            <w:tcBorders>
              <w:top w:val="nil" w:sz="6" w:space="0" w:color="auto"/>
              <w:left w:val="single" w:sz="6" w:space="0" w:color="000000"/>
              <w:bottom w:val="single" w:sz="6" w:space="0" w:color="000000"/>
              <w:right w:val="single" w:sz="6" w:space="0" w:color="000000"/>
            </w:tcBorders>
          </w:tcPr>
          <w:p>
            <w:pPr/>
          </w:p>
        </w:tc>
        <w:tc>
          <w:tcPr>
            <w:tcW w:w="1606"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合收益(权益工具)</w:t>
            </w:r>
          </w:p>
        </w:tc>
        <w:tc>
          <w:tcPr>
            <w:tcW w:w="1607" w:type="dxa"/>
            <w:tcBorders>
              <w:top w:val="nil" w:sz="6" w:space="0" w:color="auto"/>
              <w:left w:val="single" w:sz="6" w:space="0" w:color="000000"/>
              <w:bottom w:val="single" w:sz="6" w:space="0" w:color="000000"/>
              <w:right w:val="single" w:sz="6" w:space="0" w:color="000000"/>
            </w:tcBorders>
          </w:tcPr>
          <w:p>
            <w:pPr/>
          </w:p>
        </w:tc>
        <w:tc>
          <w:tcPr>
            <w:tcW w:w="1606" w:type="dxa"/>
            <w:tcBorders>
              <w:top w:val="nil" w:sz="6" w:space="0" w:color="auto"/>
              <w:left w:val="single" w:sz="6" w:space="0" w:color="000000"/>
              <w:bottom w:val="single" w:sz="6" w:space="0" w:color="000000"/>
              <w:right w:val="single" w:sz="6" w:space="0" w:color="000000"/>
            </w:tcBorders>
          </w:tcPr>
          <w:p>
            <w:pPr/>
          </w:p>
        </w:tc>
        <w:tc>
          <w:tcPr>
            <w:tcW w:w="1606"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合收益</w:t>
            </w:r>
          </w:p>
        </w:tc>
        <w:tc>
          <w:tcPr>
            <w:tcW w:w="1607" w:type="dxa"/>
            <w:tcBorders>
              <w:top w:val="nil" w:sz="6" w:space="0" w:color="auto"/>
              <w:left w:val="single" w:sz="6" w:space="0" w:color="000000"/>
              <w:bottom w:val="single" w:sz="6" w:space="0" w:color="000000"/>
              <w:right w:val="single" w:sz="6" w:space="0" w:color="000000"/>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pStyle w:val="BodyText"/>
        <w:spacing w:line="300" w:lineRule="auto" w:before="44"/>
        <w:ind w:right="1032"/>
        <w:jc w:val="left"/>
      </w:pP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1</w:t>
      </w:r>
      <w:r>
        <w:rPr>
          <w:spacing w:val="-2"/>
        </w:rPr>
        <w:t>月</w:t>
      </w:r>
      <w:r>
        <w:rPr>
          <w:rFonts w:ascii="Times New Roman" w:hAnsi="Times New Roman" w:cs="Times New Roman" w:eastAsia="Times New Roman" w:hint="default"/>
          <w:spacing w:val="-2"/>
        </w:rPr>
        <w:t>1</w:t>
      </w:r>
      <w:r>
        <w:rPr>
          <w:spacing w:val="-2"/>
        </w:rPr>
        <w:t>日，公司根据新金融工具准则下的计量类别，将原金融资产账面价值调整为新金融工具准则下的账面价值的调节</w:t>
      </w:r>
      <w:r>
        <w:rPr>
          <w:spacing w:val="-58"/>
        </w:rPr>
        <w:t> </w:t>
      </w:r>
      <w:r>
        <w:rPr>
          <w:spacing w:val="-58"/>
        </w:rPr>
      </w:r>
      <w:r>
        <w:rPr/>
        <w:t>表：</w:t>
      </w:r>
    </w:p>
    <w:p>
      <w:pPr>
        <w:spacing w:line="240" w:lineRule="auto" w:before="9"/>
        <w:rPr>
          <w:rFonts w:ascii="宋体" w:hAnsi="宋体" w:cs="宋体" w:eastAsia="宋体" w:hint="default"/>
          <w:sz w:val="4"/>
          <w:szCs w:val="4"/>
        </w:rPr>
      </w:pPr>
    </w:p>
    <w:tbl>
      <w:tblPr>
        <w:tblW w:w="0" w:type="auto"/>
        <w:jc w:val="left"/>
        <w:tblInd w:w="106" w:type="dxa"/>
        <w:tblLayout w:type="fixed"/>
        <w:tblCellMar>
          <w:top w:w="0" w:type="dxa"/>
          <w:left w:w="0" w:type="dxa"/>
          <w:bottom w:w="0" w:type="dxa"/>
          <w:right w:w="0" w:type="dxa"/>
        </w:tblCellMar>
        <w:tblLook w:val="01E0"/>
      </w:tblPr>
      <w:tblGrid>
        <w:gridCol w:w="3218"/>
        <w:gridCol w:w="1605"/>
        <w:gridCol w:w="1606"/>
        <w:gridCol w:w="1606"/>
        <w:gridCol w:w="1602"/>
      </w:tblGrid>
      <w:tr>
        <w:trPr>
          <w:trHeight w:val="1051" w:hRule="exact"/>
        </w:trPr>
        <w:tc>
          <w:tcPr>
            <w:tcW w:w="3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1061" w:right="0"/>
              <w:jc w:val="left"/>
              <w:rPr>
                <w:rFonts w:ascii="宋体" w:hAnsi="宋体" w:cs="宋体" w:eastAsia="宋体" w:hint="default"/>
                <w:sz w:val="18"/>
                <w:szCs w:val="18"/>
              </w:rPr>
            </w:pPr>
            <w:r>
              <w:rPr>
                <w:rFonts w:ascii="宋体" w:hAnsi="宋体" w:cs="宋体" w:eastAsia="宋体" w:hint="default"/>
                <w:sz w:val="18"/>
                <w:szCs w:val="18"/>
              </w:rPr>
              <w:t>公司合并报表</w:t>
            </w:r>
          </w:p>
        </w:tc>
        <w:tc>
          <w:tcPr>
            <w:tcW w:w="1605" w:type="dxa"/>
            <w:tcBorders>
              <w:top w:val="single" w:sz="6" w:space="0" w:color="000000"/>
              <w:left w:val="single" w:sz="6" w:space="0" w:color="000000"/>
              <w:bottom w:val="single" w:sz="6" w:space="0" w:color="000000"/>
              <w:right w:val="single" w:sz="6" w:space="0" w:color="000000"/>
            </w:tcBorders>
          </w:tcPr>
          <w:p>
            <w:pPr>
              <w:pStyle w:val="TableParagraph"/>
              <w:spacing w:line="309" w:lineRule="auto" w:before="60"/>
              <w:ind w:left="29" w:right="29"/>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31 </w:t>
            </w:r>
            <w:r>
              <w:rPr>
                <w:rFonts w:ascii="宋体" w:hAnsi="宋体" w:cs="宋体" w:eastAsia="宋体" w:hint="default"/>
                <w:sz w:val="18"/>
                <w:szCs w:val="18"/>
              </w:rPr>
              <w:t>日按 原金融工具准则列 示的账面价值</w:t>
            </w:r>
          </w:p>
        </w:tc>
        <w:tc>
          <w:tcPr>
            <w:tcW w:w="16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525" w:right="0"/>
              <w:jc w:val="left"/>
              <w:rPr>
                <w:rFonts w:ascii="宋体" w:hAnsi="宋体" w:cs="宋体" w:eastAsia="宋体" w:hint="default"/>
                <w:sz w:val="18"/>
                <w:szCs w:val="18"/>
              </w:rPr>
            </w:pPr>
            <w:r>
              <w:rPr>
                <w:rFonts w:ascii="宋体" w:hAnsi="宋体" w:cs="宋体" w:eastAsia="宋体" w:hint="default"/>
                <w:sz w:val="18"/>
                <w:szCs w:val="18"/>
              </w:rPr>
              <w:t>重分类</w:t>
            </w:r>
          </w:p>
        </w:tc>
        <w:tc>
          <w:tcPr>
            <w:tcW w:w="16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435" w:right="0"/>
              <w:jc w:val="left"/>
              <w:rPr>
                <w:rFonts w:ascii="宋体" w:hAnsi="宋体" w:cs="宋体" w:eastAsia="宋体" w:hint="default"/>
                <w:sz w:val="18"/>
                <w:szCs w:val="18"/>
              </w:rPr>
            </w:pPr>
            <w:r>
              <w:rPr>
                <w:rFonts w:ascii="宋体" w:hAnsi="宋体" w:cs="宋体" w:eastAsia="宋体" w:hint="default"/>
                <w:sz w:val="18"/>
                <w:szCs w:val="18"/>
              </w:rPr>
              <w:t>重新计量</w:t>
            </w:r>
          </w:p>
        </w:tc>
        <w:tc>
          <w:tcPr>
            <w:tcW w:w="1602" w:type="dxa"/>
            <w:tcBorders>
              <w:top w:val="single" w:sz="6" w:space="0" w:color="000000"/>
              <w:left w:val="single" w:sz="6" w:space="0" w:color="000000"/>
              <w:bottom w:val="single" w:sz="6" w:space="0" w:color="000000"/>
              <w:right w:val="single" w:sz="6" w:space="0" w:color="000000"/>
            </w:tcBorders>
          </w:tcPr>
          <w:p>
            <w:pPr>
              <w:pStyle w:val="TableParagraph"/>
              <w:spacing w:line="309" w:lineRule="auto" w:before="20"/>
              <w:ind w:left="73" w:right="7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r>
              <w:rPr>
                <w:rFonts w:ascii="Times New Roman" w:hAnsi="Times New Roman" w:cs="Times New Roman" w:eastAsia="Times New Roman" w:hint="default"/>
                <w:sz w:val="18"/>
                <w:szCs w:val="18"/>
              </w:rPr>
              <w:t>1</w:t>
            </w:r>
            <w:r>
              <w:rPr>
                <w:rFonts w:ascii="宋体" w:hAnsi="宋体" w:cs="宋体" w:eastAsia="宋体" w:hint="default"/>
                <w:sz w:val="18"/>
                <w:szCs w:val="18"/>
              </w:rPr>
              <w:t>日按新 金融工具准则列示 的账面价值</w:t>
            </w:r>
          </w:p>
        </w:tc>
      </w:tr>
      <w:tr>
        <w:trPr>
          <w:trHeight w:val="427" w:hRule="exact"/>
        </w:trPr>
        <w:tc>
          <w:tcPr>
            <w:tcW w:w="3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以摊余成本计量的金融资产</w:t>
            </w:r>
          </w:p>
        </w:tc>
        <w:tc>
          <w:tcPr>
            <w:tcW w:w="1605" w:type="dxa"/>
            <w:tcBorders>
              <w:top w:val="single" w:sz="6" w:space="0" w:color="000000"/>
              <w:left w:val="single" w:sz="6" w:space="0" w:color="000000"/>
              <w:bottom w:val="single" w:sz="6" w:space="0" w:color="000000"/>
              <w:right w:val="single" w:sz="6" w:space="0" w:color="000000"/>
            </w:tcBorders>
          </w:tcPr>
          <w:p>
            <w:pPr/>
          </w:p>
        </w:tc>
        <w:tc>
          <w:tcPr>
            <w:tcW w:w="1606" w:type="dxa"/>
            <w:tcBorders>
              <w:top w:val="single" w:sz="6" w:space="0" w:color="000000"/>
              <w:left w:val="single" w:sz="6" w:space="0" w:color="000000"/>
              <w:bottom w:val="single" w:sz="6" w:space="0" w:color="000000"/>
              <w:right w:val="single" w:sz="6" w:space="0" w:color="000000"/>
            </w:tcBorders>
          </w:tcPr>
          <w:p>
            <w:pPr/>
          </w:p>
        </w:tc>
        <w:tc>
          <w:tcPr>
            <w:tcW w:w="1606" w:type="dxa"/>
            <w:tcBorders>
              <w:top w:val="single" w:sz="6" w:space="0" w:color="000000"/>
              <w:left w:val="single" w:sz="6" w:space="0" w:color="000000"/>
              <w:bottom w:val="single" w:sz="6" w:space="0" w:color="000000"/>
              <w:right w:val="single" w:sz="6" w:space="0" w:color="000000"/>
            </w:tcBorders>
          </w:tcPr>
          <w:p>
            <w:pPr/>
          </w:p>
        </w:tc>
        <w:tc>
          <w:tcPr>
            <w:tcW w:w="1602" w:type="dxa"/>
            <w:tcBorders>
              <w:top w:val="single" w:sz="6" w:space="0" w:color="000000"/>
              <w:left w:val="single" w:sz="6" w:space="0" w:color="000000"/>
              <w:bottom w:val="single" w:sz="6" w:space="0" w:color="000000"/>
              <w:right w:val="single" w:sz="6" w:space="0" w:color="000000"/>
            </w:tcBorders>
          </w:tcPr>
          <w:p>
            <w:pPr/>
          </w:p>
        </w:tc>
      </w:tr>
      <w:tr>
        <w:trPr>
          <w:trHeight w:val="739" w:hRule="exact"/>
        </w:trPr>
        <w:tc>
          <w:tcPr>
            <w:tcW w:w="3218"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60"/>
              <w:ind w:left="2" w:right="3"/>
              <w:jc w:val="left"/>
              <w:rPr>
                <w:rFonts w:ascii="宋体" w:hAnsi="宋体" w:cs="宋体" w:eastAsia="宋体" w:hint="default"/>
                <w:sz w:val="18"/>
                <w:szCs w:val="18"/>
              </w:rPr>
            </w:pPr>
            <w:r>
              <w:rPr>
                <w:rFonts w:ascii="宋体" w:hAnsi="宋体" w:cs="宋体" w:eastAsia="宋体" w:hint="default"/>
                <w:spacing w:val="12"/>
                <w:sz w:val="18"/>
                <w:szCs w:val="18"/>
              </w:rPr>
              <w:t>应收票据(按原金融工具准则列示的余</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额)</w:t>
            </w:r>
          </w:p>
        </w:tc>
        <w:tc>
          <w:tcPr>
            <w:tcW w:w="16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right"/>
              <w:rPr>
                <w:rFonts w:ascii="Times New Roman" w:hAnsi="Times New Roman" w:cs="Times New Roman" w:eastAsia="Times New Roman" w:hint="default"/>
                <w:sz w:val="18"/>
                <w:szCs w:val="18"/>
              </w:rPr>
            </w:pPr>
            <w:r>
              <w:rPr>
                <w:rFonts w:ascii="Times New Roman"/>
                <w:sz w:val="18"/>
              </w:rPr>
              <w:t>51,820.94</w:t>
            </w:r>
          </w:p>
        </w:tc>
        <w:tc>
          <w:tcPr>
            <w:tcW w:w="1606" w:type="dxa"/>
            <w:tcBorders>
              <w:top w:val="single" w:sz="6" w:space="0" w:color="000000"/>
              <w:left w:val="single" w:sz="6" w:space="0" w:color="000000"/>
              <w:bottom w:val="single" w:sz="6" w:space="0" w:color="000000"/>
              <w:right w:val="single" w:sz="6" w:space="0" w:color="000000"/>
            </w:tcBorders>
          </w:tcPr>
          <w:p>
            <w:pPr/>
          </w:p>
        </w:tc>
        <w:tc>
          <w:tcPr>
            <w:tcW w:w="1606" w:type="dxa"/>
            <w:tcBorders>
              <w:top w:val="single" w:sz="6" w:space="0" w:color="000000"/>
              <w:left w:val="single" w:sz="6" w:space="0" w:color="000000"/>
              <w:bottom w:val="single" w:sz="6" w:space="0" w:color="000000"/>
              <w:right w:val="single" w:sz="6" w:space="0" w:color="000000"/>
            </w:tcBorders>
          </w:tcPr>
          <w:p>
            <w:pPr/>
          </w:p>
        </w:tc>
        <w:tc>
          <w:tcPr>
            <w:tcW w:w="1602" w:type="dxa"/>
            <w:tcBorders>
              <w:top w:val="single" w:sz="6" w:space="0" w:color="000000"/>
              <w:left w:val="single" w:sz="6" w:space="0" w:color="000000"/>
              <w:bottom w:val="single" w:sz="6" w:space="0" w:color="000000"/>
              <w:right w:val="single" w:sz="6" w:space="0" w:color="000000"/>
            </w:tcBorders>
          </w:tcPr>
          <w:p>
            <w:pPr/>
          </w:p>
        </w:tc>
      </w:tr>
      <w:tr>
        <w:trPr>
          <w:trHeight w:val="427" w:hRule="exact"/>
        </w:trPr>
        <w:tc>
          <w:tcPr>
            <w:tcW w:w="3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减：转出至应收款项融资</w:t>
            </w:r>
          </w:p>
        </w:tc>
        <w:tc>
          <w:tcPr>
            <w:tcW w:w="1605" w:type="dxa"/>
            <w:tcBorders>
              <w:top w:val="single" w:sz="6" w:space="0" w:color="000000"/>
              <w:left w:val="single" w:sz="6" w:space="0" w:color="000000"/>
              <w:bottom w:val="single" w:sz="6" w:space="0" w:color="000000"/>
              <w:right w:val="single" w:sz="6" w:space="0" w:color="000000"/>
            </w:tcBorders>
          </w:tcPr>
          <w:p>
            <w:pPr/>
          </w:p>
        </w:tc>
        <w:tc>
          <w:tcPr>
            <w:tcW w:w="16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51,820.94</w:t>
            </w:r>
          </w:p>
        </w:tc>
        <w:tc>
          <w:tcPr>
            <w:tcW w:w="1606" w:type="dxa"/>
            <w:tcBorders>
              <w:top w:val="single" w:sz="6" w:space="0" w:color="000000"/>
              <w:left w:val="single" w:sz="6" w:space="0" w:color="000000"/>
              <w:bottom w:val="single" w:sz="6" w:space="0" w:color="000000"/>
              <w:right w:val="single" w:sz="6" w:space="0" w:color="000000"/>
            </w:tcBorders>
          </w:tcPr>
          <w:p>
            <w:pPr/>
          </w:p>
        </w:tc>
        <w:tc>
          <w:tcPr>
            <w:tcW w:w="1602" w:type="dxa"/>
            <w:tcBorders>
              <w:top w:val="single" w:sz="6" w:space="0" w:color="000000"/>
              <w:left w:val="single" w:sz="6" w:space="0" w:color="000000"/>
              <w:bottom w:val="single" w:sz="6" w:space="0" w:color="000000"/>
              <w:right w:val="single" w:sz="6" w:space="0" w:color="000000"/>
            </w:tcBorders>
          </w:tcPr>
          <w:p>
            <w:pPr/>
          </w:p>
        </w:tc>
      </w:tr>
      <w:tr>
        <w:trPr>
          <w:trHeight w:val="739" w:hRule="exact"/>
        </w:trPr>
        <w:tc>
          <w:tcPr>
            <w:tcW w:w="3218"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60"/>
              <w:ind w:left="2" w:right="2"/>
              <w:jc w:val="left"/>
              <w:rPr>
                <w:rFonts w:ascii="宋体" w:hAnsi="宋体" w:cs="宋体" w:eastAsia="宋体" w:hint="default"/>
                <w:sz w:val="18"/>
                <w:szCs w:val="18"/>
              </w:rPr>
            </w:pPr>
            <w:r>
              <w:rPr>
                <w:rFonts w:ascii="宋体" w:hAnsi="宋体" w:cs="宋体" w:eastAsia="宋体" w:hint="default"/>
                <w:spacing w:val="2"/>
                <w:sz w:val="18"/>
                <w:szCs w:val="18"/>
              </w:rPr>
              <w:t>应收款项融资(按新金融工具准则列示的</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余额)</w:t>
            </w:r>
          </w:p>
        </w:tc>
        <w:tc>
          <w:tcPr>
            <w:tcW w:w="1605" w:type="dxa"/>
            <w:tcBorders>
              <w:top w:val="single" w:sz="6" w:space="0" w:color="000000"/>
              <w:left w:val="single" w:sz="6" w:space="0" w:color="000000"/>
              <w:bottom w:val="single" w:sz="6" w:space="0" w:color="000000"/>
              <w:right w:val="single" w:sz="6" w:space="0" w:color="000000"/>
            </w:tcBorders>
          </w:tcPr>
          <w:p>
            <w:pPr/>
          </w:p>
        </w:tc>
        <w:tc>
          <w:tcPr>
            <w:tcW w:w="1606" w:type="dxa"/>
            <w:tcBorders>
              <w:top w:val="single" w:sz="6" w:space="0" w:color="000000"/>
              <w:left w:val="single" w:sz="6" w:space="0" w:color="000000"/>
              <w:bottom w:val="single" w:sz="6" w:space="0" w:color="000000"/>
              <w:right w:val="single" w:sz="6" w:space="0" w:color="000000"/>
            </w:tcBorders>
          </w:tcPr>
          <w:p>
            <w:pPr/>
          </w:p>
        </w:tc>
        <w:tc>
          <w:tcPr>
            <w:tcW w:w="1606" w:type="dxa"/>
            <w:tcBorders>
              <w:top w:val="single" w:sz="6" w:space="0" w:color="000000"/>
              <w:left w:val="single" w:sz="6" w:space="0" w:color="000000"/>
              <w:bottom w:val="single" w:sz="6" w:space="0" w:color="000000"/>
              <w:right w:val="single" w:sz="6" w:space="0" w:color="000000"/>
            </w:tcBorders>
          </w:tcPr>
          <w:p>
            <w:pPr/>
          </w:p>
        </w:tc>
        <w:tc>
          <w:tcPr>
            <w:tcW w:w="16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51,820.94</w:t>
            </w:r>
          </w:p>
        </w:tc>
      </w:tr>
      <w:tr>
        <w:trPr>
          <w:trHeight w:val="427" w:hRule="exact"/>
        </w:trPr>
        <w:tc>
          <w:tcPr>
            <w:tcW w:w="3218" w:type="dxa"/>
            <w:tcBorders>
              <w:top w:val="single" w:sz="6" w:space="0" w:color="000000"/>
              <w:left w:val="single" w:sz="6" w:space="0" w:color="000000"/>
              <w:bottom w:val="single" w:sz="6" w:space="0" w:color="000000"/>
              <w:right w:val="single" w:sz="6" w:space="0" w:color="000000"/>
            </w:tcBorders>
          </w:tcPr>
          <w:p>
            <w:pPr/>
          </w:p>
        </w:tc>
        <w:tc>
          <w:tcPr>
            <w:tcW w:w="1605" w:type="dxa"/>
            <w:tcBorders>
              <w:top w:val="single" w:sz="6" w:space="0" w:color="000000"/>
              <w:left w:val="single" w:sz="6" w:space="0" w:color="000000"/>
              <w:bottom w:val="single" w:sz="6" w:space="0" w:color="000000"/>
              <w:right w:val="single" w:sz="6" w:space="0" w:color="000000"/>
            </w:tcBorders>
          </w:tcPr>
          <w:p>
            <w:pPr/>
          </w:p>
        </w:tc>
        <w:tc>
          <w:tcPr>
            <w:tcW w:w="1606" w:type="dxa"/>
            <w:tcBorders>
              <w:top w:val="single" w:sz="6" w:space="0" w:color="000000"/>
              <w:left w:val="single" w:sz="6" w:space="0" w:color="000000"/>
              <w:bottom w:val="single" w:sz="6" w:space="0" w:color="000000"/>
              <w:right w:val="single" w:sz="6" w:space="0" w:color="000000"/>
            </w:tcBorders>
          </w:tcPr>
          <w:p>
            <w:pPr/>
          </w:p>
        </w:tc>
        <w:tc>
          <w:tcPr>
            <w:tcW w:w="1606" w:type="dxa"/>
            <w:tcBorders>
              <w:top w:val="single" w:sz="6" w:space="0" w:color="000000"/>
              <w:left w:val="single" w:sz="6" w:space="0" w:color="000000"/>
              <w:bottom w:val="single" w:sz="6" w:space="0" w:color="000000"/>
              <w:right w:val="single" w:sz="6" w:space="0" w:color="000000"/>
            </w:tcBorders>
          </w:tcPr>
          <w:p>
            <w:pPr/>
          </w:p>
        </w:tc>
        <w:tc>
          <w:tcPr>
            <w:tcW w:w="1602" w:type="dxa"/>
            <w:tcBorders>
              <w:top w:val="single" w:sz="6" w:space="0" w:color="000000"/>
              <w:left w:val="single" w:sz="6" w:space="0" w:color="000000"/>
              <w:bottom w:val="single" w:sz="6" w:space="0" w:color="000000"/>
              <w:right w:val="single" w:sz="6" w:space="0" w:color="000000"/>
            </w:tcBorders>
          </w:tcPr>
          <w:p>
            <w:pPr/>
          </w:p>
        </w:tc>
      </w:tr>
      <w:tr>
        <w:trPr>
          <w:trHeight w:val="427" w:hRule="exact"/>
        </w:trPr>
        <w:tc>
          <w:tcPr>
            <w:tcW w:w="3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以公允价值计量的金融资产</w:t>
            </w:r>
          </w:p>
        </w:tc>
        <w:tc>
          <w:tcPr>
            <w:tcW w:w="1605" w:type="dxa"/>
            <w:tcBorders>
              <w:top w:val="single" w:sz="6" w:space="0" w:color="000000"/>
              <w:left w:val="single" w:sz="6" w:space="0" w:color="000000"/>
              <w:bottom w:val="single" w:sz="6" w:space="0" w:color="000000"/>
              <w:right w:val="single" w:sz="6" w:space="0" w:color="000000"/>
            </w:tcBorders>
          </w:tcPr>
          <w:p>
            <w:pPr/>
          </w:p>
        </w:tc>
        <w:tc>
          <w:tcPr>
            <w:tcW w:w="1606" w:type="dxa"/>
            <w:tcBorders>
              <w:top w:val="single" w:sz="6" w:space="0" w:color="000000"/>
              <w:left w:val="single" w:sz="6" w:space="0" w:color="000000"/>
              <w:bottom w:val="single" w:sz="6" w:space="0" w:color="000000"/>
              <w:right w:val="single" w:sz="6" w:space="0" w:color="000000"/>
            </w:tcBorders>
          </w:tcPr>
          <w:p>
            <w:pPr/>
          </w:p>
        </w:tc>
        <w:tc>
          <w:tcPr>
            <w:tcW w:w="1606" w:type="dxa"/>
            <w:tcBorders>
              <w:top w:val="single" w:sz="6" w:space="0" w:color="000000"/>
              <w:left w:val="single" w:sz="6" w:space="0" w:color="000000"/>
              <w:bottom w:val="single" w:sz="6" w:space="0" w:color="000000"/>
              <w:right w:val="single" w:sz="6" w:space="0" w:color="000000"/>
            </w:tcBorders>
          </w:tcPr>
          <w:p>
            <w:pPr/>
          </w:p>
        </w:tc>
        <w:tc>
          <w:tcPr>
            <w:tcW w:w="1602" w:type="dxa"/>
            <w:tcBorders>
              <w:top w:val="single" w:sz="6" w:space="0" w:color="000000"/>
              <w:left w:val="single" w:sz="6" w:space="0" w:color="000000"/>
              <w:bottom w:val="single" w:sz="6" w:space="0" w:color="000000"/>
              <w:right w:val="single" w:sz="6" w:space="0" w:color="000000"/>
            </w:tcBorders>
          </w:tcPr>
          <w:p>
            <w:pPr/>
          </w:p>
        </w:tc>
      </w:tr>
      <w:tr>
        <w:trPr>
          <w:trHeight w:val="739" w:hRule="exact"/>
        </w:trPr>
        <w:tc>
          <w:tcPr>
            <w:tcW w:w="3218"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60"/>
              <w:ind w:left="2" w:right="2"/>
              <w:jc w:val="left"/>
              <w:rPr>
                <w:rFonts w:ascii="宋体" w:hAnsi="宋体" w:cs="宋体" w:eastAsia="宋体" w:hint="default"/>
                <w:sz w:val="18"/>
                <w:szCs w:val="18"/>
              </w:rPr>
            </w:pPr>
            <w:r>
              <w:rPr>
                <w:rFonts w:ascii="宋体" w:hAnsi="宋体" w:cs="宋体" w:eastAsia="宋体" w:hint="default"/>
                <w:spacing w:val="2"/>
                <w:sz w:val="18"/>
                <w:szCs w:val="18"/>
              </w:rPr>
              <w:t>其他流动资产(按原金融工具准则列示的</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余额)</w:t>
            </w:r>
          </w:p>
        </w:tc>
        <w:tc>
          <w:tcPr>
            <w:tcW w:w="16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right"/>
              <w:rPr>
                <w:rFonts w:ascii="Times New Roman" w:hAnsi="Times New Roman" w:cs="Times New Roman" w:eastAsia="Times New Roman" w:hint="default"/>
                <w:sz w:val="18"/>
                <w:szCs w:val="18"/>
              </w:rPr>
            </w:pPr>
            <w:r>
              <w:rPr>
                <w:rFonts w:ascii="Times New Roman"/>
                <w:sz w:val="18"/>
              </w:rPr>
              <w:t>238,350,000.00</w:t>
            </w:r>
          </w:p>
        </w:tc>
        <w:tc>
          <w:tcPr>
            <w:tcW w:w="1606" w:type="dxa"/>
            <w:tcBorders>
              <w:top w:val="single" w:sz="6" w:space="0" w:color="000000"/>
              <w:left w:val="single" w:sz="6" w:space="0" w:color="000000"/>
              <w:bottom w:val="single" w:sz="6" w:space="0" w:color="000000"/>
              <w:right w:val="single" w:sz="6" w:space="0" w:color="000000"/>
            </w:tcBorders>
          </w:tcPr>
          <w:p>
            <w:pPr/>
          </w:p>
        </w:tc>
        <w:tc>
          <w:tcPr>
            <w:tcW w:w="1606" w:type="dxa"/>
            <w:tcBorders>
              <w:top w:val="single" w:sz="6" w:space="0" w:color="000000"/>
              <w:left w:val="single" w:sz="6" w:space="0" w:color="000000"/>
              <w:bottom w:val="single" w:sz="6" w:space="0" w:color="000000"/>
              <w:right w:val="single" w:sz="6" w:space="0" w:color="000000"/>
            </w:tcBorders>
          </w:tcPr>
          <w:p>
            <w:pPr/>
          </w:p>
        </w:tc>
        <w:tc>
          <w:tcPr>
            <w:tcW w:w="1602" w:type="dxa"/>
            <w:tcBorders>
              <w:top w:val="single" w:sz="6" w:space="0" w:color="000000"/>
              <w:left w:val="single" w:sz="6" w:space="0" w:color="000000"/>
              <w:bottom w:val="single" w:sz="6" w:space="0" w:color="000000"/>
              <w:right w:val="single" w:sz="6" w:space="0" w:color="000000"/>
            </w:tcBorders>
          </w:tcPr>
          <w:p>
            <w:pPr/>
          </w:p>
        </w:tc>
      </w:tr>
      <w:tr>
        <w:trPr>
          <w:trHeight w:val="427" w:hRule="exact"/>
        </w:trPr>
        <w:tc>
          <w:tcPr>
            <w:tcW w:w="3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left="2" w:right="0"/>
              <w:jc w:val="left"/>
              <w:rPr>
                <w:rFonts w:ascii="宋体" w:hAnsi="宋体" w:cs="宋体" w:eastAsia="宋体" w:hint="default"/>
                <w:sz w:val="18"/>
                <w:szCs w:val="18"/>
              </w:rPr>
            </w:pPr>
            <w:r>
              <w:rPr>
                <w:rFonts w:ascii="宋体" w:hAnsi="宋体" w:cs="宋体" w:eastAsia="宋体" w:hint="default"/>
                <w:sz w:val="18"/>
                <w:szCs w:val="18"/>
              </w:rPr>
              <w:t>减：转出至交易性金融资产</w:t>
            </w:r>
          </w:p>
        </w:tc>
        <w:tc>
          <w:tcPr>
            <w:tcW w:w="1605" w:type="dxa"/>
            <w:tcBorders>
              <w:top w:val="single" w:sz="6" w:space="0" w:color="000000"/>
              <w:left w:val="single" w:sz="6" w:space="0" w:color="000000"/>
              <w:bottom w:val="single" w:sz="6" w:space="0" w:color="000000"/>
              <w:right w:val="single" w:sz="6" w:space="0" w:color="000000"/>
            </w:tcBorders>
          </w:tcPr>
          <w:p>
            <w:pPr/>
          </w:p>
        </w:tc>
        <w:tc>
          <w:tcPr>
            <w:tcW w:w="16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238,350,000.00</w:t>
            </w:r>
          </w:p>
        </w:tc>
        <w:tc>
          <w:tcPr>
            <w:tcW w:w="1606" w:type="dxa"/>
            <w:tcBorders>
              <w:top w:val="single" w:sz="6" w:space="0" w:color="000000"/>
              <w:left w:val="single" w:sz="6" w:space="0" w:color="000000"/>
              <w:bottom w:val="single" w:sz="6" w:space="0" w:color="000000"/>
              <w:right w:val="single" w:sz="6" w:space="0" w:color="000000"/>
            </w:tcBorders>
          </w:tcPr>
          <w:p>
            <w:pPr/>
          </w:p>
        </w:tc>
        <w:tc>
          <w:tcPr>
            <w:tcW w:w="1602" w:type="dxa"/>
            <w:tcBorders>
              <w:top w:val="single" w:sz="6" w:space="0" w:color="000000"/>
              <w:left w:val="single" w:sz="6" w:space="0" w:color="000000"/>
              <w:bottom w:val="single" w:sz="6" w:space="0" w:color="000000"/>
              <w:right w:val="single" w:sz="6" w:space="0" w:color="000000"/>
            </w:tcBorders>
          </w:tcPr>
          <w:p>
            <w:pPr/>
          </w:p>
        </w:tc>
      </w:tr>
      <w:tr>
        <w:trPr>
          <w:trHeight w:val="739" w:hRule="exact"/>
        </w:trPr>
        <w:tc>
          <w:tcPr>
            <w:tcW w:w="3218" w:type="dxa"/>
            <w:tcBorders>
              <w:top w:val="single" w:sz="6" w:space="0" w:color="000000"/>
              <w:left w:val="single" w:sz="6" w:space="0" w:color="000000"/>
              <w:bottom w:val="single" w:sz="6" w:space="0" w:color="000000"/>
              <w:right w:val="single" w:sz="6" w:space="0" w:color="000000"/>
            </w:tcBorders>
          </w:tcPr>
          <w:p>
            <w:pPr>
              <w:pStyle w:val="TableParagraph"/>
              <w:spacing w:line="319" w:lineRule="auto" w:before="60"/>
              <w:ind w:left="2" w:right="2"/>
              <w:jc w:val="left"/>
              <w:rPr>
                <w:rFonts w:ascii="宋体" w:hAnsi="宋体" w:cs="宋体" w:eastAsia="宋体" w:hint="default"/>
                <w:sz w:val="18"/>
                <w:szCs w:val="18"/>
              </w:rPr>
            </w:pPr>
            <w:r>
              <w:rPr>
                <w:rFonts w:ascii="宋体" w:hAnsi="宋体" w:cs="宋体" w:eastAsia="宋体" w:hint="default"/>
                <w:spacing w:val="2"/>
                <w:sz w:val="18"/>
                <w:szCs w:val="18"/>
              </w:rPr>
              <w:t>交易性金融资产(按新金融工具准则列示</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的余额)</w:t>
            </w:r>
          </w:p>
        </w:tc>
        <w:tc>
          <w:tcPr>
            <w:tcW w:w="1605" w:type="dxa"/>
            <w:tcBorders>
              <w:top w:val="single" w:sz="6" w:space="0" w:color="000000"/>
              <w:left w:val="single" w:sz="6" w:space="0" w:color="000000"/>
              <w:bottom w:val="single" w:sz="6" w:space="0" w:color="000000"/>
              <w:right w:val="single" w:sz="6" w:space="0" w:color="000000"/>
            </w:tcBorders>
          </w:tcPr>
          <w:p>
            <w:pPr/>
          </w:p>
        </w:tc>
        <w:tc>
          <w:tcPr>
            <w:tcW w:w="1606" w:type="dxa"/>
            <w:tcBorders>
              <w:top w:val="single" w:sz="6" w:space="0" w:color="000000"/>
              <w:left w:val="single" w:sz="6" w:space="0" w:color="000000"/>
              <w:bottom w:val="single" w:sz="6" w:space="0" w:color="000000"/>
              <w:right w:val="single" w:sz="6" w:space="0" w:color="000000"/>
            </w:tcBorders>
          </w:tcPr>
          <w:p>
            <w:pPr/>
          </w:p>
        </w:tc>
        <w:tc>
          <w:tcPr>
            <w:tcW w:w="1606" w:type="dxa"/>
            <w:tcBorders>
              <w:top w:val="single" w:sz="6" w:space="0" w:color="000000"/>
              <w:left w:val="single" w:sz="6" w:space="0" w:color="000000"/>
              <w:bottom w:val="single" w:sz="6" w:space="0" w:color="000000"/>
              <w:right w:val="single" w:sz="6" w:space="0" w:color="000000"/>
            </w:tcBorders>
          </w:tcPr>
          <w:p>
            <w:pPr/>
          </w:p>
        </w:tc>
        <w:tc>
          <w:tcPr>
            <w:tcW w:w="16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238,350,000.00</w:t>
            </w:r>
          </w:p>
        </w:tc>
      </w:tr>
      <w:tr>
        <w:trPr>
          <w:trHeight w:val="427" w:hRule="exact"/>
        </w:trPr>
        <w:tc>
          <w:tcPr>
            <w:tcW w:w="3218" w:type="dxa"/>
            <w:tcBorders>
              <w:top w:val="single" w:sz="6" w:space="0" w:color="000000"/>
              <w:left w:val="single" w:sz="6" w:space="0" w:color="000000"/>
              <w:bottom w:val="single" w:sz="6" w:space="0" w:color="000000"/>
              <w:right w:val="single" w:sz="6" w:space="0" w:color="000000"/>
            </w:tcBorders>
          </w:tcPr>
          <w:p>
            <w:pPr/>
          </w:p>
        </w:tc>
        <w:tc>
          <w:tcPr>
            <w:tcW w:w="1605" w:type="dxa"/>
            <w:tcBorders>
              <w:top w:val="single" w:sz="6" w:space="0" w:color="000000"/>
              <w:left w:val="single" w:sz="6" w:space="0" w:color="000000"/>
              <w:bottom w:val="single" w:sz="6" w:space="0" w:color="000000"/>
              <w:right w:val="single" w:sz="6" w:space="0" w:color="000000"/>
            </w:tcBorders>
          </w:tcPr>
          <w:p>
            <w:pPr/>
          </w:p>
        </w:tc>
        <w:tc>
          <w:tcPr>
            <w:tcW w:w="1606" w:type="dxa"/>
            <w:tcBorders>
              <w:top w:val="single" w:sz="6" w:space="0" w:color="000000"/>
              <w:left w:val="single" w:sz="6" w:space="0" w:color="000000"/>
              <w:bottom w:val="single" w:sz="6" w:space="0" w:color="000000"/>
              <w:right w:val="single" w:sz="6" w:space="0" w:color="000000"/>
            </w:tcBorders>
          </w:tcPr>
          <w:p>
            <w:pPr/>
          </w:p>
        </w:tc>
        <w:tc>
          <w:tcPr>
            <w:tcW w:w="1606" w:type="dxa"/>
            <w:tcBorders>
              <w:top w:val="single" w:sz="6" w:space="0" w:color="000000"/>
              <w:left w:val="single" w:sz="6" w:space="0" w:color="000000"/>
              <w:bottom w:val="single" w:sz="6" w:space="0" w:color="000000"/>
              <w:right w:val="single" w:sz="6" w:space="0" w:color="000000"/>
            </w:tcBorders>
          </w:tcPr>
          <w:p>
            <w:pPr/>
          </w:p>
        </w:tc>
        <w:tc>
          <w:tcPr>
            <w:tcW w:w="1602" w:type="dxa"/>
            <w:tcBorders>
              <w:top w:val="single" w:sz="6" w:space="0" w:color="000000"/>
              <w:left w:val="single" w:sz="6" w:space="0" w:color="000000"/>
              <w:bottom w:val="single" w:sz="6" w:space="0" w:color="000000"/>
              <w:right w:val="single" w:sz="6" w:space="0" w:color="000000"/>
            </w:tcBorders>
          </w:tcPr>
          <w:p>
            <w:pPr/>
          </w:p>
        </w:tc>
      </w:tr>
      <w:tr>
        <w:trPr>
          <w:trHeight w:val="739" w:hRule="exact"/>
        </w:trPr>
        <w:tc>
          <w:tcPr>
            <w:tcW w:w="3218"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9"/>
              <w:ind w:left="2" w:right="3"/>
              <w:jc w:val="left"/>
              <w:rPr>
                <w:rFonts w:ascii="宋体" w:hAnsi="宋体" w:cs="宋体" w:eastAsia="宋体" w:hint="default"/>
                <w:sz w:val="18"/>
                <w:szCs w:val="18"/>
              </w:rPr>
            </w:pPr>
            <w:r>
              <w:rPr>
                <w:rFonts w:ascii="宋体" w:hAnsi="宋体" w:cs="宋体" w:eastAsia="宋体" w:hint="default"/>
                <w:spacing w:val="12"/>
                <w:sz w:val="18"/>
                <w:szCs w:val="18"/>
              </w:rPr>
              <w:t>股权投资(按原金融工具准则列示的余</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额)</w:t>
            </w:r>
          </w:p>
        </w:tc>
        <w:tc>
          <w:tcPr>
            <w:tcW w:w="16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right"/>
              <w:rPr>
                <w:rFonts w:ascii="Times New Roman" w:hAnsi="Times New Roman" w:cs="Times New Roman" w:eastAsia="Times New Roman" w:hint="default"/>
                <w:sz w:val="18"/>
                <w:szCs w:val="18"/>
              </w:rPr>
            </w:pPr>
            <w:r>
              <w:rPr>
                <w:rFonts w:ascii="Times New Roman"/>
                <w:sz w:val="18"/>
              </w:rPr>
              <w:t>21,030,000.00</w:t>
            </w:r>
          </w:p>
        </w:tc>
        <w:tc>
          <w:tcPr>
            <w:tcW w:w="1606" w:type="dxa"/>
            <w:tcBorders>
              <w:top w:val="single" w:sz="6" w:space="0" w:color="000000"/>
              <w:left w:val="single" w:sz="6" w:space="0" w:color="000000"/>
              <w:bottom w:val="single" w:sz="6" w:space="0" w:color="000000"/>
              <w:right w:val="single" w:sz="6" w:space="0" w:color="000000"/>
            </w:tcBorders>
          </w:tcPr>
          <w:p>
            <w:pPr/>
          </w:p>
        </w:tc>
        <w:tc>
          <w:tcPr>
            <w:tcW w:w="1606" w:type="dxa"/>
            <w:tcBorders>
              <w:top w:val="single" w:sz="6" w:space="0" w:color="000000"/>
              <w:left w:val="single" w:sz="6" w:space="0" w:color="000000"/>
              <w:bottom w:val="single" w:sz="6" w:space="0" w:color="000000"/>
              <w:right w:val="single" w:sz="6" w:space="0" w:color="000000"/>
            </w:tcBorders>
          </w:tcPr>
          <w:p>
            <w:pPr/>
          </w:p>
        </w:tc>
        <w:tc>
          <w:tcPr>
            <w:tcW w:w="1602" w:type="dxa"/>
            <w:tcBorders>
              <w:top w:val="single" w:sz="6" w:space="0" w:color="000000"/>
              <w:left w:val="single" w:sz="6" w:space="0" w:color="000000"/>
              <w:bottom w:val="single" w:sz="6" w:space="0" w:color="000000"/>
              <w:right w:val="single" w:sz="6" w:space="0" w:color="000000"/>
            </w:tcBorders>
          </w:tcPr>
          <w:p>
            <w:pPr/>
          </w:p>
        </w:tc>
      </w:tr>
      <w:tr>
        <w:trPr>
          <w:trHeight w:val="427" w:hRule="exact"/>
        </w:trPr>
        <w:tc>
          <w:tcPr>
            <w:tcW w:w="3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减：转出至其他权益工具投资</w:t>
            </w:r>
          </w:p>
        </w:tc>
        <w:tc>
          <w:tcPr>
            <w:tcW w:w="1605" w:type="dxa"/>
            <w:tcBorders>
              <w:top w:val="single" w:sz="6" w:space="0" w:color="000000"/>
              <w:left w:val="single" w:sz="6" w:space="0" w:color="000000"/>
              <w:bottom w:val="single" w:sz="6" w:space="0" w:color="000000"/>
              <w:right w:val="single" w:sz="6" w:space="0" w:color="000000"/>
            </w:tcBorders>
          </w:tcPr>
          <w:p>
            <w:pPr/>
          </w:p>
        </w:tc>
        <w:tc>
          <w:tcPr>
            <w:tcW w:w="16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21,030,000.00</w:t>
            </w:r>
          </w:p>
        </w:tc>
        <w:tc>
          <w:tcPr>
            <w:tcW w:w="1606" w:type="dxa"/>
            <w:tcBorders>
              <w:top w:val="single" w:sz="6" w:space="0" w:color="000000"/>
              <w:left w:val="single" w:sz="6" w:space="0" w:color="000000"/>
              <w:bottom w:val="single" w:sz="6" w:space="0" w:color="000000"/>
              <w:right w:val="single" w:sz="6" w:space="0" w:color="000000"/>
            </w:tcBorders>
          </w:tcPr>
          <w:p>
            <w:pPr/>
          </w:p>
        </w:tc>
        <w:tc>
          <w:tcPr>
            <w:tcW w:w="1602" w:type="dxa"/>
            <w:tcBorders>
              <w:top w:val="single" w:sz="6" w:space="0" w:color="000000"/>
              <w:left w:val="single" w:sz="6" w:space="0" w:color="000000"/>
              <w:bottom w:val="single" w:sz="6" w:space="0" w:color="000000"/>
              <w:right w:val="single" w:sz="6" w:space="0" w:color="000000"/>
            </w:tcBorders>
          </w:tcPr>
          <w:p>
            <w:pPr/>
          </w:p>
        </w:tc>
      </w:tr>
      <w:tr>
        <w:trPr>
          <w:trHeight w:val="738" w:hRule="exact"/>
        </w:trPr>
        <w:tc>
          <w:tcPr>
            <w:tcW w:w="3218"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60"/>
              <w:ind w:left="2" w:right="2"/>
              <w:jc w:val="left"/>
              <w:rPr>
                <w:rFonts w:ascii="宋体" w:hAnsi="宋体" w:cs="宋体" w:eastAsia="宋体" w:hint="default"/>
                <w:sz w:val="18"/>
                <w:szCs w:val="18"/>
              </w:rPr>
            </w:pPr>
            <w:r>
              <w:rPr>
                <w:rFonts w:ascii="宋体" w:hAnsi="宋体" w:cs="宋体" w:eastAsia="宋体" w:hint="default"/>
                <w:spacing w:val="2"/>
                <w:sz w:val="18"/>
                <w:szCs w:val="18"/>
              </w:rPr>
              <w:t>其他权益工具投资(按新金融工具准则列</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示的余额)</w:t>
            </w:r>
          </w:p>
        </w:tc>
        <w:tc>
          <w:tcPr>
            <w:tcW w:w="1605" w:type="dxa"/>
            <w:tcBorders>
              <w:top w:val="single" w:sz="6" w:space="0" w:color="000000"/>
              <w:left w:val="single" w:sz="6" w:space="0" w:color="000000"/>
              <w:bottom w:val="single" w:sz="6" w:space="0" w:color="000000"/>
              <w:right w:val="single" w:sz="6" w:space="0" w:color="000000"/>
            </w:tcBorders>
          </w:tcPr>
          <w:p>
            <w:pPr/>
          </w:p>
        </w:tc>
        <w:tc>
          <w:tcPr>
            <w:tcW w:w="1606" w:type="dxa"/>
            <w:tcBorders>
              <w:top w:val="single" w:sz="6" w:space="0" w:color="000000"/>
              <w:left w:val="single" w:sz="6" w:space="0" w:color="000000"/>
              <w:bottom w:val="single" w:sz="6" w:space="0" w:color="000000"/>
              <w:right w:val="single" w:sz="6" w:space="0" w:color="000000"/>
            </w:tcBorders>
          </w:tcPr>
          <w:p>
            <w:pPr/>
          </w:p>
        </w:tc>
        <w:tc>
          <w:tcPr>
            <w:tcW w:w="1606" w:type="dxa"/>
            <w:tcBorders>
              <w:top w:val="single" w:sz="6" w:space="0" w:color="000000"/>
              <w:left w:val="single" w:sz="6" w:space="0" w:color="000000"/>
              <w:bottom w:val="single" w:sz="6" w:space="0" w:color="000000"/>
              <w:right w:val="single" w:sz="6" w:space="0" w:color="000000"/>
            </w:tcBorders>
          </w:tcPr>
          <w:p>
            <w:pPr/>
          </w:p>
        </w:tc>
        <w:tc>
          <w:tcPr>
            <w:tcW w:w="16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21,030,000.00</w:t>
            </w:r>
          </w:p>
        </w:tc>
      </w:tr>
    </w:tbl>
    <w:p>
      <w:pPr>
        <w:spacing w:after="0" w:line="240" w:lineRule="auto"/>
        <w:jc w:val="right"/>
        <w:rPr>
          <w:rFonts w:ascii="Times New Roman" w:hAnsi="Times New Roman" w:cs="Times New Roman" w:eastAsia="Times New Roman" w:hint="default"/>
          <w:sz w:val="18"/>
          <w:szCs w:val="18"/>
        </w:rPr>
        <w:sectPr>
          <w:pgSz w:w="11910" w:h="16840"/>
          <w:pgMar w:header="906" w:footer="1018" w:top="1100" w:bottom="1200" w:left="1020" w:right="0"/>
        </w:sectPr>
      </w:pPr>
    </w:p>
    <w:p>
      <w:pPr>
        <w:spacing w:line="240" w:lineRule="auto" w:before="7"/>
        <w:rPr>
          <w:rFonts w:ascii="宋体" w:hAnsi="宋体" w:cs="宋体" w:eastAsia="宋体" w:hint="default"/>
          <w:sz w:val="25"/>
          <w:szCs w:val="25"/>
        </w:rPr>
      </w:pPr>
    </w:p>
    <w:tbl>
      <w:tblPr>
        <w:tblW w:w="0" w:type="auto"/>
        <w:jc w:val="left"/>
        <w:tblInd w:w="106" w:type="dxa"/>
        <w:tblLayout w:type="fixed"/>
        <w:tblCellMar>
          <w:top w:w="0" w:type="dxa"/>
          <w:left w:w="0" w:type="dxa"/>
          <w:bottom w:w="0" w:type="dxa"/>
          <w:right w:w="0" w:type="dxa"/>
        </w:tblCellMar>
        <w:tblLook w:val="01E0"/>
      </w:tblPr>
      <w:tblGrid>
        <w:gridCol w:w="3218"/>
        <w:gridCol w:w="1605"/>
        <w:gridCol w:w="1606"/>
        <w:gridCol w:w="1606"/>
        <w:gridCol w:w="1602"/>
      </w:tblGrid>
      <w:tr>
        <w:trPr>
          <w:trHeight w:val="427" w:hRule="exact"/>
        </w:trPr>
        <w:tc>
          <w:tcPr>
            <w:tcW w:w="3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6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462" w:right="0"/>
              <w:jc w:val="left"/>
              <w:rPr>
                <w:rFonts w:ascii="Times New Roman" w:hAnsi="Times New Roman" w:cs="Times New Roman" w:eastAsia="Times New Roman" w:hint="default"/>
                <w:sz w:val="18"/>
                <w:szCs w:val="18"/>
              </w:rPr>
            </w:pPr>
            <w:r>
              <w:rPr>
                <w:rFonts w:ascii="Times New Roman"/>
                <w:sz w:val="18"/>
              </w:rPr>
              <w:t>259,431,820.94</w:t>
            </w:r>
          </w:p>
        </w:tc>
        <w:tc>
          <w:tcPr>
            <w:tcW w:w="16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463" w:right="0"/>
              <w:jc w:val="left"/>
              <w:rPr>
                <w:rFonts w:ascii="Times New Roman" w:hAnsi="Times New Roman" w:cs="Times New Roman" w:eastAsia="Times New Roman" w:hint="default"/>
                <w:sz w:val="18"/>
                <w:szCs w:val="18"/>
              </w:rPr>
            </w:pPr>
            <w:r>
              <w:rPr>
                <w:rFonts w:ascii="Times New Roman"/>
                <w:sz w:val="18"/>
              </w:rPr>
              <w:t>259,431,820.94</w:t>
            </w:r>
          </w:p>
        </w:tc>
        <w:tc>
          <w:tcPr>
            <w:tcW w:w="1606" w:type="dxa"/>
            <w:tcBorders>
              <w:top w:val="single" w:sz="6" w:space="0" w:color="000000"/>
              <w:left w:val="single" w:sz="6" w:space="0" w:color="000000"/>
              <w:bottom w:val="single" w:sz="6" w:space="0" w:color="000000"/>
              <w:right w:val="single" w:sz="6" w:space="0" w:color="000000"/>
            </w:tcBorders>
          </w:tcPr>
          <w:p>
            <w:pPr/>
          </w:p>
        </w:tc>
        <w:tc>
          <w:tcPr>
            <w:tcW w:w="16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459" w:right="0"/>
              <w:jc w:val="left"/>
              <w:rPr>
                <w:rFonts w:ascii="Times New Roman" w:hAnsi="Times New Roman" w:cs="Times New Roman" w:eastAsia="Times New Roman" w:hint="default"/>
                <w:sz w:val="18"/>
                <w:szCs w:val="18"/>
              </w:rPr>
            </w:pPr>
            <w:r>
              <w:rPr>
                <w:rFonts w:ascii="Times New Roman"/>
                <w:sz w:val="18"/>
              </w:rPr>
              <w:t>259,431,820.94</w:t>
            </w:r>
          </w:p>
        </w:tc>
      </w:tr>
    </w:tbl>
    <w:p>
      <w:pPr>
        <w:spacing w:line="240" w:lineRule="auto" w:before="5"/>
        <w:rPr>
          <w:rFonts w:ascii="宋体" w:hAnsi="宋体" w:cs="宋体" w:eastAsia="宋体" w:hint="default"/>
          <w:sz w:val="27"/>
          <w:szCs w:val="27"/>
        </w:rPr>
      </w:pPr>
    </w:p>
    <w:p>
      <w:pPr>
        <w:pStyle w:val="BodyText"/>
        <w:spacing w:line="300" w:lineRule="auto" w:before="44"/>
        <w:ind w:right="1032"/>
        <w:jc w:val="left"/>
      </w:pP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1</w:t>
      </w:r>
      <w:r>
        <w:rPr>
          <w:spacing w:val="-2"/>
        </w:rPr>
        <w:t>月</w:t>
      </w:r>
      <w:r>
        <w:rPr>
          <w:rFonts w:ascii="Times New Roman" w:hAnsi="Times New Roman" w:cs="Times New Roman" w:eastAsia="Times New Roman" w:hint="default"/>
          <w:spacing w:val="-2"/>
        </w:rPr>
        <w:t>1</w:t>
      </w:r>
      <w:r>
        <w:rPr>
          <w:spacing w:val="-2"/>
        </w:rPr>
        <w:t>日，母公司根据新金融工具准则下的计量类别，将原金融资产账面价值调整为新金融工具准则下的账面价值的调</w:t>
      </w:r>
      <w:r>
        <w:rPr>
          <w:spacing w:val="-58"/>
        </w:rPr>
        <w:t> </w:t>
      </w:r>
      <w:r>
        <w:rPr>
          <w:spacing w:val="-58"/>
        </w:rPr>
      </w:r>
      <w:r>
        <w:rPr/>
        <w:t>节表：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8"/>
          <w:szCs w:val="18"/>
        </w:rPr>
      </w:pPr>
    </w:p>
    <w:tbl>
      <w:tblPr>
        <w:tblW w:w="0" w:type="auto"/>
        <w:jc w:val="left"/>
        <w:tblInd w:w="106" w:type="dxa"/>
        <w:tblLayout w:type="fixed"/>
        <w:tblCellMar>
          <w:top w:w="0" w:type="dxa"/>
          <w:left w:w="0" w:type="dxa"/>
          <w:bottom w:w="0" w:type="dxa"/>
          <w:right w:w="0" w:type="dxa"/>
        </w:tblCellMar>
        <w:tblLook w:val="01E0"/>
      </w:tblPr>
      <w:tblGrid>
        <w:gridCol w:w="3218"/>
        <w:gridCol w:w="1605"/>
        <w:gridCol w:w="1606"/>
        <w:gridCol w:w="1606"/>
        <w:gridCol w:w="1602"/>
      </w:tblGrid>
      <w:tr>
        <w:trPr>
          <w:trHeight w:val="1051" w:hRule="exact"/>
        </w:trPr>
        <w:tc>
          <w:tcPr>
            <w:tcW w:w="3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center"/>
              <w:rPr>
                <w:rFonts w:ascii="宋体" w:hAnsi="宋体" w:cs="宋体" w:eastAsia="宋体" w:hint="default"/>
                <w:sz w:val="18"/>
                <w:szCs w:val="18"/>
              </w:rPr>
            </w:pPr>
            <w:r>
              <w:rPr>
                <w:rFonts w:ascii="宋体" w:hAnsi="宋体" w:cs="宋体" w:eastAsia="宋体" w:hint="default"/>
                <w:sz w:val="18"/>
                <w:szCs w:val="18"/>
              </w:rPr>
              <w:t>母公司报表</w:t>
            </w:r>
          </w:p>
        </w:tc>
        <w:tc>
          <w:tcPr>
            <w:tcW w:w="1605" w:type="dxa"/>
            <w:tcBorders>
              <w:top w:val="single" w:sz="6" w:space="0" w:color="000000"/>
              <w:left w:val="single" w:sz="6" w:space="0" w:color="000000"/>
              <w:bottom w:val="single" w:sz="6" w:space="0" w:color="000000"/>
              <w:right w:val="single" w:sz="6" w:space="0" w:color="000000"/>
            </w:tcBorders>
          </w:tcPr>
          <w:p>
            <w:pPr>
              <w:pStyle w:val="TableParagraph"/>
              <w:spacing w:line="309" w:lineRule="auto" w:before="60"/>
              <w:ind w:left="29" w:right="29"/>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31 </w:t>
            </w:r>
            <w:r>
              <w:rPr>
                <w:rFonts w:ascii="宋体" w:hAnsi="宋体" w:cs="宋体" w:eastAsia="宋体" w:hint="default"/>
                <w:sz w:val="18"/>
                <w:szCs w:val="18"/>
              </w:rPr>
              <w:t>日按 原金融工具准则列 示的账面价值</w:t>
            </w:r>
          </w:p>
        </w:tc>
        <w:tc>
          <w:tcPr>
            <w:tcW w:w="16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525" w:right="0"/>
              <w:jc w:val="left"/>
              <w:rPr>
                <w:rFonts w:ascii="宋体" w:hAnsi="宋体" w:cs="宋体" w:eastAsia="宋体" w:hint="default"/>
                <w:sz w:val="18"/>
                <w:szCs w:val="18"/>
              </w:rPr>
            </w:pPr>
            <w:r>
              <w:rPr>
                <w:rFonts w:ascii="宋体" w:hAnsi="宋体" w:cs="宋体" w:eastAsia="宋体" w:hint="default"/>
                <w:sz w:val="18"/>
                <w:szCs w:val="18"/>
              </w:rPr>
              <w:t>重分类</w:t>
            </w:r>
          </w:p>
        </w:tc>
        <w:tc>
          <w:tcPr>
            <w:tcW w:w="16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435" w:right="0"/>
              <w:jc w:val="left"/>
              <w:rPr>
                <w:rFonts w:ascii="宋体" w:hAnsi="宋体" w:cs="宋体" w:eastAsia="宋体" w:hint="default"/>
                <w:sz w:val="18"/>
                <w:szCs w:val="18"/>
              </w:rPr>
            </w:pPr>
            <w:r>
              <w:rPr>
                <w:rFonts w:ascii="宋体" w:hAnsi="宋体" w:cs="宋体" w:eastAsia="宋体" w:hint="default"/>
                <w:sz w:val="18"/>
                <w:szCs w:val="18"/>
              </w:rPr>
              <w:t>重新计量</w:t>
            </w:r>
          </w:p>
        </w:tc>
        <w:tc>
          <w:tcPr>
            <w:tcW w:w="1602" w:type="dxa"/>
            <w:tcBorders>
              <w:top w:val="single" w:sz="6" w:space="0" w:color="000000"/>
              <w:left w:val="single" w:sz="6" w:space="0" w:color="000000"/>
              <w:bottom w:val="single" w:sz="6" w:space="0" w:color="000000"/>
              <w:right w:val="single" w:sz="6" w:space="0" w:color="000000"/>
            </w:tcBorders>
          </w:tcPr>
          <w:p>
            <w:pPr>
              <w:pStyle w:val="TableParagraph"/>
              <w:spacing w:line="309" w:lineRule="auto" w:before="20"/>
              <w:ind w:left="73" w:right="7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r>
              <w:rPr>
                <w:rFonts w:ascii="Times New Roman" w:hAnsi="Times New Roman" w:cs="Times New Roman" w:eastAsia="Times New Roman" w:hint="default"/>
                <w:sz w:val="18"/>
                <w:szCs w:val="18"/>
              </w:rPr>
              <w:t>1</w:t>
            </w:r>
            <w:r>
              <w:rPr>
                <w:rFonts w:ascii="宋体" w:hAnsi="宋体" w:cs="宋体" w:eastAsia="宋体" w:hint="default"/>
                <w:sz w:val="18"/>
                <w:szCs w:val="18"/>
              </w:rPr>
              <w:t>日按新 金融工具准则列示 的账面价值</w:t>
            </w:r>
          </w:p>
        </w:tc>
      </w:tr>
      <w:tr>
        <w:trPr>
          <w:trHeight w:val="427" w:hRule="exact"/>
        </w:trPr>
        <w:tc>
          <w:tcPr>
            <w:tcW w:w="3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以摊余成本计量的金融资产</w:t>
            </w:r>
          </w:p>
        </w:tc>
        <w:tc>
          <w:tcPr>
            <w:tcW w:w="1605" w:type="dxa"/>
            <w:tcBorders>
              <w:top w:val="single" w:sz="6" w:space="0" w:color="000000"/>
              <w:left w:val="single" w:sz="6" w:space="0" w:color="000000"/>
              <w:bottom w:val="single" w:sz="6" w:space="0" w:color="000000"/>
              <w:right w:val="single" w:sz="6" w:space="0" w:color="000000"/>
            </w:tcBorders>
          </w:tcPr>
          <w:p>
            <w:pPr/>
          </w:p>
        </w:tc>
        <w:tc>
          <w:tcPr>
            <w:tcW w:w="1606" w:type="dxa"/>
            <w:tcBorders>
              <w:top w:val="single" w:sz="6" w:space="0" w:color="000000"/>
              <w:left w:val="single" w:sz="6" w:space="0" w:color="000000"/>
              <w:bottom w:val="single" w:sz="6" w:space="0" w:color="000000"/>
              <w:right w:val="single" w:sz="6" w:space="0" w:color="000000"/>
            </w:tcBorders>
          </w:tcPr>
          <w:p>
            <w:pPr/>
          </w:p>
        </w:tc>
        <w:tc>
          <w:tcPr>
            <w:tcW w:w="1606" w:type="dxa"/>
            <w:tcBorders>
              <w:top w:val="single" w:sz="6" w:space="0" w:color="000000"/>
              <w:left w:val="single" w:sz="6" w:space="0" w:color="000000"/>
              <w:bottom w:val="single" w:sz="6" w:space="0" w:color="000000"/>
              <w:right w:val="single" w:sz="6" w:space="0" w:color="000000"/>
            </w:tcBorders>
          </w:tcPr>
          <w:p>
            <w:pPr/>
          </w:p>
        </w:tc>
        <w:tc>
          <w:tcPr>
            <w:tcW w:w="1602" w:type="dxa"/>
            <w:tcBorders>
              <w:top w:val="single" w:sz="6" w:space="0" w:color="000000"/>
              <w:left w:val="single" w:sz="6" w:space="0" w:color="000000"/>
              <w:bottom w:val="single" w:sz="6" w:space="0" w:color="000000"/>
              <w:right w:val="single" w:sz="6" w:space="0" w:color="000000"/>
            </w:tcBorders>
          </w:tcPr>
          <w:p>
            <w:pPr/>
          </w:p>
        </w:tc>
      </w:tr>
      <w:tr>
        <w:trPr>
          <w:trHeight w:val="739" w:hRule="exact"/>
        </w:trPr>
        <w:tc>
          <w:tcPr>
            <w:tcW w:w="3218" w:type="dxa"/>
            <w:tcBorders>
              <w:top w:val="single" w:sz="6" w:space="0" w:color="000000"/>
              <w:left w:val="single" w:sz="6" w:space="0" w:color="000000"/>
              <w:bottom w:val="single" w:sz="6" w:space="0" w:color="000000"/>
              <w:right w:val="single" w:sz="6" w:space="0" w:color="000000"/>
            </w:tcBorders>
          </w:tcPr>
          <w:p>
            <w:pPr>
              <w:pStyle w:val="TableParagraph"/>
              <w:spacing w:line="319" w:lineRule="auto" w:before="59"/>
              <w:ind w:left="2" w:right="3"/>
              <w:jc w:val="left"/>
              <w:rPr>
                <w:rFonts w:ascii="宋体" w:hAnsi="宋体" w:cs="宋体" w:eastAsia="宋体" w:hint="default"/>
                <w:sz w:val="18"/>
                <w:szCs w:val="18"/>
              </w:rPr>
            </w:pPr>
            <w:r>
              <w:rPr>
                <w:rFonts w:ascii="宋体" w:hAnsi="宋体" w:cs="宋体" w:eastAsia="宋体" w:hint="default"/>
                <w:spacing w:val="12"/>
                <w:sz w:val="18"/>
                <w:szCs w:val="18"/>
              </w:rPr>
              <w:t>应收票据(按原金融工具准则列示的余</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额)</w:t>
            </w:r>
          </w:p>
        </w:tc>
        <w:tc>
          <w:tcPr>
            <w:tcW w:w="16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right"/>
              <w:rPr>
                <w:rFonts w:ascii="Times New Roman" w:hAnsi="Times New Roman" w:cs="Times New Roman" w:eastAsia="Times New Roman" w:hint="default"/>
                <w:sz w:val="18"/>
                <w:szCs w:val="18"/>
              </w:rPr>
            </w:pPr>
            <w:r>
              <w:rPr>
                <w:rFonts w:ascii="Times New Roman"/>
                <w:sz w:val="18"/>
              </w:rPr>
              <w:t>51,820.94</w:t>
            </w:r>
          </w:p>
        </w:tc>
        <w:tc>
          <w:tcPr>
            <w:tcW w:w="1606" w:type="dxa"/>
            <w:tcBorders>
              <w:top w:val="single" w:sz="6" w:space="0" w:color="000000"/>
              <w:left w:val="single" w:sz="6" w:space="0" w:color="000000"/>
              <w:bottom w:val="single" w:sz="6" w:space="0" w:color="000000"/>
              <w:right w:val="single" w:sz="6" w:space="0" w:color="000000"/>
            </w:tcBorders>
          </w:tcPr>
          <w:p>
            <w:pPr/>
          </w:p>
        </w:tc>
        <w:tc>
          <w:tcPr>
            <w:tcW w:w="1606" w:type="dxa"/>
            <w:tcBorders>
              <w:top w:val="single" w:sz="6" w:space="0" w:color="000000"/>
              <w:left w:val="single" w:sz="6" w:space="0" w:color="000000"/>
              <w:bottom w:val="single" w:sz="6" w:space="0" w:color="000000"/>
              <w:right w:val="single" w:sz="6" w:space="0" w:color="000000"/>
            </w:tcBorders>
          </w:tcPr>
          <w:p>
            <w:pPr/>
          </w:p>
        </w:tc>
        <w:tc>
          <w:tcPr>
            <w:tcW w:w="1602" w:type="dxa"/>
            <w:tcBorders>
              <w:top w:val="single" w:sz="6" w:space="0" w:color="000000"/>
              <w:left w:val="single" w:sz="6" w:space="0" w:color="000000"/>
              <w:bottom w:val="single" w:sz="6" w:space="0" w:color="000000"/>
              <w:right w:val="single" w:sz="6" w:space="0" w:color="000000"/>
            </w:tcBorders>
          </w:tcPr>
          <w:p>
            <w:pPr/>
          </w:p>
        </w:tc>
      </w:tr>
      <w:tr>
        <w:trPr>
          <w:trHeight w:val="427" w:hRule="exact"/>
        </w:trPr>
        <w:tc>
          <w:tcPr>
            <w:tcW w:w="3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减：转出至应收款项融资</w:t>
            </w:r>
          </w:p>
        </w:tc>
        <w:tc>
          <w:tcPr>
            <w:tcW w:w="1605" w:type="dxa"/>
            <w:tcBorders>
              <w:top w:val="single" w:sz="6" w:space="0" w:color="000000"/>
              <w:left w:val="single" w:sz="6" w:space="0" w:color="000000"/>
              <w:bottom w:val="single" w:sz="6" w:space="0" w:color="000000"/>
              <w:right w:val="single" w:sz="6" w:space="0" w:color="000000"/>
            </w:tcBorders>
          </w:tcPr>
          <w:p>
            <w:pPr/>
          </w:p>
        </w:tc>
        <w:tc>
          <w:tcPr>
            <w:tcW w:w="16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51,820.94</w:t>
            </w:r>
          </w:p>
        </w:tc>
        <w:tc>
          <w:tcPr>
            <w:tcW w:w="1606" w:type="dxa"/>
            <w:tcBorders>
              <w:top w:val="single" w:sz="6" w:space="0" w:color="000000"/>
              <w:left w:val="single" w:sz="6" w:space="0" w:color="000000"/>
              <w:bottom w:val="single" w:sz="6" w:space="0" w:color="000000"/>
              <w:right w:val="single" w:sz="6" w:space="0" w:color="000000"/>
            </w:tcBorders>
          </w:tcPr>
          <w:p>
            <w:pPr/>
          </w:p>
        </w:tc>
        <w:tc>
          <w:tcPr>
            <w:tcW w:w="1602" w:type="dxa"/>
            <w:tcBorders>
              <w:top w:val="single" w:sz="6" w:space="0" w:color="000000"/>
              <w:left w:val="single" w:sz="6" w:space="0" w:color="000000"/>
              <w:bottom w:val="single" w:sz="6" w:space="0" w:color="000000"/>
              <w:right w:val="single" w:sz="6" w:space="0" w:color="000000"/>
            </w:tcBorders>
          </w:tcPr>
          <w:p>
            <w:pPr/>
          </w:p>
        </w:tc>
      </w:tr>
      <w:tr>
        <w:trPr>
          <w:trHeight w:val="739" w:hRule="exact"/>
        </w:trPr>
        <w:tc>
          <w:tcPr>
            <w:tcW w:w="3218" w:type="dxa"/>
            <w:tcBorders>
              <w:top w:val="single" w:sz="6" w:space="0" w:color="000000"/>
              <w:left w:val="single" w:sz="6" w:space="0" w:color="000000"/>
              <w:bottom w:val="single" w:sz="6" w:space="0" w:color="000000"/>
              <w:right w:val="single" w:sz="6" w:space="0" w:color="000000"/>
            </w:tcBorders>
          </w:tcPr>
          <w:p>
            <w:pPr>
              <w:pStyle w:val="TableParagraph"/>
              <w:spacing w:line="319" w:lineRule="auto" w:before="60"/>
              <w:ind w:left="2" w:right="2"/>
              <w:jc w:val="left"/>
              <w:rPr>
                <w:rFonts w:ascii="宋体" w:hAnsi="宋体" w:cs="宋体" w:eastAsia="宋体" w:hint="default"/>
                <w:sz w:val="18"/>
                <w:szCs w:val="18"/>
              </w:rPr>
            </w:pPr>
            <w:r>
              <w:rPr>
                <w:rFonts w:ascii="宋体" w:hAnsi="宋体" w:cs="宋体" w:eastAsia="宋体" w:hint="default"/>
                <w:spacing w:val="2"/>
                <w:sz w:val="18"/>
                <w:szCs w:val="18"/>
              </w:rPr>
              <w:t>应收款项融资(按新金融工具准则列示的</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余额)</w:t>
            </w:r>
          </w:p>
        </w:tc>
        <w:tc>
          <w:tcPr>
            <w:tcW w:w="1605" w:type="dxa"/>
            <w:tcBorders>
              <w:top w:val="single" w:sz="6" w:space="0" w:color="000000"/>
              <w:left w:val="single" w:sz="6" w:space="0" w:color="000000"/>
              <w:bottom w:val="single" w:sz="6" w:space="0" w:color="000000"/>
              <w:right w:val="single" w:sz="6" w:space="0" w:color="000000"/>
            </w:tcBorders>
          </w:tcPr>
          <w:p>
            <w:pPr/>
          </w:p>
        </w:tc>
        <w:tc>
          <w:tcPr>
            <w:tcW w:w="1606" w:type="dxa"/>
            <w:tcBorders>
              <w:top w:val="single" w:sz="6" w:space="0" w:color="000000"/>
              <w:left w:val="single" w:sz="6" w:space="0" w:color="000000"/>
              <w:bottom w:val="single" w:sz="6" w:space="0" w:color="000000"/>
              <w:right w:val="single" w:sz="6" w:space="0" w:color="000000"/>
            </w:tcBorders>
          </w:tcPr>
          <w:p>
            <w:pPr/>
          </w:p>
        </w:tc>
        <w:tc>
          <w:tcPr>
            <w:tcW w:w="1606" w:type="dxa"/>
            <w:tcBorders>
              <w:top w:val="single" w:sz="6" w:space="0" w:color="000000"/>
              <w:left w:val="single" w:sz="6" w:space="0" w:color="000000"/>
              <w:bottom w:val="single" w:sz="6" w:space="0" w:color="000000"/>
              <w:right w:val="single" w:sz="6" w:space="0" w:color="000000"/>
            </w:tcBorders>
          </w:tcPr>
          <w:p>
            <w:pPr/>
          </w:p>
        </w:tc>
        <w:tc>
          <w:tcPr>
            <w:tcW w:w="16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51,820.94</w:t>
            </w:r>
          </w:p>
        </w:tc>
      </w:tr>
      <w:tr>
        <w:trPr>
          <w:trHeight w:val="427" w:hRule="exact"/>
        </w:trPr>
        <w:tc>
          <w:tcPr>
            <w:tcW w:w="3218" w:type="dxa"/>
            <w:tcBorders>
              <w:top w:val="single" w:sz="6" w:space="0" w:color="000000"/>
              <w:left w:val="single" w:sz="6" w:space="0" w:color="000000"/>
              <w:bottom w:val="single" w:sz="6" w:space="0" w:color="000000"/>
              <w:right w:val="single" w:sz="6" w:space="0" w:color="000000"/>
            </w:tcBorders>
          </w:tcPr>
          <w:p>
            <w:pPr/>
          </w:p>
        </w:tc>
        <w:tc>
          <w:tcPr>
            <w:tcW w:w="1605" w:type="dxa"/>
            <w:tcBorders>
              <w:top w:val="single" w:sz="6" w:space="0" w:color="000000"/>
              <w:left w:val="single" w:sz="6" w:space="0" w:color="000000"/>
              <w:bottom w:val="single" w:sz="6" w:space="0" w:color="000000"/>
              <w:right w:val="single" w:sz="6" w:space="0" w:color="000000"/>
            </w:tcBorders>
          </w:tcPr>
          <w:p>
            <w:pPr/>
          </w:p>
        </w:tc>
        <w:tc>
          <w:tcPr>
            <w:tcW w:w="1606" w:type="dxa"/>
            <w:tcBorders>
              <w:top w:val="single" w:sz="6" w:space="0" w:color="000000"/>
              <w:left w:val="single" w:sz="6" w:space="0" w:color="000000"/>
              <w:bottom w:val="single" w:sz="6" w:space="0" w:color="000000"/>
              <w:right w:val="single" w:sz="6" w:space="0" w:color="000000"/>
            </w:tcBorders>
          </w:tcPr>
          <w:p>
            <w:pPr/>
          </w:p>
        </w:tc>
        <w:tc>
          <w:tcPr>
            <w:tcW w:w="1606" w:type="dxa"/>
            <w:tcBorders>
              <w:top w:val="single" w:sz="6" w:space="0" w:color="000000"/>
              <w:left w:val="single" w:sz="6" w:space="0" w:color="000000"/>
              <w:bottom w:val="single" w:sz="6" w:space="0" w:color="000000"/>
              <w:right w:val="single" w:sz="6" w:space="0" w:color="000000"/>
            </w:tcBorders>
          </w:tcPr>
          <w:p>
            <w:pPr/>
          </w:p>
        </w:tc>
        <w:tc>
          <w:tcPr>
            <w:tcW w:w="1602" w:type="dxa"/>
            <w:tcBorders>
              <w:top w:val="single" w:sz="6" w:space="0" w:color="000000"/>
              <w:left w:val="single" w:sz="6" w:space="0" w:color="000000"/>
              <w:bottom w:val="single" w:sz="6" w:space="0" w:color="000000"/>
              <w:right w:val="single" w:sz="6" w:space="0" w:color="000000"/>
            </w:tcBorders>
          </w:tcPr>
          <w:p>
            <w:pPr/>
          </w:p>
        </w:tc>
      </w:tr>
      <w:tr>
        <w:trPr>
          <w:trHeight w:val="427" w:hRule="exact"/>
        </w:trPr>
        <w:tc>
          <w:tcPr>
            <w:tcW w:w="3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以公允价值计量的金融资产</w:t>
            </w:r>
          </w:p>
        </w:tc>
        <w:tc>
          <w:tcPr>
            <w:tcW w:w="1605" w:type="dxa"/>
            <w:tcBorders>
              <w:top w:val="single" w:sz="6" w:space="0" w:color="000000"/>
              <w:left w:val="single" w:sz="6" w:space="0" w:color="000000"/>
              <w:bottom w:val="single" w:sz="6" w:space="0" w:color="000000"/>
              <w:right w:val="single" w:sz="6" w:space="0" w:color="000000"/>
            </w:tcBorders>
          </w:tcPr>
          <w:p>
            <w:pPr/>
          </w:p>
        </w:tc>
        <w:tc>
          <w:tcPr>
            <w:tcW w:w="1606" w:type="dxa"/>
            <w:tcBorders>
              <w:top w:val="single" w:sz="6" w:space="0" w:color="000000"/>
              <w:left w:val="single" w:sz="6" w:space="0" w:color="000000"/>
              <w:bottom w:val="single" w:sz="6" w:space="0" w:color="000000"/>
              <w:right w:val="single" w:sz="6" w:space="0" w:color="000000"/>
            </w:tcBorders>
          </w:tcPr>
          <w:p>
            <w:pPr/>
          </w:p>
        </w:tc>
        <w:tc>
          <w:tcPr>
            <w:tcW w:w="1606" w:type="dxa"/>
            <w:tcBorders>
              <w:top w:val="single" w:sz="6" w:space="0" w:color="000000"/>
              <w:left w:val="single" w:sz="6" w:space="0" w:color="000000"/>
              <w:bottom w:val="single" w:sz="6" w:space="0" w:color="000000"/>
              <w:right w:val="single" w:sz="6" w:space="0" w:color="000000"/>
            </w:tcBorders>
          </w:tcPr>
          <w:p>
            <w:pPr/>
          </w:p>
        </w:tc>
        <w:tc>
          <w:tcPr>
            <w:tcW w:w="1602" w:type="dxa"/>
            <w:tcBorders>
              <w:top w:val="single" w:sz="6" w:space="0" w:color="000000"/>
              <w:left w:val="single" w:sz="6" w:space="0" w:color="000000"/>
              <w:bottom w:val="single" w:sz="6" w:space="0" w:color="000000"/>
              <w:right w:val="single" w:sz="6" w:space="0" w:color="000000"/>
            </w:tcBorders>
          </w:tcPr>
          <w:p>
            <w:pPr/>
          </w:p>
        </w:tc>
      </w:tr>
      <w:tr>
        <w:trPr>
          <w:trHeight w:val="739" w:hRule="exact"/>
        </w:trPr>
        <w:tc>
          <w:tcPr>
            <w:tcW w:w="3218" w:type="dxa"/>
            <w:tcBorders>
              <w:top w:val="single" w:sz="6" w:space="0" w:color="000000"/>
              <w:left w:val="single" w:sz="6" w:space="0" w:color="000000"/>
              <w:bottom w:val="single" w:sz="6" w:space="0" w:color="000000"/>
              <w:right w:val="single" w:sz="6" w:space="0" w:color="000000"/>
            </w:tcBorders>
          </w:tcPr>
          <w:p>
            <w:pPr>
              <w:pStyle w:val="TableParagraph"/>
              <w:spacing w:line="319" w:lineRule="auto" w:before="60"/>
              <w:ind w:left="2" w:right="2"/>
              <w:jc w:val="left"/>
              <w:rPr>
                <w:rFonts w:ascii="宋体" w:hAnsi="宋体" w:cs="宋体" w:eastAsia="宋体" w:hint="default"/>
                <w:sz w:val="18"/>
                <w:szCs w:val="18"/>
              </w:rPr>
            </w:pPr>
            <w:r>
              <w:rPr>
                <w:rFonts w:ascii="宋体" w:hAnsi="宋体" w:cs="宋体" w:eastAsia="宋体" w:hint="default"/>
                <w:spacing w:val="2"/>
                <w:sz w:val="18"/>
                <w:szCs w:val="18"/>
              </w:rPr>
              <w:t>其他流动资产(按原金融工具准则列示的</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余额)</w:t>
            </w:r>
          </w:p>
        </w:tc>
        <w:tc>
          <w:tcPr>
            <w:tcW w:w="16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right"/>
              <w:rPr>
                <w:rFonts w:ascii="Times New Roman" w:hAnsi="Times New Roman" w:cs="Times New Roman" w:eastAsia="Times New Roman" w:hint="default"/>
                <w:sz w:val="18"/>
                <w:szCs w:val="18"/>
              </w:rPr>
            </w:pPr>
            <w:r>
              <w:rPr>
                <w:rFonts w:ascii="Times New Roman"/>
                <w:sz w:val="18"/>
              </w:rPr>
              <w:t>210,000,000.00</w:t>
            </w:r>
          </w:p>
        </w:tc>
        <w:tc>
          <w:tcPr>
            <w:tcW w:w="1606" w:type="dxa"/>
            <w:tcBorders>
              <w:top w:val="single" w:sz="6" w:space="0" w:color="000000"/>
              <w:left w:val="single" w:sz="6" w:space="0" w:color="000000"/>
              <w:bottom w:val="single" w:sz="6" w:space="0" w:color="000000"/>
              <w:right w:val="single" w:sz="6" w:space="0" w:color="000000"/>
            </w:tcBorders>
          </w:tcPr>
          <w:p>
            <w:pPr/>
          </w:p>
        </w:tc>
        <w:tc>
          <w:tcPr>
            <w:tcW w:w="1606" w:type="dxa"/>
            <w:tcBorders>
              <w:top w:val="single" w:sz="6" w:space="0" w:color="000000"/>
              <w:left w:val="single" w:sz="6" w:space="0" w:color="000000"/>
              <w:bottom w:val="single" w:sz="6" w:space="0" w:color="000000"/>
              <w:right w:val="single" w:sz="6" w:space="0" w:color="000000"/>
            </w:tcBorders>
          </w:tcPr>
          <w:p>
            <w:pPr/>
          </w:p>
        </w:tc>
        <w:tc>
          <w:tcPr>
            <w:tcW w:w="1602" w:type="dxa"/>
            <w:tcBorders>
              <w:top w:val="single" w:sz="6" w:space="0" w:color="000000"/>
              <w:left w:val="single" w:sz="6" w:space="0" w:color="000000"/>
              <w:bottom w:val="single" w:sz="6" w:space="0" w:color="000000"/>
              <w:right w:val="single" w:sz="6" w:space="0" w:color="000000"/>
            </w:tcBorders>
          </w:tcPr>
          <w:p>
            <w:pPr/>
          </w:p>
        </w:tc>
      </w:tr>
      <w:tr>
        <w:trPr>
          <w:trHeight w:val="427" w:hRule="exact"/>
        </w:trPr>
        <w:tc>
          <w:tcPr>
            <w:tcW w:w="3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减：转出至交易性金融资产</w:t>
            </w:r>
          </w:p>
        </w:tc>
        <w:tc>
          <w:tcPr>
            <w:tcW w:w="1605" w:type="dxa"/>
            <w:tcBorders>
              <w:top w:val="single" w:sz="6" w:space="0" w:color="000000"/>
              <w:left w:val="single" w:sz="6" w:space="0" w:color="000000"/>
              <w:bottom w:val="single" w:sz="6" w:space="0" w:color="000000"/>
              <w:right w:val="single" w:sz="6" w:space="0" w:color="000000"/>
            </w:tcBorders>
          </w:tcPr>
          <w:p>
            <w:pPr/>
          </w:p>
        </w:tc>
        <w:tc>
          <w:tcPr>
            <w:tcW w:w="16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210,000,000.00</w:t>
            </w:r>
          </w:p>
        </w:tc>
        <w:tc>
          <w:tcPr>
            <w:tcW w:w="1606" w:type="dxa"/>
            <w:tcBorders>
              <w:top w:val="single" w:sz="6" w:space="0" w:color="000000"/>
              <w:left w:val="single" w:sz="6" w:space="0" w:color="000000"/>
              <w:bottom w:val="single" w:sz="6" w:space="0" w:color="000000"/>
              <w:right w:val="single" w:sz="6" w:space="0" w:color="000000"/>
            </w:tcBorders>
          </w:tcPr>
          <w:p>
            <w:pPr/>
          </w:p>
        </w:tc>
        <w:tc>
          <w:tcPr>
            <w:tcW w:w="1602" w:type="dxa"/>
            <w:tcBorders>
              <w:top w:val="single" w:sz="6" w:space="0" w:color="000000"/>
              <w:left w:val="single" w:sz="6" w:space="0" w:color="000000"/>
              <w:bottom w:val="single" w:sz="6" w:space="0" w:color="000000"/>
              <w:right w:val="single" w:sz="6" w:space="0" w:color="000000"/>
            </w:tcBorders>
          </w:tcPr>
          <w:p>
            <w:pPr/>
          </w:p>
        </w:tc>
      </w:tr>
      <w:tr>
        <w:trPr>
          <w:trHeight w:val="739" w:hRule="exact"/>
        </w:trPr>
        <w:tc>
          <w:tcPr>
            <w:tcW w:w="3218"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60"/>
              <w:ind w:left="2" w:right="2"/>
              <w:jc w:val="left"/>
              <w:rPr>
                <w:rFonts w:ascii="宋体" w:hAnsi="宋体" w:cs="宋体" w:eastAsia="宋体" w:hint="default"/>
                <w:sz w:val="18"/>
                <w:szCs w:val="18"/>
              </w:rPr>
            </w:pPr>
            <w:r>
              <w:rPr>
                <w:rFonts w:ascii="宋体" w:hAnsi="宋体" w:cs="宋体" w:eastAsia="宋体" w:hint="default"/>
                <w:spacing w:val="2"/>
                <w:sz w:val="18"/>
                <w:szCs w:val="18"/>
              </w:rPr>
              <w:t>交易性金融资产(按新金融工具准则列示</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的余额)</w:t>
            </w:r>
          </w:p>
        </w:tc>
        <w:tc>
          <w:tcPr>
            <w:tcW w:w="1605" w:type="dxa"/>
            <w:tcBorders>
              <w:top w:val="single" w:sz="6" w:space="0" w:color="000000"/>
              <w:left w:val="single" w:sz="6" w:space="0" w:color="000000"/>
              <w:bottom w:val="single" w:sz="6" w:space="0" w:color="000000"/>
              <w:right w:val="single" w:sz="6" w:space="0" w:color="000000"/>
            </w:tcBorders>
          </w:tcPr>
          <w:p>
            <w:pPr/>
          </w:p>
        </w:tc>
        <w:tc>
          <w:tcPr>
            <w:tcW w:w="1606" w:type="dxa"/>
            <w:tcBorders>
              <w:top w:val="single" w:sz="6" w:space="0" w:color="000000"/>
              <w:left w:val="single" w:sz="6" w:space="0" w:color="000000"/>
              <w:bottom w:val="single" w:sz="6" w:space="0" w:color="000000"/>
              <w:right w:val="single" w:sz="6" w:space="0" w:color="000000"/>
            </w:tcBorders>
          </w:tcPr>
          <w:p>
            <w:pPr/>
          </w:p>
        </w:tc>
        <w:tc>
          <w:tcPr>
            <w:tcW w:w="1606" w:type="dxa"/>
            <w:tcBorders>
              <w:top w:val="single" w:sz="6" w:space="0" w:color="000000"/>
              <w:left w:val="single" w:sz="6" w:space="0" w:color="000000"/>
              <w:bottom w:val="single" w:sz="6" w:space="0" w:color="000000"/>
              <w:right w:val="single" w:sz="6" w:space="0" w:color="000000"/>
            </w:tcBorders>
          </w:tcPr>
          <w:p>
            <w:pPr/>
          </w:p>
        </w:tc>
        <w:tc>
          <w:tcPr>
            <w:tcW w:w="16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210,000,000.00</w:t>
            </w:r>
          </w:p>
        </w:tc>
      </w:tr>
      <w:tr>
        <w:trPr>
          <w:trHeight w:val="427" w:hRule="exact"/>
        </w:trPr>
        <w:tc>
          <w:tcPr>
            <w:tcW w:w="3218" w:type="dxa"/>
            <w:tcBorders>
              <w:top w:val="single" w:sz="6" w:space="0" w:color="000000"/>
              <w:left w:val="single" w:sz="6" w:space="0" w:color="000000"/>
              <w:bottom w:val="single" w:sz="6" w:space="0" w:color="000000"/>
              <w:right w:val="single" w:sz="6" w:space="0" w:color="000000"/>
            </w:tcBorders>
          </w:tcPr>
          <w:p>
            <w:pPr/>
          </w:p>
        </w:tc>
        <w:tc>
          <w:tcPr>
            <w:tcW w:w="1605" w:type="dxa"/>
            <w:tcBorders>
              <w:top w:val="single" w:sz="6" w:space="0" w:color="000000"/>
              <w:left w:val="single" w:sz="6" w:space="0" w:color="000000"/>
              <w:bottom w:val="single" w:sz="6" w:space="0" w:color="000000"/>
              <w:right w:val="single" w:sz="6" w:space="0" w:color="000000"/>
            </w:tcBorders>
          </w:tcPr>
          <w:p>
            <w:pPr/>
          </w:p>
        </w:tc>
        <w:tc>
          <w:tcPr>
            <w:tcW w:w="1606" w:type="dxa"/>
            <w:tcBorders>
              <w:top w:val="single" w:sz="6" w:space="0" w:color="000000"/>
              <w:left w:val="single" w:sz="6" w:space="0" w:color="000000"/>
              <w:bottom w:val="single" w:sz="6" w:space="0" w:color="000000"/>
              <w:right w:val="single" w:sz="6" w:space="0" w:color="000000"/>
            </w:tcBorders>
          </w:tcPr>
          <w:p>
            <w:pPr/>
          </w:p>
        </w:tc>
        <w:tc>
          <w:tcPr>
            <w:tcW w:w="1606" w:type="dxa"/>
            <w:tcBorders>
              <w:top w:val="single" w:sz="6" w:space="0" w:color="000000"/>
              <w:left w:val="single" w:sz="6" w:space="0" w:color="000000"/>
              <w:bottom w:val="single" w:sz="6" w:space="0" w:color="000000"/>
              <w:right w:val="single" w:sz="6" w:space="0" w:color="000000"/>
            </w:tcBorders>
          </w:tcPr>
          <w:p>
            <w:pPr/>
          </w:p>
        </w:tc>
        <w:tc>
          <w:tcPr>
            <w:tcW w:w="1602" w:type="dxa"/>
            <w:tcBorders>
              <w:top w:val="single" w:sz="6" w:space="0" w:color="000000"/>
              <w:left w:val="single" w:sz="6" w:space="0" w:color="000000"/>
              <w:bottom w:val="single" w:sz="6" w:space="0" w:color="000000"/>
              <w:right w:val="single" w:sz="6" w:space="0" w:color="000000"/>
            </w:tcBorders>
          </w:tcPr>
          <w:p>
            <w:pPr/>
          </w:p>
        </w:tc>
      </w:tr>
      <w:tr>
        <w:trPr>
          <w:trHeight w:val="739" w:hRule="exact"/>
        </w:trPr>
        <w:tc>
          <w:tcPr>
            <w:tcW w:w="3218"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60"/>
              <w:ind w:left="2" w:right="3"/>
              <w:jc w:val="left"/>
              <w:rPr>
                <w:rFonts w:ascii="宋体" w:hAnsi="宋体" w:cs="宋体" w:eastAsia="宋体" w:hint="default"/>
                <w:sz w:val="18"/>
                <w:szCs w:val="18"/>
              </w:rPr>
            </w:pPr>
            <w:r>
              <w:rPr>
                <w:rFonts w:ascii="宋体" w:hAnsi="宋体" w:cs="宋体" w:eastAsia="宋体" w:hint="default"/>
                <w:spacing w:val="12"/>
                <w:sz w:val="18"/>
                <w:szCs w:val="18"/>
              </w:rPr>
              <w:t>股权投资(按原金融工具准则列示的余</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额)</w:t>
            </w:r>
          </w:p>
        </w:tc>
        <w:tc>
          <w:tcPr>
            <w:tcW w:w="16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right"/>
              <w:rPr>
                <w:rFonts w:ascii="Times New Roman" w:hAnsi="Times New Roman" w:cs="Times New Roman" w:eastAsia="Times New Roman" w:hint="default"/>
                <w:sz w:val="18"/>
                <w:szCs w:val="18"/>
              </w:rPr>
            </w:pPr>
            <w:r>
              <w:rPr>
                <w:rFonts w:ascii="Times New Roman"/>
                <w:sz w:val="18"/>
              </w:rPr>
              <w:t>21,000,000.00</w:t>
            </w:r>
          </w:p>
        </w:tc>
        <w:tc>
          <w:tcPr>
            <w:tcW w:w="1606" w:type="dxa"/>
            <w:tcBorders>
              <w:top w:val="single" w:sz="6" w:space="0" w:color="000000"/>
              <w:left w:val="single" w:sz="6" w:space="0" w:color="000000"/>
              <w:bottom w:val="single" w:sz="6" w:space="0" w:color="000000"/>
              <w:right w:val="single" w:sz="6" w:space="0" w:color="000000"/>
            </w:tcBorders>
          </w:tcPr>
          <w:p>
            <w:pPr/>
          </w:p>
        </w:tc>
        <w:tc>
          <w:tcPr>
            <w:tcW w:w="1606" w:type="dxa"/>
            <w:tcBorders>
              <w:top w:val="single" w:sz="6" w:space="0" w:color="000000"/>
              <w:left w:val="single" w:sz="6" w:space="0" w:color="000000"/>
              <w:bottom w:val="single" w:sz="6" w:space="0" w:color="000000"/>
              <w:right w:val="single" w:sz="6" w:space="0" w:color="000000"/>
            </w:tcBorders>
          </w:tcPr>
          <w:p>
            <w:pPr/>
          </w:p>
        </w:tc>
        <w:tc>
          <w:tcPr>
            <w:tcW w:w="1602" w:type="dxa"/>
            <w:tcBorders>
              <w:top w:val="single" w:sz="6" w:space="0" w:color="000000"/>
              <w:left w:val="single" w:sz="6" w:space="0" w:color="000000"/>
              <w:bottom w:val="single" w:sz="6" w:space="0" w:color="000000"/>
              <w:right w:val="single" w:sz="6" w:space="0" w:color="000000"/>
            </w:tcBorders>
          </w:tcPr>
          <w:p>
            <w:pPr/>
          </w:p>
        </w:tc>
      </w:tr>
      <w:tr>
        <w:trPr>
          <w:trHeight w:val="427" w:hRule="exact"/>
        </w:trPr>
        <w:tc>
          <w:tcPr>
            <w:tcW w:w="3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减：转出至其他权益工具投资</w:t>
            </w:r>
          </w:p>
        </w:tc>
        <w:tc>
          <w:tcPr>
            <w:tcW w:w="1605" w:type="dxa"/>
            <w:tcBorders>
              <w:top w:val="single" w:sz="6" w:space="0" w:color="000000"/>
              <w:left w:val="single" w:sz="6" w:space="0" w:color="000000"/>
              <w:bottom w:val="single" w:sz="6" w:space="0" w:color="000000"/>
              <w:right w:val="single" w:sz="6" w:space="0" w:color="000000"/>
            </w:tcBorders>
          </w:tcPr>
          <w:p>
            <w:pPr/>
          </w:p>
        </w:tc>
        <w:tc>
          <w:tcPr>
            <w:tcW w:w="16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21,000,000.00</w:t>
            </w:r>
          </w:p>
        </w:tc>
        <w:tc>
          <w:tcPr>
            <w:tcW w:w="1606" w:type="dxa"/>
            <w:tcBorders>
              <w:top w:val="single" w:sz="6" w:space="0" w:color="000000"/>
              <w:left w:val="single" w:sz="6" w:space="0" w:color="000000"/>
              <w:bottom w:val="single" w:sz="6" w:space="0" w:color="000000"/>
              <w:right w:val="single" w:sz="6" w:space="0" w:color="000000"/>
            </w:tcBorders>
          </w:tcPr>
          <w:p>
            <w:pPr/>
          </w:p>
        </w:tc>
        <w:tc>
          <w:tcPr>
            <w:tcW w:w="1602" w:type="dxa"/>
            <w:tcBorders>
              <w:top w:val="single" w:sz="6" w:space="0" w:color="000000"/>
              <w:left w:val="single" w:sz="6" w:space="0" w:color="000000"/>
              <w:bottom w:val="single" w:sz="6" w:space="0" w:color="000000"/>
              <w:right w:val="single" w:sz="6" w:space="0" w:color="000000"/>
            </w:tcBorders>
          </w:tcPr>
          <w:p>
            <w:pPr/>
          </w:p>
        </w:tc>
      </w:tr>
      <w:tr>
        <w:trPr>
          <w:trHeight w:val="739" w:hRule="exact"/>
        </w:trPr>
        <w:tc>
          <w:tcPr>
            <w:tcW w:w="3218"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60"/>
              <w:ind w:left="2" w:right="2"/>
              <w:jc w:val="left"/>
              <w:rPr>
                <w:rFonts w:ascii="宋体" w:hAnsi="宋体" w:cs="宋体" w:eastAsia="宋体" w:hint="default"/>
                <w:sz w:val="18"/>
                <w:szCs w:val="18"/>
              </w:rPr>
            </w:pPr>
            <w:r>
              <w:rPr>
                <w:rFonts w:ascii="宋体" w:hAnsi="宋体" w:cs="宋体" w:eastAsia="宋体" w:hint="default"/>
                <w:spacing w:val="2"/>
                <w:sz w:val="18"/>
                <w:szCs w:val="18"/>
              </w:rPr>
              <w:t>其他权益工具投资(按新金融工具准则列</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示的余额)</w:t>
            </w:r>
          </w:p>
        </w:tc>
        <w:tc>
          <w:tcPr>
            <w:tcW w:w="1605" w:type="dxa"/>
            <w:tcBorders>
              <w:top w:val="single" w:sz="6" w:space="0" w:color="000000"/>
              <w:left w:val="single" w:sz="6" w:space="0" w:color="000000"/>
              <w:bottom w:val="single" w:sz="6" w:space="0" w:color="000000"/>
              <w:right w:val="single" w:sz="6" w:space="0" w:color="000000"/>
            </w:tcBorders>
          </w:tcPr>
          <w:p>
            <w:pPr/>
          </w:p>
        </w:tc>
        <w:tc>
          <w:tcPr>
            <w:tcW w:w="1606" w:type="dxa"/>
            <w:tcBorders>
              <w:top w:val="single" w:sz="6" w:space="0" w:color="000000"/>
              <w:left w:val="single" w:sz="6" w:space="0" w:color="000000"/>
              <w:bottom w:val="single" w:sz="6" w:space="0" w:color="000000"/>
              <w:right w:val="single" w:sz="6" w:space="0" w:color="000000"/>
            </w:tcBorders>
          </w:tcPr>
          <w:p>
            <w:pPr/>
          </w:p>
        </w:tc>
        <w:tc>
          <w:tcPr>
            <w:tcW w:w="1606" w:type="dxa"/>
            <w:tcBorders>
              <w:top w:val="single" w:sz="6" w:space="0" w:color="000000"/>
              <w:left w:val="single" w:sz="6" w:space="0" w:color="000000"/>
              <w:bottom w:val="single" w:sz="6" w:space="0" w:color="000000"/>
              <w:right w:val="single" w:sz="6" w:space="0" w:color="000000"/>
            </w:tcBorders>
          </w:tcPr>
          <w:p>
            <w:pPr/>
          </w:p>
        </w:tc>
        <w:tc>
          <w:tcPr>
            <w:tcW w:w="16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21,000,000.00</w:t>
            </w:r>
          </w:p>
        </w:tc>
      </w:tr>
      <w:tr>
        <w:trPr>
          <w:trHeight w:val="427" w:hRule="exact"/>
        </w:trPr>
        <w:tc>
          <w:tcPr>
            <w:tcW w:w="3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6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right"/>
              <w:rPr>
                <w:rFonts w:ascii="Times New Roman" w:hAnsi="Times New Roman" w:cs="Times New Roman" w:eastAsia="Times New Roman" w:hint="default"/>
                <w:sz w:val="18"/>
                <w:szCs w:val="18"/>
              </w:rPr>
            </w:pPr>
            <w:r>
              <w:rPr>
                <w:rFonts w:ascii="Times New Roman"/>
                <w:sz w:val="18"/>
              </w:rPr>
              <w:t>231,051,820.94</w:t>
            </w:r>
          </w:p>
        </w:tc>
        <w:tc>
          <w:tcPr>
            <w:tcW w:w="16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231,051,820.94</w:t>
            </w:r>
          </w:p>
        </w:tc>
        <w:tc>
          <w:tcPr>
            <w:tcW w:w="1606" w:type="dxa"/>
            <w:tcBorders>
              <w:top w:val="single" w:sz="6" w:space="0" w:color="000000"/>
              <w:left w:val="single" w:sz="6" w:space="0" w:color="000000"/>
              <w:bottom w:val="single" w:sz="6" w:space="0" w:color="000000"/>
              <w:right w:val="single" w:sz="6" w:space="0" w:color="000000"/>
            </w:tcBorders>
          </w:tcPr>
          <w:p>
            <w:pPr/>
          </w:p>
        </w:tc>
        <w:tc>
          <w:tcPr>
            <w:tcW w:w="16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231,051,820.94</w:t>
            </w:r>
          </w:p>
        </w:tc>
      </w:tr>
    </w:tbl>
    <w:p>
      <w:pPr>
        <w:spacing w:line="240" w:lineRule="auto" w:before="5"/>
        <w:rPr>
          <w:rFonts w:ascii="宋体" w:hAnsi="宋体" w:cs="宋体" w:eastAsia="宋体" w:hint="default"/>
          <w:sz w:val="27"/>
          <w:szCs w:val="27"/>
        </w:rPr>
      </w:pPr>
    </w:p>
    <w:p>
      <w:pPr>
        <w:pStyle w:val="BodyText"/>
        <w:spacing w:line="240" w:lineRule="auto" w:before="44"/>
        <w:ind w:right="0"/>
        <w:jc w:val="left"/>
      </w:pPr>
      <w:r>
        <w:rPr/>
        <w:t>首次执行日，公司将原金融资产减值准备调整为按照新金融工具准则规定的损失准备的调节表：</w:t>
      </w:r>
    </w:p>
    <w:p>
      <w:pPr>
        <w:spacing w:line="240" w:lineRule="auto" w:before="2"/>
        <w:rPr>
          <w:rFonts w:ascii="宋体" w:hAnsi="宋体" w:cs="宋体" w:eastAsia="宋体" w:hint="default"/>
          <w:sz w:val="8"/>
          <w:szCs w:val="8"/>
        </w:rPr>
      </w:pPr>
    </w:p>
    <w:tbl>
      <w:tblPr>
        <w:tblW w:w="0" w:type="auto"/>
        <w:jc w:val="left"/>
        <w:tblInd w:w="106" w:type="dxa"/>
        <w:tblLayout w:type="fixed"/>
        <w:tblCellMar>
          <w:top w:w="0" w:type="dxa"/>
          <w:left w:w="0" w:type="dxa"/>
          <w:bottom w:w="0" w:type="dxa"/>
          <w:right w:w="0" w:type="dxa"/>
        </w:tblCellMar>
        <w:tblLook w:val="01E0"/>
      </w:tblPr>
      <w:tblGrid>
        <w:gridCol w:w="3217"/>
        <w:gridCol w:w="1605"/>
        <w:gridCol w:w="1605"/>
        <w:gridCol w:w="1605"/>
        <w:gridCol w:w="1605"/>
      </w:tblGrid>
      <w:tr>
        <w:trPr>
          <w:trHeight w:val="739" w:hRule="exact"/>
        </w:trPr>
        <w:tc>
          <w:tcPr>
            <w:tcW w:w="3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center"/>
              <w:rPr>
                <w:rFonts w:ascii="宋体" w:hAnsi="宋体" w:cs="宋体" w:eastAsia="宋体" w:hint="default"/>
                <w:sz w:val="18"/>
                <w:szCs w:val="18"/>
              </w:rPr>
            </w:pPr>
            <w:r>
              <w:rPr>
                <w:rFonts w:ascii="宋体" w:hAnsi="宋体" w:cs="宋体" w:eastAsia="宋体" w:hint="default"/>
                <w:sz w:val="18"/>
                <w:szCs w:val="18"/>
              </w:rPr>
              <w:t>计量类别</w:t>
            </w:r>
          </w:p>
        </w:tc>
        <w:tc>
          <w:tcPr>
            <w:tcW w:w="1605"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60"/>
              <w:ind w:left="165" w:right="73" w:hanging="90"/>
              <w:jc w:val="left"/>
              <w:rPr>
                <w:rFonts w:ascii="宋体" w:hAnsi="宋体" w:cs="宋体" w:eastAsia="宋体" w:hint="default"/>
                <w:sz w:val="18"/>
                <w:szCs w:val="18"/>
              </w:rPr>
            </w:pPr>
            <w:r>
              <w:rPr>
                <w:rFonts w:ascii="宋体" w:hAnsi="宋体" w:cs="宋体" w:eastAsia="宋体" w:hint="default"/>
                <w:sz w:val="18"/>
                <w:szCs w:val="18"/>
              </w:rPr>
              <w:t>按原金融工具准则 计提的损失准备</w:t>
            </w:r>
          </w:p>
        </w:tc>
        <w:tc>
          <w:tcPr>
            <w:tcW w:w="16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524" w:right="0"/>
              <w:jc w:val="left"/>
              <w:rPr>
                <w:rFonts w:ascii="宋体" w:hAnsi="宋体" w:cs="宋体" w:eastAsia="宋体" w:hint="default"/>
                <w:sz w:val="18"/>
                <w:szCs w:val="18"/>
              </w:rPr>
            </w:pPr>
            <w:r>
              <w:rPr>
                <w:rFonts w:ascii="宋体" w:hAnsi="宋体" w:cs="宋体" w:eastAsia="宋体" w:hint="default"/>
                <w:sz w:val="18"/>
                <w:szCs w:val="18"/>
              </w:rPr>
              <w:t>重分类</w:t>
            </w:r>
          </w:p>
        </w:tc>
        <w:tc>
          <w:tcPr>
            <w:tcW w:w="16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435" w:right="0"/>
              <w:jc w:val="left"/>
              <w:rPr>
                <w:rFonts w:ascii="宋体" w:hAnsi="宋体" w:cs="宋体" w:eastAsia="宋体" w:hint="default"/>
                <w:sz w:val="18"/>
                <w:szCs w:val="18"/>
              </w:rPr>
            </w:pPr>
            <w:r>
              <w:rPr>
                <w:rFonts w:ascii="宋体" w:hAnsi="宋体" w:cs="宋体" w:eastAsia="宋体" w:hint="default"/>
                <w:sz w:val="18"/>
                <w:szCs w:val="18"/>
              </w:rPr>
              <w:t>重新计量</w:t>
            </w:r>
          </w:p>
        </w:tc>
        <w:tc>
          <w:tcPr>
            <w:tcW w:w="1605"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60"/>
              <w:ind w:left="165" w:right="73" w:hanging="90"/>
              <w:jc w:val="left"/>
              <w:rPr>
                <w:rFonts w:ascii="宋体" w:hAnsi="宋体" w:cs="宋体" w:eastAsia="宋体" w:hint="default"/>
                <w:sz w:val="18"/>
                <w:szCs w:val="18"/>
              </w:rPr>
            </w:pPr>
            <w:r>
              <w:rPr>
                <w:rFonts w:ascii="宋体" w:hAnsi="宋体" w:cs="宋体" w:eastAsia="宋体" w:hint="default"/>
                <w:sz w:val="18"/>
                <w:szCs w:val="18"/>
              </w:rPr>
              <w:t>按新金融工具准则 计提的损失准备</w:t>
            </w:r>
          </w:p>
        </w:tc>
      </w:tr>
      <w:tr>
        <w:trPr>
          <w:trHeight w:val="427" w:hRule="exact"/>
        </w:trPr>
        <w:tc>
          <w:tcPr>
            <w:tcW w:w="3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以摊余成本计量的金融资产</w:t>
            </w:r>
          </w:p>
        </w:tc>
        <w:tc>
          <w:tcPr>
            <w:tcW w:w="1605" w:type="dxa"/>
            <w:tcBorders>
              <w:top w:val="single" w:sz="6" w:space="0" w:color="000000"/>
              <w:left w:val="single" w:sz="6" w:space="0" w:color="000000"/>
              <w:bottom w:val="single" w:sz="6" w:space="0" w:color="000000"/>
              <w:right w:val="single" w:sz="6" w:space="0" w:color="000000"/>
            </w:tcBorders>
          </w:tcPr>
          <w:p>
            <w:pPr/>
          </w:p>
        </w:tc>
        <w:tc>
          <w:tcPr>
            <w:tcW w:w="1605" w:type="dxa"/>
            <w:tcBorders>
              <w:top w:val="single" w:sz="6" w:space="0" w:color="000000"/>
              <w:left w:val="single" w:sz="6" w:space="0" w:color="000000"/>
              <w:bottom w:val="single" w:sz="6" w:space="0" w:color="000000"/>
              <w:right w:val="single" w:sz="6" w:space="0" w:color="000000"/>
            </w:tcBorders>
          </w:tcPr>
          <w:p>
            <w:pPr/>
          </w:p>
        </w:tc>
        <w:tc>
          <w:tcPr>
            <w:tcW w:w="1605" w:type="dxa"/>
            <w:tcBorders>
              <w:top w:val="single" w:sz="6" w:space="0" w:color="000000"/>
              <w:left w:val="single" w:sz="6" w:space="0" w:color="000000"/>
              <w:bottom w:val="single" w:sz="6" w:space="0" w:color="000000"/>
              <w:right w:val="single" w:sz="6" w:space="0" w:color="000000"/>
            </w:tcBorders>
          </w:tcPr>
          <w:p>
            <w:pPr/>
          </w:p>
        </w:tc>
        <w:tc>
          <w:tcPr>
            <w:tcW w:w="1605" w:type="dxa"/>
            <w:tcBorders>
              <w:top w:val="single" w:sz="6" w:space="0" w:color="000000"/>
              <w:left w:val="single" w:sz="6" w:space="0" w:color="000000"/>
              <w:bottom w:val="single" w:sz="6" w:space="0" w:color="000000"/>
              <w:right w:val="single" w:sz="6" w:space="0" w:color="000000"/>
            </w:tcBorders>
          </w:tcPr>
          <w:p>
            <w:pPr/>
          </w:p>
        </w:tc>
      </w:tr>
      <w:tr>
        <w:trPr>
          <w:trHeight w:val="427" w:hRule="exact"/>
        </w:trPr>
        <w:tc>
          <w:tcPr>
            <w:tcW w:w="3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应收账款坏账准备</w:t>
            </w:r>
          </w:p>
        </w:tc>
        <w:tc>
          <w:tcPr>
            <w:tcW w:w="16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14,468,193.79</w:t>
            </w:r>
          </w:p>
        </w:tc>
        <w:tc>
          <w:tcPr>
            <w:tcW w:w="1605" w:type="dxa"/>
            <w:tcBorders>
              <w:top w:val="single" w:sz="6" w:space="0" w:color="000000"/>
              <w:left w:val="single" w:sz="6" w:space="0" w:color="000000"/>
              <w:bottom w:val="single" w:sz="6" w:space="0" w:color="000000"/>
              <w:right w:val="single" w:sz="6" w:space="0" w:color="000000"/>
            </w:tcBorders>
          </w:tcPr>
          <w:p>
            <w:pPr/>
          </w:p>
        </w:tc>
        <w:tc>
          <w:tcPr>
            <w:tcW w:w="16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right"/>
              <w:rPr>
                <w:rFonts w:ascii="Times New Roman" w:hAnsi="Times New Roman" w:cs="Times New Roman" w:eastAsia="Times New Roman" w:hint="default"/>
                <w:sz w:val="18"/>
                <w:szCs w:val="18"/>
              </w:rPr>
            </w:pPr>
            <w:r>
              <w:rPr>
                <w:rFonts w:ascii="Times New Roman"/>
                <w:w w:val="95"/>
                <w:sz w:val="18"/>
              </w:rPr>
              <w:t>-219,306.71</w:t>
            </w:r>
            <w:r>
              <w:rPr>
                <w:rFonts w:ascii="Times New Roman"/>
                <w:sz w:val="18"/>
              </w:rPr>
            </w:r>
          </w:p>
        </w:tc>
        <w:tc>
          <w:tcPr>
            <w:tcW w:w="16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14,248,887.08</w:t>
            </w:r>
          </w:p>
        </w:tc>
      </w:tr>
      <w:tr>
        <w:trPr>
          <w:trHeight w:val="426" w:hRule="exact"/>
        </w:trPr>
        <w:tc>
          <w:tcPr>
            <w:tcW w:w="3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其他应收款坏账准备</w:t>
            </w:r>
          </w:p>
        </w:tc>
        <w:tc>
          <w:tcPr>
            <w:tcW w:w="16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9,383,880.65</w:t>
            </w:r>
          </w:p>
        </w:tc>
        <w:tc>
          <w:tcPr>
            <w:tcW w:w="1605" w:type="dxa"/>
            <w:tcBorders>
              <w:top w:val="single" w:sz="6" w:space="0" w:color="000000"/>
              <w:left w:val="single" w:sz="6" w:space="0" w:color="000000"/>
              <w:bottom w:val="single" w:sz="6" w:space="0" w:color="000000"/>
              <w:right w:val="single" w:sz="6" w:space="0" w:color="000000"/>
            </w:tcBorders>
          </w:tcPr>
          <w:p>
            <w:pPr/>
          </w:p>
        </w:tc>
        <w:tc>
          <w:tcPr>
            <w:tcW w:w="16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right"/>
              <w:rPr>
                <w:rFonts w:ascii="Times New Roman" w:hAnsi="Times New Roman" w:cs="Times New Roman" w:eastAsia="Times New Roman" w:hint="default"/>
                <w:sz w:val="18"/>
                <w:szCs w:val="18"/>
              </w:rPr>
            </w:pPr>
            <w:r>
              <w:rPr>
                <w:rFonts w:ascii="Times New Roman"/>
                <w:w w:val="95"/>
                <w:sz w:val="18"/>
              </w:rPr>
              <w:t>-199,146.55</w:t>
            </w:r>
            <w:r>
              <w:rPr>
                <w:rFonts w:ascii="Times New Roman"/>
                <w:sz w:val="18"/>
              </w:rPr>
            </w:r>
          </w:p>
        </w:tc>
        <w:tc>
          <w:tcPr>
            <w:tcW w:w="16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9,184,734.10</w:t>
            </w:r>
          </w:p>
        </w:tc>
      </w:tr>
    </w:tbl>
    <w:p>
      <w:pPr>
        <w:spacing w:after="0" w:line="240" w:lineRule="auto"/>
        <w:jc w:val="right"/>
        <w:rPr>
          <w:rFonts w:ascii="Times New Roman" w:hAnsi="Times New Roman" w:cs="Times New Roman" w:eastAsia="Times New Roman" w:hint="default"/>
          <w:sz w:val="18"/>
          <w:szCs w:val="18"/>
        </w:rPr>
        <w:sectPr>
          <w:pgSz w:w="11910" w:h="16840"/>
          <w:pgMar w:header="906" w:footer="1018" w:top="1100" w:bottom="1200" w:left="1020" w:right="0"/>
        </w:sectPr>
      </w:pPr>
    </w:p>
    <w:p>
      <w:pPr>
        <w:spacing w:line="240" w:lineRule="auto" w:before="7"/>
        <w:rPr>
          <w:rFonts w:ascii="宋体" w:hAnsi="宋体" w:cs="宋体" w:eastAsia="宋体" w:hint="default"/>
          <w:sz w:val="25"/>
          <w:szCs w:val="25"/>
        </w:rPr>
      </w:pPr>
    </w:p>
    <w:tbl>
      <w:tblPr>
        <w:tblW w:w="0" w:type="auto"/>
        <w:jc w:val="left"/>
        <w:tblInd w:w="106" w:type="dxa"/>
        <w:tblLayout w:type="fixed"/>
        <w:tblCellMar>
          <w:top w:w="0" w:type="dxa"/>
          <w:left w:w="0" w:type="dxa"/>
          <w:bottom w:w="0" w:type="dxa"/>
          <w:right w:w="0" w:type="dxa"/>
        </w:tblCellMar>
        <w:tblLook w:val="01E0"/>
      </w:tblPr>
      <w:tblGrid>
        <w:gridCol w:w="3217"/>
        <w:gridCol w:w="1605"/>
        <w:gridCol w:w="1605"/>
        <w:gridCol w:w="1605"/>
        <w:gridCol w:w="1605"/>
      </w:tblGrid>
      <w:tr>
        <w:trPr>
          <w:trHeight w:val="427" w:hRule="exact"/>
        </w:trPr>
        <w:tc>
          <w:tcPr>
            <w:tcW w:w="3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6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552" w:right="0"/>
              <w:jc w:val="left"/>
              <w:rPr>
                <w:rFonts w:ascii="Times New Roman" w:hAnsi="Times New Roman" w:cs="Times New Roman" w:eastAsia="Times New Roman" w:hint="default"/>
                <w:sz w:val="18"/>
                <w:szCs w:val="18"/>
              </w:rPr>
            </w:pPr>
            <w:r>
              <w:rPr>
                <w:rFonts w:ascii="Times New Roman"/>
                <w:sz w:val="18"/>
              </w:rPr>
              <w:t>23,852,074.44</w:t>
            </w:r>
          </w:p>
        </w:tc>
        <w:tc>
          <w:tcPr>
            <w:tcW w:w="1605" w:type="dxa"/>
            <w:tcBorders>
              <w:top w:val="single" w:sz="6" w:space="0" w:color="000000"/>
              <w:left w:val="single" w:sz="6" w:space="0" w:color="000000"/>
              <w:bottom w:val="single" w:sz="6" w:space="0" w:color="000000"/>
              <w:right w:val="single" w:sz="6" w:space="0" w:color="000000"/>
            </w:tcBorders>
          </w:tcPr>
          <w:p>
            <w:pPr/>
          </w:p>
        </w:tc>
        <w:tc>
          <w:tcPr>
            <w:tcW w:w="16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718" w:right="0"/>
              <w:jc w:val="left"/>
              <w:rPr>
                <w:rFonts w:ascii="Times New Roman" w:hAnsi="Times New Roman" w:cs="Times New Roman" w:eastAsia="Times New Roman" w:hint="default"/>
                <w:sz w:val="18"/>
                <w:szCs w:val="18"/>
              </w:rPr>
            </w:pPr>
            <w:r>
              <w:rPr>
                <w:rFonts w:ascii="Times New Roman"/>
                <w:sz w:val="18"/>
              </w:rPr>
              <w:t>-418,453.26</w:t>
            </w:r>
          </w:p>
        </w:tc>
        <w:tc>
          <w:tcPr>
            <w:tcW w:w="16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552" w:right="0"/>
              <w:jc w:val="left"/>
              <w:rPr>
                <w:rFonts w:ascii="Times New Roman" w:hAnsi="Times New Roman" w:cs="Times New Roman" w:eastAsia="Times New Roman" w:hint="default"/>
                <w:sz w:val="18"/>
                <w:szCs w:val="18"/>
              </w:rPr>
            </w:pPr>
            <w:r>
              <w:rPr>
                <w:rFonts w:ascii="Times New Roman"/>
                <w:sz w:val="18"/>
              </w:rPr>
              <w:t>23,433,621.18</w:t>
            </w:r>
          </w:p>
        </w:tc>
      </w:tr>
    </w:tbl>
    <w:p>
      <w:pPr>
        <w:spacing w:line="240" w:lineRule="auto" w:before="5"/>
        <w:rPr>
          <w:rFonts w:ascii="宋体" w:hAnsi="宋体" w:cs="宋体" w:eastAsia="宋体" w:hint="default"/>
          <w:sz w:val="27"/>
          <w:szCs w:val="27"/>
        </w:rPr>
      </w:pPr>
    </w:p>
    <w:p>
      <w:pPr>
        <w:pStyle w:val="BodyText"/>
        <w:spacing w:line="240" w:lineRule="auto" w:before="44"/>
        <w:ind w:right="0"/>
        <w:jc w:val="left"/>
      </w:pPr>
      <w:r>
        <w:rPr/>
        <w:t>首次执行日，母公司将原金融资产减值准备调整为按照新金融工具准则规定的损失准备的调节表：</w:t>
      </w:r>
    </w:p>
    <w:p>
      <w:pPr>
        <w:spacing w:line="240" w:lineRule="auto" w:before="2"/>
        <w:rPr>
          <w:rFonts w:ascii="宋体" w:hAnsi="宋体" w:cs="宋体" w:eastAsia="宋体" w:hint="default"/>
          <w:sz w:val="8"/>
          <w:szCs w:val="8"/>
        </w:rPr>
      </w:pPr>
    </w:p>
    <w:tbl>
      <w:tblPr>
        <w:tblW w:w="0" w:type="auto"/>
        <w:jc w:val="left"/>
        <w:tblInd w:w="106" w:type="dxa"/>
        <w:tblLayout w:type="fixed"/>
        <w:tblCellMar>
          <w:top w:w="0" w:type="dxa"/>
          <w:left w:w="0" w:type="dxa"/>
          <w:bottom w:w="0" w:type="dxa"/>
          <w:right w:w="0" w:type="dxa"/>
        </w:tblCellMar>
        <w:tblLook w:val="01E0"/>
      </w:tblPr>
      <w:tblGrid>
        <w:gridCol w:w="3217"/>
        <w:gridCol w:w="1605"/>
        <w:gridCol w:w="1605"/>
        <w:gridCol w:w="1605"/>
        <w:gridCol w:w="1605"/>
      </w:tblGrid>
      <w:tr>
        <w:trPr>
          <w:trHeight w:val="739" w:hRule="exact"/>
        </w:trPr>
        <w:tc>
          <w:tcPr>
            <w:tcW w:w="3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center"/>
              <w:rPr>
                <w:rFonts w:ascii="宋体" w:hAnsi="宋体" w:cs="宋体" w:eastAsia="宋体" w:hint="default"/>
                <w:sz w:val="18"/>
                <w:szCs w:val="18"/>
              </w:rPr>
            </w:pPr>
            <w:r>
              <w:rPr>
                <w:rFonts w:ascii="宋体" w:hAnsi="宋体" w:cs="宋体" w:eastAsia="宋体" w:hint="default"/>
                <w:sz w:val="18"/>
                <w:szCs w:val="18"/>
              </w:rPr>
              <w:t>计量类别</w:t>
            </w:r>
          </w:p>
        </w:tc>
        <w:tc>
          <w:tcPr>
            <w:tcW w:w="1605"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60"/>
              <w:ind w:left="165" w:right="73" w:hanging="90"/>
              <w:jc w:val="left"/>
              <w:rPr>
                <w:rFonts w:ascii="宋体" w:hAnsi="宋体" w:cs="宋体" w:eastAsia="宋体" w:hint="default"/>
                <w:sz w:val="18"/>
                <w:szCs w:val="18"/>
              </w:rPr>
            </w:pPr>
            <w:r>
              <w:rPr>
                <w:rFonts w:ascii="宋体" w:hAnsi="宋体" w:cs="宋体" w:eastAsia="宋体" w:hint="default"/>
                <w:sz w:val="18"/>
                <w:szCs w:val="18"/>
              </w:rPr>
              <w:t>按原金融工具准则 计提的损失准备</w:t>
            </w:r>
          </w:p>
        </w:tc>
        <w:tc>
          <w:tcPr>
            <w:tcW w:w="16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524" w:right="0"/>
              <w:jc w:val="left"/>
              <w:rPr>
                <w:rFonts w:ascii="宋体" w:hAnsi="宋体" w:cs="宋体" w:eastAsia="宋体" w:hint="default"/>
                <w:sz w:val="18"/>
                <w:szCs w:val="18"/>
              </w:rPr>
            </w:pPr>
            <w:r>
              <w:rPr>
                <w:rFonts w:ascii="宋体" w:hAnsi="宋体" w:cs="宋体" w:eastAsia="宋体" w:hint="default"/>
                <w:sz w:val="18"/>
                <w:szCs w:val="18"/>
              </w:rPr>
              <w:t>重分类</w:t>
            </w:r>
          </w:p>
        </w:tc>
        <w:tc>
          <w:tcPr>
            <w:tcW w:w="16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435" w:right="0"/>
              <w:jc w:val="left"/>
              <w:rPr>
                <w:rFonts w:ascii="宋体" w:hAnsi="宋体" w:cs="宋体" w:eastAsia="宋体" w:hint="default"/>
                <w:sz w:val="18"/>
                <w:szCs w:val="18"/>
              </w:rPr>
            </w:pPr>
            <w:r>
              <w:rPr>
                <w:rFonts w:ascii="宋体" w:hAnsi="宋体" w:cs="宋体" w:eastAsia="宋体" w:hint="default"/>
                <w:sz w:val="18"/>
                <w:szCs w:val="18"/>
              </w:rPr>
              <w:t>重新计量</w:t>
            </w:r>
          </w:p>
        </w:tc>
        <w:tc>
          <w:tcPr>
            <w:tcW w:w="1605"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60"/>
              <w:ind w:left="165" w:right="73" w:hanging="90"/>
              <w:jc w:val="left"/>
              <w:rPr>
                <w:rFonts w:ascii="宋体" w:hAnsi="宋体" w:cs="宋体" w:eastAsia="宋体" w:hint="default"/>
                <w:sz w:val="18"/>
                <w:szCs w:val="18"/>
              </w:rPr>
            </w:pPr>
            <w:r>
              <w:rPr>
                <w:rFonts w:ascii="宋体" w:hAnsi="宋体" w:cs="宋体" w:eastAsia="宋体" w:hint="default"/>
                <w:sz w:val="18"/>
                <w:szCs w:val="18"/>
              </w:rPr>
              <w:t>按新金融工具准则 计提的损失准备</w:t>
            </w:r>
          </w:p>
        </w:tc>
      </w:tr>
      <w:tr>
        <w:trPr>
          <w:trHeight w:val="427" w:hRule="exact"/>
        </w:trPr>
        <w:tc>
          <w:tcPr>
            <w:tcW w:w="3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left="2" w:right="0"/>
              <w:jc w:val="left"/>
              <w:rPr>
                <w:rFonts w:ascii="宋体" w:hAnsi="宋体" w:cs="宋体" w:eastAsia="宋体" w:hint="default"/>
                <w:sz w:val="18"/>
                <w:szCs w:val="18"/>
              </w:rPr>
            </w:pPr>
            <w:r>
              <w:rPr>
                <w:rFonts w:ascii="宋体" w:hAnsi="宋体" w:cs="宋体" w:eastAsia="宋体" w:hint="default"/>
                <w:sz w:val="18"/>
                <w:szCs w:val="18"/>
              </w:rPr>
              <w:t>以摊余成本计量的金融资产</w:t>
            </w:r>
          </w:p>
        </w:tc>
        <w:tc>
          <w:tcPr>
            <w:tcW w:w="1605" w:type="dxa"/>
            <w:tcBorders>
              <w:top w:val="single" w:sz="6" w:space="0" w:color="000000"/>
              <w:left w:val="single" w:sz="6" w:space="0" w:color="000000"/>
              <w:bottom w:val="single" w:sz="6" w:space="0" w:color="000000"/>
              <w:right w:val="single" w:sz="6" w:space="0" w:color="000000"/>
            </w:tcBorders>
          </w:tcPr>
          <w:p>
            <w:pPr/>
          </w:p>
        </w:tc>
        <w:tc>
          <w:tcPr>
            <w:tcW w:w="1605" w:type="dxa"/>
            <w:tcBorders>
              <w:top w:val="single" w:sz="6" w:space="0" w:color="000000"/>
              <w:left w:val="single" w:sz="6" w:space="0" w:color="000000"/>
              <w:bottom w:val="single" w:sz="6" w:space="0" w:color="000000"/>
              <w:right w:val="single" w:sz="6" w:space="0" w:color="000000"/>
            </w:tcBorders>
          </w:tcPr>
          <w:p>
            <w:pPr/>
          </w:p>
        </w:tc>
        <w:tc>
          <w:tcPr>
            <w:tcW w:w="1605" w:type="dxa"/>
            <w:tcBorders>
              <w:top w:val="single" w:sz="6" w:space="0" w:color="000000"/>
              <w:left w:val="single" w:sz="6" w:space="0" w:color="000000"/>
              <w:bottom w:val="single" w:sz="6" w:space="0" w:color="000000"/>
              <w:right w:val="single" w:sz="6" w:space="0" w:color="000000"/>
            </w:tcBorders>
          </w:tcPr>
          <w:p>
            <w:pPr/>
          </w:p>
        </w:tc>
        <w:tc>
          <w:tcPr>
            <w:tcW w:w="1605" w:type="dxa"/>
            <w:tcBorders>
              <w:top w:val="single" w:sz="6" w:space="0" w:color="000000"/>
              <w:left w:val="single" w:sz="6" w:space="0" w:color="000000"/>
              <w:bottom w:val="single" w:sz="6" w:space="0" w:color="000000"/>
              <w:right w:val="single" w:sz="6" w:space="0" w:color="000000"/>
            </w:tcBorders>
          </w:tcPr>
          <w:p>
            <w:pPr/>
          </w:p>
        </w:tc>
      </w:tr>
      <w:tr>
        <w:trPr>
          <w:trHeight w:val="427" w:hRule="exact"/>
        </w:trPr>
        <w:tc>
          <w:tcPr>
            <w:tcW w:w="3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应收账款坏账准备</w:t>
            </w:r>
          </w:p>
        </w:tc>
        <w:tc>
          <w:tcPr>
            <w:tcW w:w="16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12,007,099.31</w:t>
            </w:r>
          </w:p>
        </w:tc>
        <w:tc>
          <w:tcPr>
            <w:tcW w:w="1605" w:type="dxa"/>
            <w:tcBorders>
              <w:top w:val="single" w:sz="6" w:space="0" w:color="000000"/>
              <w:left w:val="single" w:sz="6" w:space="0" w:color="000000"/>
              <w:bottom w:val="single" w:sz="6" w:space="0" w:color="000000"/>
              <w:right w:val="single" w:sz="6" w:space="0" w:color="000000"/>
            </w:tcBorders>
          </w:tcPr>
          <w:p>
            <w:pPr/>
          </w:p>
        </w:tc>
        <w:tc>
          <w:tcPr>
            <w:tcW w:w="16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right"/>
              <w:rPr>
                <w:rFonts w:ascii="Times New Roman" w:hAnsi="Times New Roman" w:cs="Times New Roman" w:eastAsia="Times New Roman" w:hint="default"/>
                <w:sz w:val="18"/>
                <w:szCs w:val="18"/>
              </w:rPr>
            </w:pPr>
            <w:r>
              <w:rPr>
                <w:rFonts w:ascii="Times New Roman"/>
                <w:sz w:val="18"/>
              </w:rPr>
              <w:t>180,145.34</w:t>
            </w:r>
          </w:p>
        </w:tc>
        <w:tc>
          <w:tcPr>
            <w:tcW w:w="16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12,187,244.65</w:t>
            </w:r>
          </w:p>
        </w:tc>
      </w:tr>
      <w:tr>
        <w:trPr>
          <w:trHeight w:val="427" w:hRule="exact"/>
        </w:trPr>
        <w:tc>
          <w:tcPr>
            <w:tcW w:w="3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其他应收款坏账准备</w:t>
            </w:r>
          </w:p>
        </w:tc>
        <w:tc>
          <w:tcPr>
            <w:tcW w:w="16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4,828,426.54</w:t>
            </w:r>
          </w:p>
        </w:tc>
        <w:tc>
          <w:tcPr>
            <w:tcW w:w="1605" w:type="dxa"/>
            <w:tcBorders>
              <w:top w:val="single" w:sz="6" w:space="0" w:color="000000"/>
              <w:left w:val="single" w:sz="6" w:space="0" w:color="000000"/>
              <w:bottom w:val="single" w:sz="6" w:space="0" w:color="000000"/>
              <w:right w:val="single" w:sz="6" w:space="0" w:color="000000"/>
            </w:tcBorders>
          </w:tcPr>
          <w:p>
            <w:pPr/>
          </w:p>
        </w:tc>
        <w:tc>
          <w:tcPr>
            <w:tcW w:w="16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right"/>
              <w:rPr>
                <w:rFonts w:ascii="Times New Roman" w:hAnsi="Times New Roman" w:cs="Times New Roman" w:eastAsia="Times New Roman" w:hint="default"/>
                <w:sz w:val="18"/>
                <w:szCs w:val="18"/>
              </w:rPr>
            </w:pPr>
            <w:r>
              <w:rPr>
                <w:rFonts w:ascii="Times New Roman"/>
                <w:spacing w:val="-1"/>
                <w:sz w:val="18"/>
              </w:rPr>
              <w:t>-232,115.58</w:t>
            </w:r>
          </w:p>
        </w:tc>
        <w:tc>
          <w:tcPr>
            <w:tcW w:w="16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4,596,310.96</w:t>
            </w:r>
          </w:p>
        </w:tc>
      </w:tr>
      <w:tr>
        <w:trPr>
          <w:trHeight w:val="427" w:hRule="exact"/>
        </w:trPr>
        <w:tc>
          <w:tcPr>
            <w:tcW w:w="3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6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16,835,525.85</w:t>
            </w:r>
          </w:p>
        </w:tc>
        <w:tc>
          <w:tcPr>
            <w:tcW w:w="1605" w:type="dxa"/>
            <w:tcBorders>
              <w:top w:val="single" w:sz="6" w:space="0" w:color="000000"/>
              <w:left w:val="single" w:sz="6" w:space="0" w:color="000000"/>
              <w:bottom w:val="single" w:sz="6" w:space="0" w:color="000000"/>
              <w:right w:val="single" w:sz="6" w:space="0" w:color="000000"/>
            </w:tcBorders>
          </w:tcPr>
          <w:p>
            <w:pPr/>
          </w:p>
        </w:tc>
        <w:tc>
          <w:tcPr>
            <w:tcW w:w="16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right"/>
              <w:rPr>
                <w:rFonts w:ascii="Times New Roman" w:hAnsi="Times New Roman" w:cs="Times New Roman" w:eastAsia="Times New Roman" w:hint="default"/>
                <w:sz w:val="18"/>
                <w:szCs w:val="18"/>
              </w:rPr>
            </w:pPr>
            <w:r>
              <w:rPr>
                <w:rFonts w:ascii="Times New Roman"/>
                <w:w w:val="95"/>
                <w:sz w:val="18"/>
              </w:rPr>
              <w:t>-51,970.24</w:t>
            </w:r>
            <w:r>
              <w:rPr>
                <w:rFonts w:ascii="Times New Roman"/>
                <w:sz w:val="18"/>
              </w:rPr>
            </w:r>
          </w:p>
        </w:tc>
        <w:tc>
          <w:tcPr>
            <w:tcW w:w="16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16,783,555.61</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r>
        <w:rPr>
          <w:rFonts w:ascii="Times New Roman" w:hAnsi="Times New Roman" w:cs="Times New Roman" w:eastAsia="Times New Roman" w:hint="default"/>
        </w:rPr>
        <w:t>45</w:t>
      </w:r>
      <w:r>
        <w:rPr/>
        <w:t>、其他</w:t>
      </w:r>
      <w:r>
        <w:rPr>
          <w:b w:val="0"/>
          <w:bCs w:val="0"/>
        </w:rPr>
      </w:r>
    </w:p>
    <w:p>
      <w:pPr>
        <w:spacing w:line="240" w:lineRule="auto" w:before="6"/>
        <w:rPr>
          <w:rFonts w:ascii="宋体" w:hAnsi="宋体" w:cs="宋体" w:eastAsia="宋体" w:hint="default"/>
          <w:b/>
          <w:bCs/>
          <w:sz w:val="26"/>
          <w:szCs w:val="26"/>
        </w:rPr>
      </w:pPr>
    </w:p>
    <w:p>
      <w:pPr>
        <w:pStyle w:val="BodyText"/>
        <w:spacing w:line="338" w:lineRule="auto"/>
        <w:ind w:right="1032"/>
        <w:jc w:val="left"/>
      </w:pPr>
      <w:r>
        <w:rPr/>
        <w:t>重大会计判断和估计 </w:t>
      </w:r>
      <w:r>
        <w:rPr>
          <w:spacing w:val="-2"/>
        </w:rPr>
        <w:t>公司在运用会计政策过程中，由于经营活动内在的不确定性，公司需要对无法准确计量的报表项目的账面价值进行判断、估</w:t>
      </w:r>
      <w:r>
        <w:rPr>
          <w:spacing w:val="-65"/>
        </w:rPr>
        <w:t> </w:t>
      </w:r>
      <w:r>
        <w:rPr>
          <w:spacing w:val="-65"/>
        </w:rPr>
      </w:r>
      <w:r>
        <w:rPr/>
        <w:t>计和假设。这些判断、估计和假设是基于公司管理层过去的历史经验，并在考虑其他相关因素的基础上做出的。这些判断、</w:t>
      </w:r>
    </w:p>
    <w:p>
      <w:pPr>
        <w:pStyle w:val="BodyText"/>
        <w:spacing w:line="316" w:lineRule="auto" w:before="2"/>
        <w:ind w:right="0"/>
        <w:jc w:val="left"/>
      </w:pPr>
      <w:r>
        <w:rPr>
          <w:spacing w:val="-2"/>
        </w:rPr>
        <w:t>估计和假设会影响收入、费用、资产和负债的报告金额以及资产负债表日或有负债的披露。然而，这些估计的不确定性所导</w:t>
      </w:r>
      <w:r>
        <w:rPr>
          <w:spacing w:val="-66"/>
        </w:rPr>
        <w:t> </w:t>
      </w:r>
      <w:r>
        <w:rPr>
          <w:spacing w:val="-66"/>
        </w:rPr>
      </w:r>
      <w:r>
        <w:rPr/>
        <w:t>致的实际结果可能与公司管理层当前的估计存在差异，进而造成对未来受影响的资产或负债的账面金额进行重大调整。</w:t>
      </w:r>
    </w:p>
    <w:p>
      <w:pPr>
        <w:pStyle w:val="BodyText"/>
        <w:spacing w:line="338" w:lineRule="auto" w:before="59"/>
        <w:ind w:right="0"/>
        <w:jc w:val="left"/>
      </w:pPr>
      <w:r>
        <w:rPr>
          <w:spacing w:val="-2"/>
        </w:rPr>
        <w:t>公司对前述判断、估计和假设在持续经营的基础上进行定期复核，会计估计的变更仅影响变更当期的，其影响数在变更当期</w:t>
      </w:r>
      <w:r>
        <w:rPr>
          <w:spacing w:val="-64"/>
        </w:rPr>
        <w:t> </w:t>
      </w:r>
      <w:r>
        <w:rPr>
          <w:spacing w:val="-64"/>
        </w:rPr>
      </w:r>
      <w:r>
        <w:rPr/>
        <w:t>予以确认；既影响变更当期又影响未来期间的，其影响数在变更当期和未来期间予以确认。</w:t>
      </w:r>
      <w:r>
        <w:rPr/>
        <w:t> 于资产负债表日，公司需对财务报表项目金额进行判断、估计和假设的重要领域如下：</w:t>
      </w:r>
    </w:p>
    <w:p>
      <w:pPr>
        <w:spacing w:line="240" w:lineRule="auto" w:before="0"/>
        <w:rPr>
          <w:rFonts w:ascii="宋体" w:hAnsi="宋体" w:cs="宋体" w:eastAsia="宋体" w:hint="default"/>
          <w:sz w:val="18"/>
          <w:szCs w:val="18"/>
        </w:rPr>
      </w:pPr>
    </w:p>
    <w:p>
      <w:pPr>
        <w:pStyle w:val="BodyText"/>
        <w:spacing w:line="338" w:lineRule="auto" w:before="159"/>
        <w:ind w:right="0"/>
        <w:jc w:val="left"/>
      </w:pPr>
      <w:r>
        <w:rPr/>
        <w:t>（1）金融工具减值 </w:t>
      </w:r>
      <w:r>
        <w:rPr>
          <w:spacing w:val="-2"/>
        </w:rPr>
        <w:t>公司采用预期信用损失模型对金融工具的减值进行评估，应用预期信用损失模型需要做出重大判断和估计，需考虑所有合理</w:t>
      </w:r>
      <w:r>
        <w:rPr>
          <w:spacing w:val="-64"/>
        </w:rPr>
        <w:t> </w:t>
      </w:r>
      <w:r>
        <w:rPr>
          <w:spacing w:val="-64"/>
        </w:rPr>
      </w:r>
      <w:r>
        <w:rPr>
          <w:spacing w:val="-2"/>
        </w:rPr>
        <w:t>且有依据的信息，包括前瞻性信息。在做出该等判断和估计时，公司根据历史还款数据结合经济政策、宏观经济指标、行业</w:t>
      </w:r>
    </w:p>
    <w:p>
      <w:pPr>
        <w:pStyle w:val="BodyText"/>
        <w:spacing w:line="240" w:lineRule="auto" w:before="2"/>
        <w:ind w:right="0"/>
        <w:jc w:val="left"/>
      </w:pPr>
      <w:r>
        <w:rPr/>
        <w:t>风险等因素推断债务人信用风险的预期变动。</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7"/>
          <w:szCs w:val="17"/>
        </w:rPr>
      </w:pPr>
    </w:p>
    <w:p>
      <w:pPr>
        <w:pStyle w:val="BodyText"/>
        <w:spacing w:line="338" w:lineRule="auto"/>
        <w:ind w:right="0"/>
        <w:jc w:val="left"/>
      </w:pPr>
      <w:r>
        <w:rPr/>
        <w:t>（2）存货跌价准备 </w:t>
      </w:r>
      <w:r>
        <w:rPr>
          <w:spacing w:val="-4"/>
        </w:rPr>
        <w:t>公司根据存货会计政策，按照成本与可变现净值孰低计量，对成本高于可变现净值及陈旧和滞销的存货，计提存货跌价准备。</w:t>
      </w:r>
      <w:r>
        <w:rPr>
          <w:spacing w:val="-45"/>
        </w:rPr>
        <w:t> </w:t>
      </w:r>
      <w:r>
        <w:rPr>
          <w:spacing w:val="-45"/>
        </w:rPr>
      </w:r>
      <w:r>
        <w:rPr>
          <w:spacing w:val="-2"/>
        </w:rPr>
        <w:t>存货减值至可变现净值是基于评估存货的可售性及其可变现净值。鉴定存货减值要求管理层在取得确凿证据，并且考虑持有</w:t>
      </w:r>
    </w:p>
    <w:p>
      <w:pPr>
        <w:pStyle w:val="BodyText"/>
        <w:spacing w:line="319" w:lineRule="auto" w:before="2"/>
        <w:ind w:right="0"/>
        <w:jc w:val="left"/>
      </w:pPr>
      <w:r>
        <w:rPr>
          <w:spacing w:val="-2"/>
        </w:rPr>
        <w:t>存货的目的、资产负债表日后事项的影响等因素的基础上作出判断和估计。实际的结果与原先估计的差异将在估计被改变的</w:t>
      </w:r>
      <w:r>
        <w:rPr>
          <w:spacing w:val="-64"/>
        </w:rPr>
        <w:t> </w:t>
      </w:r>
      <w:r>
        <w:rPr>
          <w:spacing w:val="-64"/>
        </w:rPr>
      </w:r>
      <w:r>
        <w:rPr/>
        <w:t>期间影响存货的账面价值及存货跌价准备的计提或转回。</w:t>
      </w: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13"/>
          <w:szCs w:val="13"/>
        </w:rPr>
      </w:pPr>
    </w:p>
    <w:p>
      <w:pPr>
        <w:pStyle w:val="BodyText"/>
        <w:spacing w:line="338" w:lineRule="auto"/>
        <w:ind w:right="0"/>
        <w:jc w:val="left"/>
      </w:pPr>
      <w:r>
        <w:rPr/>
        <w:t>（3）长期资产减值准备 </w:t>
      </w:r>
      <w:r>
        <w:rPr>
          <w:spacing w:val="-2"/>
        </w:rPr>
        <w:t>公司于资产负债表日对除金融资产之外的非流动资产判断是否存在可能发生减值的迹象。对使用寿命不确定的无形资产，除</w:t>
      </w:r>
      <w:r>
        <w:rPr>
          <w:spacing w:val="-64"/>
        </w:rPr>
        <w:t> </w:t>
      </w:r>
      <w:r>
        <w:rPr>
          <w:spacing w:val="-64"/>
        </w:rPr>
      </w:r>
      <w:r>
        <w:rPr>
          <w:spacing w:val="-2"/>
        </w:rPr>
        <w:t>每年进行的减值测试外，当其存在减值迹象时，也进行减值测试。其他除金融资产之外的非流动资产，当存在迹象表明其账</w:t>
      </w:r>
    </w:p>
    <w:p>
      <w:pPr>
        <w:pStyle w:val="BodyText"/>
        <w:spacing w:line="338" w:lineRule="auto" w:before="2"/>
        <w:ind w:right="0"/>
        <w:jc w:val="left"/>
      </w:pPr>
      <w:r>
        <w:rPr/>
        <w:t>面金额不可收回时，进行减值测试。 </w:t>
      </w:r>
      <w:r>
        <w:rPr>
          <w:spacing w:val="-2"/>
        </w:rPr>
        <w:t>当资产或资产组的账面价值高于可收回金额，即公允价值减去处置费用后的净额和预计未来现金流量的现值中的较高者，表</w:t>
      </w:r>
      <w:r>
        <w:rPr>
          <w:spacing w:val="-64"/>
        </w:rPr>
        <w:t> </w:t>
      </w:r>
      <w:r>
        <w:rPr>
          <w:spacing w:val="-64"/>
        </w:rPr>
      </w:r>
      <w:r>
        <w:rPr/>
        <w:t>明发生了减值。</w:t>
      </w:r>
    </w:p>
    <w:p>
      <w:pPr>
        <w:pStyle w:val="BodyText"/>
        <w:spacing w:line="316" w:lineRule="auto" w:before="43"/>
        <w:ind w:right="0"/>
        <w:jc w:val="left"/>
      </w:pPr>
      <w:r>
        <w:rPr>
          <w:spacing w:val="-2"/>
        </w:rPr>
        <w:t>公允价值减去处置费用后的净额，参考公平交易中类似资产的销售协议价格或可观察到的市场价格，减去可直接归属于该资</w:t>
      </w:r>
      <w:r>
        <w:rPr>
          <w:spacing w:val="-64"/>
        </w:rPr>
        <w:t> </w:t>
      </w:r>
      <w:r>
        <w:rPr>
          <w:spacing w:val="-64"/>
        </w:rPr>
      </w:r>
      <w:r>
        <w:rPr/>
        <w:t>产处置的增量成本确定。</w:t>
      </w:r>
    </w:p>
    <w:p>
      <w:pPr>
        <w:spacing w:after="0" w:line="316" w:lineRule="auto"/>
        <w:jc w:val="left"/>
        <w:sectPr>
          <w:pgSz w:w="11910" w:h="16840"/>
          <w:pgMar w:header="906" w:footer="1018" w:top="1100" w:bottom="1200" w:left="1020" w:right="0"/>
        </w:sectPr>
      </w:pPr>
    </w:p>
    <w:p>
      <w:pPr>
        <w:spacing w:line="240" w:lineRule="auto" w:before="11"/>
        <w:rPr>
          <w:rFonts w:ascii="宋体" w:hAnsi="宋体" w:cs="宋体" w:eastAsia="宋体" w:hint="default"/>
          <w:sz w:val="22"/>
          <w:szCs w:val="22"/>
        </w:rPr>
      </w:pPr>
    </w:p>
    <w:p>
      <w:pPr>
        <w:pStyle w:val="BodyText"/>
        <w:spacing w:line="316" w:lineRule="auto" w:before="44"/>
        <w:ind w:right="1128"/>
        <w:jc w:val="both"/>
      </w:pPr>
      <w:r>
        <w:rPr>
          <w:spacing w:val="-2"/>
        </w:rPr>
        <w:t>在预计未来现金流量现值时，需要对该资产（或资产组）的产量、售价、相关经营成本以及计算现值时使用的折现率等作出</w:t>
      </w:r>
      <w:r>
        <w:rPr>
          <w:spacing w:val="-65"/>
        </w:rPr>
        <w:t> </w:t>
      </w:r>
      <w:r>
        <w:rPr>
          <w:spacing w:val="-65"/>
        </w:rPr>
      </w:r>
      <w:r>
        <w:rPr>
          <w:spacing w:val="-2"/>
        </w:rPr>
        <w:t>重大判断。公司在估计可收回金额时会采用所有能够获得的相关资料，包括根据合理和可支持的假设所作出有关产量、售价</w:t>
      </w:r>
      <w:r>
        <w:rPr>
          <w:spacing w:val="-67"/>
        </w:rPr>
        <w:t> </w:t>
      </w:r>
      <w:r>
        <w:rPr>
          <w:spacing w:val="-67"/>
        </w:rPr>
      </w:r>
      <w:r>
        <w:rPr/>
        <w:t>和相关经营成本的预测。</w:t>
      </w:r>
    </w:p>
    <w:p>
      <w:pPr>
        <w:spacing w:line="240" w:lineRule="auto" w:before="0"/>
        <w:rPr>
          <w:rFonts w:ascii="宋体" w:hAnsi="宋体" w:cs="宋体" w:eastAsia="宋体" w:hint="default"/>
          <w:sz w:val="18"/>
          <w:szCs w:val="18"/>
        </w:rPr>
      </w:pPr>
    </w:p>
    <w:p>
      <w:pPr>
        <w:spacing w:line="240" w:lineRule="auto" w:before="5"/>
        <w:rPr>
          <w:rFonts w:ascii="宋体" w:hAnsi="宋体" w:cs="宋体" w:eastAsia="宋体" w:hint="default"/>
          <w:sz w:val="13"/>
          <w:szCs w:val="13"/>
        </w:rPr>
      </w:pPr>
    </w:p>
    <w:p>
      <w:pPr>
        <w:pStyle w:val="BodyText"/>
        <w:spacing w:line="338" w:lineRule="auto"/>
        <w:ind w:right="0"/>
        <w:jc w:val="left"/>
      </w:pPr>
      <w:r>
        <w:rPr/>
        <w:t>（4）商誉减值准备 </w:t>
      </w:r>
      <w:r>
        <w:rPr>
          <w:spacing w:val="-2"/>
        </w:rPr>
        <w:t>在对商誉进行减值测试时，需对包含商誉的相关资产组或资产组组合的可收回金额进行估计，该金额根据其公允价值减去处</w:t>
      </w:r>
      <w:r>
        <w:rPr>
          <w:spacing w:val="-64"/>
        </w:rPr>
        <w:t> </w:t>
      </w:r>
      <w:r>
        <w:rPr>
          <w:spacing w:val="-64"/>
        </w:rPr>
      </w:r>
      <w:r>
        <w:rPr>
          <w:spacing w:val="-2"/>
        </w:rPr>
        <w:t>置费用后的净额与预计未来现金净流量的现值两者孰高确定。在计算未来现金流量现值时，需要对包含商誉的资产组或资产</w:t>
      </w:r>
    </w:p>
    <w:p>
      <w:pPr>
        <w:pStyle w:val="BodyText"/>
        <w:spacing w:line="240" w:lineRule="auto" w:before="2"/>
        <w:ind w:right="0"/>
        <w:jc w:val="left"/>
      </w:pPr>
      <w:r>
        <w:rPr/>
        <w:t>组组合的未来现金流量进行预计，同时确定一个适当地反映当前市场货币时间价值和资产特定风险的税前折现率。</w:t>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7"/>
          <w:szCs w:val="17"/>
        </w:rPr>
      </w:pPr>
    </w:p>
    <w:p>
      <w:pPr>
        <w:pStyle w:val="BodyText"/>
        <w:spacing w:line="338" w:lineRule="auto"/>
        <w:ind w:right="0"/>
        <w:jc w:val="left"/>
      </w:pPr>
      <w:r>
        <w:rPr/>
        <w:t>（5）折旧和摊销 </w:t>
      </w:r>
      <w:r>
        <w:rPr>
          <w:spacing w:val="-2"/>
        </w:rPr>
        <w:t>公司对投资性房地产、固定资产和无形资产在考虑其残值后，在使用寿命内按直线法计提折旧和摊销。公司定期复核使用寿</w:t>
      </w:r>
      <w:r>
        <w:rPr>
          <w:spacing w:val="-65"/>
        </w:rPr>
        <w:t> </w:t>
      </w:r>
      <w:r>
        <w:rPr>
          <w:spacing w:val="-65"/>
        </w:rPr>
      </w:r>
      <w:r>
        <w:rPr>
          <w:spacing w:val="-2"/>
        </w:rPr>
        <w:t>命，以决定将计入每个报告期的折旧和摊销费用数额。使用寿命是公司根据对同类资产的以往经验并结合预期的技术更新而</w:t>
      </w:r>
    </w:p>
    <w:p>
      <w:pPr>
        <w:pStyle w:val="BodyText"/>
        <w:spacing w:line="240" w:lineRule="auto" w:before="2"/>
        <w:ind w:right="0"/>
        <w:jc w:val="left"/>
      </w:pPr>
      <w:r>
        <w:rPr/>
        <w:t>确定的。如果以前的估计发生重大变化，则会在未来期间对折旧和摊销费用进行调整。</w:t>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7"/>
          <w:szCs w:val="17"/>
        </w:rPr>
      </w:pPr>
    </w:p>
    <w:p>
      <w:pPr>
        <w:pStyle w:val="BodyText"/>
        <w:spacing w:line="338" w:lineRule="auto"/>
        <w:ind w:right="1032"/>
        <w:jc w:val="left"/>
      </w:pPr>
      <w:r>
        <w:rPr/>
        <w:t>（6）递延所得税资产 </w:t>
      </w:r>
      <w:r>
        <w:rPr>
          <w:spacing w:val="-2"/>
        </w:rPr>
        <w:t>在很有可能有足够的应纳税利润来抵扣亏损的限度内，公司就所有未利用的税务亏损确认递延所得税资产。这需要公司管理</w:t>
      </w:r>
      <w:r>
        <w:rPr>
          <w:spacing w:val="-64"/>
        </w:rPr>
        <w:t> </w:t>
      </w:r>
      <w:r>
        <w:rPr>
          <w:spacing w:val="-64"/>
        </w:rPr>
      </w:r>
      <w:r>
        <w:rPr/>
        <w:t>层运用大量的判断来估计未来应纳税利润发生的时间和金额，结合纳税筹划策略，以决定应确认的递延所得税资产的金额。</w:t>
      </w:r>
    </w:p>
    <w:p>
      <w:pPr>
        <w:spacing w:line="240" w:lineRule="auto" w:before="0"/>
        <w:rPr>
          <w:rFonts w:ascii="宋体" w:hAnsi="宋体" w:cs="宋体" w:eastAsia="宋体" w:hint="default"/>
          <w:sz w:val="18"/>
          <w:szCs w:val="18"/>
        </w:rPr>
      </w:pPr>
    </w:p>
    <w:p>
      <w:pPr>
        <w:pStyle w:val="BodyText"/>
        <w:spacing w:line="338" w:lineRule="auto" w:before="159"/>
        <w:ind w:right="1032"/>
        <w:jc w:val="left"/>
      </w:pPr>
      <w:r>
        <w:rPr/>
        <w:t>（7）所得税 </w:t>
      </w:r>
      <w:r>
        <w:rPr>
          <w:spacing w:val="-2"/>
        </w:rPr>
        <w:t>公司在正常的经营活动中，有部分交易其最终的税务处理和计算存在一定的不确定性。部分项目是否能够在税前列支需要税</w:t>
      </w:r>
      <w:r>
        <w:rPr>
          <w:spacing w:val="-64"/>
        </w:rPr>
        <w:t> </w:t>
      </w:r>
      <w:r>
        <w:rPr>
          <w:spacing w:val="-64"/>
        </w:rPr>
      </w:r>
      <w:r>
        <w:rPr>
          <w:spacing w:val="-2"/>
        </w:rPr>
        <w:t>收主管机关的审批。如果这些税务事项的最终认定结果同最初估计的金额存在差异，则该差异将对其最终认定期间的当期所</w:t>
      </w:r>
    </w:p>
    <w:p>
      <w:pPr>
        <w:pStyle w:val="BodyText"/>
        <w:spacing w:line="240" w:lineRule="auto" w:before="2"/>
        <w:ind w:right="0"/>
        <w:jc w:val="left"/>
      </w:pPr>
      <w:r>
        <w:rPr/>
        <w:t>得税和递延所得税产生影响。</w:t>
      </w:r>
    </w:p>
    <w:p>
      <w:pPr>
        <w:spacing w:line="240" w:lineRule="auto" w:before="1"/>
        <w:rPr>
          <w:rFonts w:ascii="宋体" w:hAnsi="宋体" w:cs="宋体" w:eastAsia="宋体" w:hint="default"/>
          <w:sz w:val="25"/>
          <w:szCs w:val="25"/>
        </w:rPr>
      </w:pPr>
    </w:p>
    <w:p>
      <w:pPr>
        <w:pStyle w:val="Heading2"/>
        <w:spacing w:line="240" w:lineRule="auto"/>
        <w:ind w:right="0"/>
        <w:jc w:val="left"/>
        <w:rPr>
          <w:b w:val="0"/>
          <w:bCs w:val="0"/>
        </w:rPr>
      </w:pPr>
      <w:r>
        <w:rPr/>
        <w:t>六、税项</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r>
        <w:rPr>
          <w:rFonts w:ascii="Times New Roman" w:hAnsi="Times New Roman" w:cs="Times New Roman" w:eastAsia="Times New Roman" w:hint="default"/>
        </w:rPr>
        <w:t>1</w:t>
      </w:r>
      <w:r>
        <w:rPr/>
        <w:t>、主要税种及税率</w:t>
      </w:r>
      <w:r>
        <w:rPr>
          <w:b w:val="0"/>
          <w:bCs w:val="0"/>
        </w:rPr>
      </w:r>
    </w:p>
    <w:p>
      <w:pPr>
        <w:spacing w:line="240" w:lineRule="auto" w:before="10"/>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税种</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计税依据</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税率</w:t>
            </w:r>
          </w:p>
        </w:tc>
      </w:tr>
      <w:tr>
        <w:trPr>
          <w:trHeight w:val="715"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2" w:right="195"/>
              <w:jc w:val="left"/>
              <w:rPr>
                <w:rFonts w:ascii="宋体" w:hAnsi="宋体" w:cs="宋体" w:eastAsia="宋体" w:hint="default"/>
                <w:sz w:val="18"/>
                <w:szCs w:val="18"/>
              </w:rPr>
            </w:pPr>
            <w:r>
              <w:rPr>
                <w:rFonts w:ascii="宋体" w:hAnsi="宋体" w:cs="宋体" w:eastAsia="宋体" w:hint="default"/>
                <w:sz w:val="18"/>
                <w:szCs w:val="18"/>
              </w:rPr>
              <w:t>按销项税额扣除可抵扣进项税额后的 差额部分计缴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w:t>
            </w:r>
            <w:r>
              <w:rPr>
                <w:rFonts w:ascii="Times New Roman" w:hAnsi="Times New Roman" w:cs="Times New Roman" w:eastAsia="Times New Roman" w:hint="default"/>
                <w:sz w:val="18"/>
                <w:szCs w:val="18"/>
              </w:rPr>
              <w:t>13%</w:t>
            </w:r>
            <w:r>
              <w:rPr>
                <w:rFonts w:ascii="宋体" w:hAnsi="宋体" w:cs="宋体" w:eastAsia="宋体" w:hint="default"/>
                <w:sz w:val="18"/>
                <w:szCs w:val="18"/>
              </w:rPr>
              <w:t>、</w:t>
            </w:r>
            <w:r>
              <w:rPr>
                <w:rFonts w:ascii="Times New Roman" w:hAnsi="Times New Roman" w:cs="Times New Roman" w:eastAsia="Times New Roman" w:hint="default"/>
                <w:sz w:val="18"/>
                <w:szCs w:val="18"/>
              </w:rPr>
              <w:t>16%(</w:t>
            </w:r>
            <w:r>
              <w:rPr>
                <w:rFonts w:ascii="宋体" w:hAnsi="宋体" w:cs="宋体" w:eastAsia="宋体" w:hint="default"/>
                <w:sz w:val="18"/>
                <w:szCs w:val="18"/>
              </w:rPr>
              <w:t>注</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按应交增值税计缴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03" w:right="0"/>
              <w:jc w:val="left"/>
              <w:rPr>
                <w:rFonts w:ascii="Times New Roman" w:hAnsi="Times New Roman" w:cs="Times New Roman" w:eastAsia="Times New Roman" w:hint="default"/>
                <w:sz w:val="18"/>
                <w:szCs w:val="18"/>
              </w:rPr>
            </w:pPr>
            <w:r>
              <w:rPr>
                <w:rFonts w:ascii="Times New Roman"/>
                <w:sz w:val="18"/>
              </w:rPr>
              <w:t>7%</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按应纳税所得额计缴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17%</w:t>
            </w:r>
            <w:r>
              <w:rPr>
                <w:rFonts w:ascii="宋体" w:hAnsi="宋体" w:cs="宋体" w:eastAsia="宋体" w:hint="default"/>
                <w:sz w:val="18"/>
                <w:szCs w:val="18"/>
              </w:rPr>
              <w:t>、</w:t>
            </w:r>
            <w:r>
              <w:rPr>
                <w:rFonts w:ascii="Times New Roman" w:hAnsi="Times New Roman" w:cs="Times New Roman" w:eastAsia="Times New Roman" w:hint="default"/>
                <w:sz w:val="18"/>
                <w:szCs w:val="18"/>
              </w:rPr>
              <w:t>24%</w:t>
            </w:r>
            <w:r>
              <w:rPr>
                <w:rFonts w:ascii="宋体" w:hAnsi="宋体" w:cs="宋体" w:eastAsia="宋体" w:hint="default"/>
                <w:sz w:val="18"/>
                <w:szCs w:val="18"/>
              </w:rPr>
              <w:t>、</w:t>
            </w:r>
            <w:r>
              <w:rPr>
                <w:rFonts w:ascii="Times New Roman" w:hAnsi="Times New Roman" w:cs="Times New Roman" w:eastAsia="Times New Roman" w:hint="default"/>
                <w:sz w:val="18"/>
                <w:szCs w:val="18"/>
              </w:rPr>
              <w:t>25%</w:t>
            </w:r>
            <w:r>
              <w:rPr>
                <w:rFonts w:ascii="宋体" w:hAnsi="宋体" w:cs="宋体" w:eastAsia="宋体" w:hint="default"/>
                <w:sz w:val="18"/>
                <w:szCs w:val="18"/>
              </w:rPr>
              <w:t>、</w:t>
            </w:r>
            <w:r>
              <w:rPr>
                <w:rFonts w:ascii="Times New Roman" w:hAnsi="Times New Roman" w:cs="Times New Roman" w:eastAsia="Times New Roman" w:hint="default"/>
                <w:sz w:val="18"/>
                <w:szCs w:val="18"/>
              </w:rPr>
              <w:t>30%(</w:t>
            </w:r>
            <w:r>
              <w:rPr>
                <w:rFonts w:ascii="宋体" w:hAnsi="宋体" w:cs="宋体" w:eastAsia="宋体" w:hint="default"/>
                <w:sz w:val="18"/>
                <w:szCs w:val="18"/>
              </w:rPr>
              <w:t>注</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按应交增值税计缴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03" w:right="0"/>
              <w:jc w:val="left"/>
              <w:rPr>
                <w:rFonts w:ascii="Times New Roman" w:hAnsi="Times New Roman" w:cs="Times New Roman" w:eastAsia="Times New Roman" w:hint="default"/>
                <w:sz w:val="18"/>
                <w:szCs w:val="18"/>
              </w:rPr>
            </w:pPr>
            <w:r>
              <w:rPr>
                <w:rFonts w:ascii="Times New Roman"/>
                <w:sz w:val="18"/>
              </w:rPr>
              <w:t>5%</w:t>
            </w:r>
          </w:p>
        </w:tc>
      </w:tr>
      <w:tr>
        <w:trPr>
          <w:trHeight w:val="2274"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49"/>
              <w:ind w:left="102" w:right="101"/>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2"/>
                <w:sz w:val="18"/>
                <w:szCs w:val="18"/>
              </w:rPr>
              <w:t> </w:t>
            </w: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：据《财政部、税务总局、海关总</w:t>
            </w:r>
            <w:r>
              <w:rPr>
                <w:rFonts w:ascii="宋体" w:hAnsi="宋体" w:cs="宋体" w:eastAsia="宋体" w:hint="default"/>
                <w:sz w:val="18"/>
                <w:szCs w:val="18"/>
              </w:rPr>
              <w:t> 署关于深化增值税改革有关政策的公 告》</w:t>
            </w:r>
            <w:r>
              <w:rPr>
                <w:rFonts w:ascii="Times New Roman" w:hAnsi="Times New Roman" w:cs="Times New Roman" w:eastAsia="Times New Roman" w:hint="default"/>
                <w:sz w:val="18"/>
                <w:szCs w:val="18"/>
              </w:rPr>
              <w:t>(</w:t>
            </w:r>
            <w:r>
              <w:rPr>
                <w:rFonts w:ascii="宋体" w:hAnsi="宋体" w:cs="宋体" w:eastAsia="宋体" w:hint="default"/>
                <w:sz w:val="18"/>
                <w:szCs w:val="18"/>
              </w:rPr>
              <w:t>财政部、税务总局、海关总署公 告</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39 </w:t>
            </w:r>
            <w:r>
              <w:rPr>
                <w:rFonts w:ascii="宋体" w:hAnsi="宋体" w:cs="宋体" w:eastAsia="宋体" w:hint="default"/>
                <w:spacing w:val="-3"/>
                <w:sz w:val="18"/>
                <w:szCs w:val="18"/>
              </w:rPr>
              <w:t>号</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规定，自</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pacing w:val="-6"/>
                <w:sz w:val="18"/>
                <w:szCs w:val="18"/>
              </w:rPr>
              <w:t>日起，增值税一般纳税人发生增值</w:t>
            </w:r>
            <w:r>
              <w:rPr>
                <w:rFonts w:ascii="宋体" w:hAnsi="宋体" w:cs="宋体" w:eastAsia="宋体" w:hint="default"/>
                <w:sz w:val="18"/>
                <w:szCs w:val="18"/>
              </w:rPr>
              <w:t> </w:t>
            </w:r>
            <w:r>
              <w:rPr>
                <w:rFonts w:ascii="宋体" w:hAnsi="宋体" w:cs="宋体" w:eastAsia="宋体" w:hint="default"/>
                <w:spacing w:val="-6"/>
                <w:sz w:val="18"/>
                <w:szCs w:val="18"/>
              </w:rPr>
              <w:t>税应税销售行为或者进口货物，原适用</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Times New Roman" w:hAnsi="Times New Roman" w:cs="Times New Roman" w:eastAsia="Times New Roman" w:hint="default"/>
                <w:sz w:val="18"/>
                <w:szCs w:val="18"/>
              </w:rPr>
              <w:t>16%</w:t>
            </w:r>
            <w:r>
              <w:rPr>
                <w:rFonts w:ascii="宋体" w:hAnsi="宋体" w:cs="宋体" w:eastAsia="宋体" w:hint="default"/>
                <w:sz w:val="18"/>
                <w:szCs w:val="18"/>
              </w:rPr>
              <w:t>税率的，税率调整为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w:t>
            </w:r>
            <w:r>
              <w:rPr>
                <w:rFonts w:ascii="宋体" w:hAnsi="宋体" w:cs="宋体" w:eastAsia="宋体" w:hint="default"/>
                <w:sz w:val="18"/>
                <w:szCs w:val="18"/>
              </w:rPr>
              <w:t>。</w:t>
            </w:r>
          </w:p>
        </w:tc>
        <w:tc>
          <w:tcPr>
            <w:tcW w:w="3190"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11"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102" w:right="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0"/>
                <w:sz w:val="18"/>
                <w:szCs w:val="18"/>
              </w:rPr>
              <w:t> </w:t>
            </w: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：新加坡境内子公司所得税按照应</w:t>
            </w:r>
          </w:p>
        </w:tc>
        <w:tc>
          <w:tcPr>
            <w:tcW w:w="3190"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6" w:footer="1018" w:top="1100" w:bottom="1200" w:left="1020" w:right="0"/>
        </w:sectPr>
      </w:pPr>
    </w:p>
    <w:p>
      <w:pPr>
        <w:spacing w:line="240" w:lineRule="auto" w:before="7"/>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1298"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10"/>
              <w:ind w:left="102" w:right="101"/>
              <w:jc w:val="left"/>
              <w:rPr>
                <w:rFonts w:ascii="宋体" w:hAnsi="宋体" w:cs="宋体" w:eastAsia="宋体" w:hint="default"/>
                <w:sz w:val="18"/>
                <w:szCs w:val="18"/>
              </w:rPr>
            </w:pPr>
            <w:r>
              <w:rPr>
                <w:rFonts w:ascii="宋体" w:hAnsi="宋体" w:cs="宋体" w:eastAsia="宋体" w:hint="default"/>
                <w:sz w:val="18"/>
                <w:szCs w:val="18"/>
              </w:rPr>
              <w:t>纳税所得额的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w:t>
            </w:r>
            <w:r>
              <w:rPr>
                <w:rFonts w:ascii="宋体" w:hAnsi="宋体" w:cs="宋体" w:eastAsia="宋体" w:hint="default"/>
                <w:sz w:val="18"/>
                <w:szCs w:val="18"/>
              </w:rPr>
              <w:t>计缴；肯尼亚境内 子公司所得税按照应纳税所得额的 </w:t>
            </w:r>
            <w:r>
              <w:rPr>
                <w:rFonts w:ascii="Times New Roman" w:hAnsi="Times New Roman" w:cs="Times New Roman" w:eastAsia="Times New Roman" w:hint="default"/>
                <w:spacing w:val="-4"/>
                <w:sz w:val="18"/>
                <w:szCs w:val="18"/>
              </w:rPr>
              <w:t>30%</w:t>
            </w:r>
            <w:r>
              <w:rPr>
                <w:rFonts w:ascii="宋体" w:hAnsi="宋体" w:cs="宋体" w:eastAsia="宋体" w:hint="default"/>
                <w:spacing w:val="-4"/>
                <w:sz w:val="18"/>
                <w:szCs w:val="18"/>
              </w:rPr>
              <w:t>计缴；马来西亚境内子公司所得税</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按照应纳税所得额的</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24%</w:t>
            </w:r>
            <w:r>
              <w:rPr>
                <w:rFonts w:ascii="宋体" w:hAnsi="宋体" w:cs="宋体" w:eastAsia="宋体" w:hint="default"/>
                <w:sz w:val="18"/>
                <w:szCs w:val="18"/>
              </w:rPr>
              <w:t>计缴。</w:t>
            </w:r>
          </w:p>
        </w:tc>
        <w:tc>
          <w:tcPr>
            <w:tcW w:w="3190"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49"/>
        <w:ind w:right="0"/>
        <w:jc w:val="left"/>
      </w:pPr>
      <w:r>
        <w:rPr/>
        <w:t>存在不同企业所得税税率纳税主体的，披露情况说明</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4782"/>
        <w:gridCol w:w="4786"/>
      </w:tblGrid>
      <w:tr>
        <w:trPr>
          <w:trHeight w:val="402" w:hRule="exact"/>
        </w:trPr>
        <w:tc>
          <w:tcPr>
            <w:tcW w:w="478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纳税主体名称</w:t>
            </w:r>
          </w:p>
        </w:tc>
        <w:tc>
          <w:tcPr>
            <w:tcW w:w="478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所得税税率</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恒宝股份有限公司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2" w:right="0"/>
              <w:jc w:val="left"/>
              <w:rPr>
                <w:rFonts w:ascii="Times New Roman" w:hAnsi="Times New Roman" w:cs="Times New Roman" w:eastAsia="Times New Roman" w:hint="default"/>
                <w:sz w:val="18"/>
                <w:szCs w:val="18"/>
              </w:rPr>
            </w:pPr>
            <w:r>
              <w:rPr>
                <w:rFonts w:ascii="Times New Roman"/>
                <w:sz w:val="18"/>
              </w:rPr>
              <w:t>10%</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云宝金服（北京）科技有限公司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2" w:right="0"/>
              <w:jc w:val="left"/>
              <w:rPr>
                <w:rFonts w:ascii="Times New Roman" w:hAnsi="Times New Roman" w:cs="Times New Roman" w:eastAsia="Times New Roman" w:hint="default"/>
                <w:sz w:val="18"/>
                <w:szCs w:val="18"/>
              </w:rPr>
            </w:pPr>
            <w:r>
              <w:rPr>
                <w:rFonts w:ascii="Times New Roman"/>
                <w:sz w:val="18"/>
              </w:rPr>
              <w:t>25%</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江苏恒宝智能系统技术有限公司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2" w:right="0"/>
              <w:jc w:val="left"/>
              <w:rPr>
                <w:rFonts w:ascii="Times New Roman" w:hAnsi="Times New Roman" w:cs="Times New Roman" w:eastAsia="Times New Roman" w:hint="default"/>
                <w:sz w:val="18"/>
                <w:szCs w:val="18"/>
              </w:rPr>
            </w:pPr>
            <w:r>
              <w:rPr>
                <w:rFonts w:ascii="Times New Roman"/>
                <w:sz w:val="18"/>
              </w:rPr>
              <w:t>25%</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北京东方英卡数字信息技术有限公司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2" w:right="0"/>
              <w:jc w:val="left"/>
              <w:rPr>
                <w:rFonts w:ascii="Times New Roman" w:hAnsi="Times New Roman" w:cs="Times New Roman" w:eastAsia="Times New Roman" w:hint="default"/>
                <w:sz w:val="18"/>
                <w:szCs w:val="18"/>
              </w:rPr>
            </w:pPr>
            <w:r>
              <w:rPr>
                <w:rFonts w:ascii="Times New Roman"/>
                <w:sz w:val="18"/>
              </w:rPr>
              <w:t>25%</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恒宝国际有限责任公司（注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2" w:right="0"/>
              <w:jc w:val="left"/>
              <w:rPr>
                <w:rFonts w:ascii="Times New Roman" w:hAnsi="Times New Roman" w:cs="Times New Roman" w:eastAsia="Times New Roman" w:hint="default"/>
                <w:sz w:val="18"/>
                <w:szCs w:val="18"/>
              </w:rPr>
            </w:pPr>
            <w:r>
              <w:rPr>
                <w:rFonts w:ascii="Times New Roman"/>
                <w:sz w:val="18"/>
              </w:rPr>
              <w:t>17%</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恒宝科技（印度）私人有限公司</w:t>
            </w:r>
            <w:r>
              <w:rPr>
                <w:rFonts w:ascii="Times New Roman" w:hAnsi="Times New Roman" w:cs="Times New Roman" w:eastAsia="Times New Roman" w:hint="default"/>
                <w:sz w:val="18"/>
                <w:szCs w:val="18"/>
              </w:rPr>
              <w:t>(</w:t>
            </w:r>
            <w:r>
              <w:rPr>
                <w:rFonts w:ascii="宋体" w:hAnsi="宋体" w:cs="宋体" w:eastAsia="宋体" w:hint="default"/>
                <w:sz w:val="18"/>
                <w:szCs w:val="18"/>
              </w:rPr>
              <w:t>注</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2" w:right="0"/>
              <w:jc w:val="left"/>
              <w:rPr>
                <w:rFonts w:ascii="Times New Roman" w:hAnsi="Times New Roman" w:cs="Times New Roman" w:eastAsia="Times New Roman" w:hint="default"/>
                <w:sz w:val="18"/>
                <w:szCs w:val="18"/>
              </w:rPr>
            </w:pPr>
            <w:r>
              <w:rPr>
                <w:rFonts w:ascii="Times New Roman"/>
                <w:sz w:val="18"/>
              </w:rPr>
              <w:t>30%</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深圳一卡易科技股份有限公司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2" w:right="0"/>
              <w:jc w:val="left"/>
              <w:rPr>
                <w:rFonts w:ascii="Times New Roman" w:hAnsi="Times New Roman" w:cs="Times New Roman" w:eastAsia="Times New Roman" w:hint="default"/>
                <w:sz w:val="18"/>
                <w:szCs w:val="18"/>
              </w:rPr>
            </w:pPr>
            <w:r>
              <w:rPr>
                <w:rFonts w:ascii="Times New Roman"/>
                <w:sz w:val="18"/>
              </w:rPr>
              <w:t>12.5%</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深圳一卡易网络科技有限公司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2" w:right="0"/>
              <w:jc w:val="left"/>
              <w:rPr>
                <w:rFonts w:ascii="Times New Roman" w:hAnsi="Times New Roman" w:cs="Times New Roman" w:eastAsia="Times New Roman" w:hint="default"/>
                <w:sz w:val="18"/>
                <w:szCs w:val="18"/>
              </w:rPr>
            </w:pPr>
            <w:r>
              <w:rPr>
                <w:rFonts w:ascii="Times New Roman"/>
                <w:sz w:val="18"/>
              </w:rPr>
              <w:t>25%</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深圳钱客多信息科技有限公司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2" w:right="0"/>
              <w:jc w:val="left"/>
              <w:rPr>
                <w:rFonts w:ascii="Times New Roman" w:hAnsi="Times New Roman" w:cs="Times New Roman" w:eastAsia="Times New Roman" w:hint="default"/>
                <w:sz w:val="18"/>
                <w:szCs w:val="18"/>
              </w:rPr>
            </w:pPr>
            <w:r>
              <w:rPr>
                <w:rFonts w:ascii="Times New Roman"/>
                <w:sz w:val="18"/>
              </w:rPr>
              <w:t>25%</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恒宝（中东非洲）有限责任公司</w:t>
            </w:r>
            <w:r>
              <w:rPr>
                <w:rFonts w:ascii="Times New Roman" w:hAnsi="Times New Roman" w:cs="Times New Roman" w:eastAsia="Times New Roman" w:hint="default"/>
                <w:sz w:val="18"/>
                <w:szCs w:val="18"/>
              </w:rPr>
              <w:t>(</w:t>
            </w:r>
            <w:r>
              <w:rPr>
                <w:rFonts w:ascii="宋体" w:hAnsi="宋体" w:cs="宋体" w:eastAsia="宋体" w:hint="default"/>
                <w:sz w:val="18"/>
                <w:szCs w:val="18"/>
              </w:rPr>
              <w:t>注</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2" w:right="0"/>
              <w:jc w:val="left"/>
              <w:rPr>
                <w:rFonts w:ascii="Times New Roman" w:hAnsi="Times New Roman" w:cs="Times New Roman" w:eastAsia="Times New Roman" w:hint="default"/>
                <w:sz w:val="18"/>
                <w:szCs w:val="18"/>
              </w:rPr>
            </w:pPr>
            <w:r>
              <w:rPr>
                <w:rFonts w:ascii="Times New Roman"/>
                <w:sz w:val="18"/>
              </w:rPr>
              <w:t>30%</w:t>
            </w:r>
          </w:p>
        </w:tc>
      </w:tr>
      <w:tr>
        <w:trPr>
          <w:trHeight w:val="714"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102" w:right="101"/>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2"/>
                <w:sz w:val="18"/>
                <w:szCs w:val="18"/>
              </w:rPr>
              <w:t> </w:t>
            </w: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：公司下属子公司恒宝国际有限责任公司系注册地在新</w:t>
            </w:r>
            <w:r>
              <w:rPr>
                <w:rFonts w:ascii="宋体" w:hAnsi="宋体" w:cs="宋体" w:eastAsia="宋体" w:hint="default"/>
                <w:sz w:val="18"/>
                <w:szCs w:val="18"/>
              </w:rPr>
              <w:t> 加坡的境外子公司。</w:t>
            </w:r>
          </w:p>
        </w:tc>
        <w:tc>
          <w:tcPr>
            <w:tcW w:w="478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102" w:right="101"/>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2"/>
                <w:sz w:val="18"/>
                <w:szCs w:val="18"/>
              </w:rPr>
              <w:t> </w:t>
            </w: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：公司下属子公司恒宝科技（印度）私人有限公司系注</w:t>
            </w:r>
            <w:r>
              <w:rPr>
                <w:rFonts w:ascii="宋体" w:hAnsi="宋体" w:cs="宋体" w:eastAsia="宋体" w:hint="default"/>
                <w:sz w:val="18"/>
                <w:szCs w:val="18"/>
              </w:rPr>
              <w:t> 册地在印度的境外子公司。</w:t>
            </w:r>
          </w:p>
        </w:tc>
        <w:tc>
          <w:tcPr>
            <w:tcW w:w="478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102" w:right="101"/>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2"/>
                <w:sz w:val="18"/>
                <w:szCs w:val="18"/>
              </w:rPr>
              <w:t> </w:t>
            </w: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：公司下属子公司恒宝（中东非洲）有限责任公司系注</w:t>
            </w:r>
            <w:r>
              <w:rPr>
                <w:rFonts w:ascii="宋体" w:hAnsi="宋体" w:cs="宋体" w:eastAsia="宋体" w:hint="default"/>
                <w:sz w:val="18"/>
                <w:szCs w:val="18"/>
              </w:rPr>
              <w:t> 册地在中东非洲的境外子公司。</w:t>
            </w:r>
          </w:p>
        </w:tc>
        <w:tc>
          <w:tcPr>
            <w:tcW w:w="4786"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3"/>
        <w:spacing w:line="240" w:lineRule="auto" w:before="35"/>
        <w:ind w:right="0"/>
        <w:jc w:val="both"/>
        <w:rPr>
          <w:b w:val="0"/>
          <w:bCs w:val="0"/>
        </w:rPr>
      </w:pPr>
      <w:r>
        <w:rPr>
          <w:rFonts w:ascii="Times New Roman" w:hAnsi="Times New Roman" w:cs="Times New Roman" w:eastAsia="Times New Roman" w:hint="default"/>
        </w:rPr>
        <w:t>2</w:t>
      </w:r>
      <w:r>
        <w:rPr/>
        <w:t>、税收优惠</w:t>
      </w:r>
      <w:r>
        <w:rPr>
          <w:b w:val="0"/>
          <w:bCs w:val="0"/>
        </w:rPr>
      </w:r>
    </w:p>
    <w:p>
      <w:pPr>
        <w:spacing w:line="240" w:lineRule="auto" w:before="6"/>
        <w:rPr>
          <w:rFonts w:ascii="宋体" w:hAnsi="宋体" w:cs="宋体" w:eastAsia="宋体" w:hint="default"/>
          <w:b/>
          <w:bCs/>
          <w:sz w:val="26"/>
          <w:szCs w:val="26"/>
        </w:rPr>
      </w:pPr>
    </w:p>
    <w:p>
      <w:pPr>
        <w:pStyle w:val="BodyText"/>
        <w:spacing w:line="309" w:lineRule="auto"/>
        <w:ind w:right="1122"/>
        <w:jc w:val="both"/>
      </w:pPr>
      <w:r>
        <w:rPr/>
        <w:t>（1）公司及下属子公司深圳一卡易科技股份有限公司、深圳一卡易网络科技有限公司根据财政部、国家税务总局关于软件</w:t>
      </w:r>
      <w:r>
        <w:rPr>
          <w:spacing w:val="-84"/>
        </w:rPr>
        <w:t> </w:t>
      </w:r>
      <w:r>
        <w:rPr>
          <w:spacing w:val="-84"/>
        </w:rPr>
      </w:r>
      <w:r>
        <w:rPr>
          <w:spacing w:val="-2"/>
        </w:rPr>
        <w:t>产品增值税政策的通知（财税</w:t>
      </w:r>
      <w:r>
        <w:rPr>
          <w:rFonts w:ascii="Times New Roman" w:hAnsi="Times New Roman" w:cs="Times New Roman" w:eastAsia="Times New Roman" w:hint="default"/>
          <w:spacing w:val="-2"/>
        </w:rPr>
        <w:t>[2011]100</w:t>
      </w:r>
      <w:r>
        <w:rPr>
          <w:spacing w:val="-2"/>
        </w:rPr>
        <w:t>号）的相关规定，软件产品按</w:t>
      </w:r>
      <w:r>
        <w:rPr>
          <w:rFonts w:ascii="Times New Roman" w:hAnsi="Times New Roman" w:cs="Times New Roman" w:eastAsia="Times New Roman" w:hint="default"/>
          <w:spacing w:val="-2"/>
        </w:rPr>
        <w:t>16</w:t>
      </w:r>
      <w:r>
        <w:rPr>
          <w:spacing w:val="-2"/>
        </w:rPr>
        <w:t>％、</w:t>
      </w:r>
      <w:r>
        <w:rPr>
          <w:rFonts w:ascii="Times New Roman" w:hAnsi="Times New Roman" w:cs="Times New Roman" w:eastAsia="Times New Roman" w:hint="default"/>
          <w:spacing w:val="-2"/>
        </w:rPr>
        <w:t>13%</w:t>
      </w:r>
      <w:r>
        <w:rPr>
          <w:spacing w:val="-2"/>
        </w:rPr>
        <w:t>的法定税率征收增值税后，对其增值税实际</w:t>
      </w:r>
      <w:r>
        <w:rPr>
          <w:spacing w:val="-49"/>
        </w:rPr>
        <w:t> </w:t>
      </w:r>
      <w:r>
        <w:rPr>
          <w:spacing w:val="-49"/>
        </w:rPr>
      </w:r>
      <w:r>
        <w:rPr/>
        <w:t>税负超过</w:t>
      </w:r>
      <w:r>
        <w:rPr>
          <w:rFonts w:ascii="Times New Roman" w:hAnsi="Times New Roman" w:cs="Times New Roman" w:eastAsia="Times New Roman" w:hint="default"/>
        </w:rPr>
        <w:t>3%</w:t>
      </w:r>
      <w:r>
        <w:rPr/>
        <w:t>的部分享受即征即退政策。</w:t>
      </w:r>
    </w:p>
    <w:p>
      <w:pPr>
        <w:pStyle w:val="BodyText"/>
        <w:spacing w:line="300" w:lineRule="auto" w:before="5"/>
        <w:ind w:right="1125"/>
        <w:jc w:val="both"/>
      </w:pPr>
      <w:r>
        <w:rPr/>
        <w:t>（2）根据财税</w:t>
      </w:r>
      <w:r>
        <w:rPr>
          <w:rFonts w:ascii="Times New Roman" w:hAnsi="Times New Roman" w:cs="Times New Roman" w:eastAsia="Times New Roman" w:hint="default"/>
        </w:rPr>
        <w:t>[2012]</w:t>
      </w:r>
      <w:r>
        <w:rPr>
          <w:rFonts w:ascii="Times New Roman" w:hAnsi="Times New Roman" w:cs="Times New Roman" w:eastAsia="Times New Roman" w:hint="default"/>
          <w:spacing w:val="11"/>
        </w:rPr>
        <w:t> </w:t>
      </w:r>
      <w:r>
        <w:rPr>
          <w:rFonts w:ascii="Times New Roman" w:hAnsi="Times New Roman" w:cs="Times New Roman" w:eastAsia="Times New Roman" w:hint="default"/>
        </w:rPr>
        <w:t>27</w:t>
      </w:r>
      <w:r>
        <w:rPr/>
        <w:t>号及财税</w:t>
      </w:r>
      <w:r>
        <w:rPr>
          <w:rFonts w:ascii="Times New Roman" w:hAnsi="Times New Roman" w:cs="Times New Roman" w:eastAsia="Times New Roman" w:hint="default"/>
        </w:rPr>
        <w:t>[2016]</w:t>
      </w:r>
      <w:r>
        <w:rPr>
          <w:rFonts w:ascii="Times New Roman" w:hAnsi="Times New Roman" w:cs="Times New Roman" w:eastAsia="Times New Roman" w:hint="default"/>
          <w:spacing w:val="11"/>
        </w:rPr>
        <w:t> </w:t>
      </w:r>
      <w:r>
        <w:rPr>
          <w:rFonts w:ascii="Times New Roman" w:hAnsi="Times New Roman" w:cs="Times New Roman" w:eastAsia="Times New Roman" w:hint="default"/>
        </w:rPr>
        <w:t>49</w:t>
      </w:r>
      <w:r>
        <w:rPr/>
        <w:t>号规定，国家规划布局内的重点软件企业和集成电路设计企业，当年未享受免税</w:t>
      </w:r>
      <w:r>
        <w:rPr>
          <w:spacing w:val="-85"/>
        </w:rPr>
        <w:t> </w:t>
      </w:r>
      <w:r>
        <w:rPr>
          <w:spacing w:val="-85"/>
        </w:rPr>
      </w:r>
      <w:r>
        <w:rPr/>
        <w:t>优惠，减按</w:t>
      </w:r>
      <w:r>
        <w:rPr>
          <w:rFonts w:ascii="Times New Roman" w:hAnsi="Times New Roman" w:cs="Times New Roman" w:eastAsia="Times New Roman" w:hint="default"/>
        </w:rPr>
        <w:t>10%</w:t>
      </w:r>
      <w:r>
        <w:rPr/>
        <w:t>的税率征收企业所得税。</w:t>
      </w:r>
    </w:p>
    <w:p>
      <w:pPr>
        <w:pStyle w:val="BodyText"/>
        <w:spacing w:line="300" w:lineRule="auto" w:before="13"/>
        <w:ind w:right="1129"/>
        <w:jc w:val="both"/>
      </w:pPr>
      <w:r>
        <w:rPr>
          <w:spacing w:val="-2"/>
        </w:rPr>
        <w:t>（3）公司下属子公司深圳一卡易科技股份有限公司于</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11</w:t>
      </w:r>
      <w:r>
        <w:rPr>
          <w:spacing w:val="-2"/>
        </w:rPr>
        <w:t>月</w:t>
      </w:r>
      <w:r>
        <w:rPr>
          <w:rFonts w:ascii="Times New Roman" w:hAnsi="Times New Roman" w:cs="Times New Roman" w:eastAsia="Times New Roman" w:hint="default"/>
          <w:spacing w:val="-2"/>
        </w:rPr>
        <w:t>9</w:t>
      </w:r>
      <w:r>
        <w:rPr>
          <w:spacing w:val="-2"/>
        </w:rPr>
        <w:t>日取得编号为</w:t>
      </w:r>
      <w:r>
        <w:rPr>
          <w:rFonts w:ascii="Times New Roman" w:hAnsi="Times New Roman" w:cs="Times New Roman" w:eastAsia="Times New Roman" w:hint="default"/>
          <w:spacing w:val="-2"/>
        </w:rPr>
        <w:t>GR844204114</w:t>
      </w:r>
      <w:r>
        <w:rPr>
          <w:spacing w:val="-2"/>
        </w:rPr>
        <w:t>的高新技术企业证书，有效期</w:t>
      </w:r>
      <w:r>
        <w:rPr>
          <w:spacing w:val="-29"/>
        </w:rPr>
        <w:t> </w:t>
      </w:r>
      <w:r>
        <w:rPr>
          <w:spacing w:val="-29"/>
        </w:rPr>
      </w:r>
      <w:r>
        <w:rPr/>
        <w:t>三年，深圳一卡易科技股份有限公司</w:t>
      </w:r>
      <w:r>
        <w:rPr>
          <w:rFonts w:ascii="Times New Roman" w:hAnsi="Times New Roman" w:cs="Times New Roman" w:eastAsia="Times New Roman" w:hint="default"/>
        </w:rPr>
        <w:t>2019</w:t>
      </w:r>
      <w:r>
        <w:rPr/>
        <w:t>年享受国家关于高新企业税收优惠政策，企业所得税减按</w:t>
      </w:r>
      <w:r>
        <w:rPr>
          <w:rFonts w:ascii="Times New Roman" w:hAnsi="Times New Roman" w:cs="Times New Roman" w:eastAsia="Times New Roman" w:hint="default"/>
        </w:rPr>
        <w:t>15%</w:t>
      </w:r>
      <w:r>
        <w:rPr/>
        <w:t>税率征收。</w:t>
      </w:r>
    </w:p>
    <w:p>
      <w:pPr>
        <w:pStyle w:val="BodyText"/>
        <w:spacing w:line="300" w:lineRule="auto" w:before="13"/>
        <w:ind w:right="1125"/>
        <w:jc w:val="both"/>
      </w:pPr>
      <w:r>
        <w:rPr>
          <w:spacing w:val="-3"/>
        </w:rPr>
        <w:t>（4）根据财税</w:t>
      </w:r>
      <w:r>
        <w:rPr>
          <w:rFonts w:ascii="Times New Roman" w:hAnsi="Times New Roman" w:cs="Times New Roman" w:eastAsia="Times New Roman" w:hint="default"/>
          <w:spacing w:val="-3"/>
        </w:rPr>
        <w:t>[2019]13</w:t>
      </w:r>
      <w:r>
        <w:rPr>
          <w:spacing w:val="-3"/>
        </w:rPr>
        <w:t>号规定，对小型微利企业年应纳税所得额不超过</w:t>
      </w:r>
      <w:r>
        <w:rPr>
          <w:rFonts w:ascii="Times New Roman" w:hAnsi="Times New Roman" w:cs="Times New Roman" w:eastAsia="Times New Roman" w:hint="default"/>
          <w:spacing w:val="-3"/>
        </w:rPr>
        <w:t>100</w:t>
      </w:r>
      <w:r>
        <w:rPr>
          <w:spacing w:val="-3"/>
        </w:rPr>
        <w:t>万元的部分，减按</w:t>
      </w:r>
      <w:r>
        <w:rPr>
          <w:rFonts w:ascii="Times New Roman" w:hAnsi="Times New Roman" w:cs="Times New Roman" w:eastAsia="Times New Roman" w:hint="default"/>
          <w:spacing w:val="-3"/>
        </w:rPr>
        <w:t>25%</w:t>
      </w:r>
      <w:r>
        <w:rPr>
          <w:spacing w:val="-3"/>
        </w:rPr>
        <w:t>计入应纳税所得额，按</w:t>
      </w:r>
      <w:r>
        <w:rPr>
          <w:rFonts w:ascii="Times New Roman" w:hAnsi="Times New Roman" w:cs="Times New Roman" w:eastAsia="Times New Roman" w:hint="default"/>
          <w:spacing w:val="-3"/>
        </w:rPr>
        <w:t>20%</w:t>
      </w:r>
      <w:r>
        <w:rPr>
          <w:rFonts w:ascii="Times New Roman" w:hAnsi="Times New Roman" w:cs="Times New Roman" w:eastAsia="Times New Roman" w:hint="default"/>
          <w:spacing w:val="3"/>
        </w:rPr>
        <w:t> </w:t>
      </w:r>
      <w:r>
        <w:rPr>
          <w:spacing w:val="-1"/>
        </w:rPr>
        <w:t>的税率缴纳企业所得税；对年应纳税所得额超过</w:t>
      </w:r>
      <w:r>
        <w:rPr>
          <w:rFonts w:ascii="Times New Roman" w:hAnsi="Times New Roman" w:cs="Times New Roman" w:eastAsia="Times New Roman" w:hint="default"/>
          <w:spacing w:val="-1"/>
        </w:rPr>
        <w:t>100</w:t>
      </w:r>
      <w:r>
        <w:rPr>
          <w:spacing w:val="-1"/>
        </w:rPr>
        <w:t>万元但不超过</w:t>
      </w:r>
      <w:r>
        <w:rPr>
          <w:rFonts w:ascii="Times New Roman" w:hAnsi="Times New Roman" w:cs="Times New Roman" w:eastAsia="Times New Roman" w:hint="default"/>
          <w:spacing w:val="-1"/>
        </w:rPr>
        <w:t>300</w:t>
      </w:r>
      <w:r>
        <w:rPr>
          <w:spacing w:val="-1"/>
        </w:rPr>
        <w:t>万元的部分，减按</w:t>
      </w:r>
      <w:r>
        <w:rPr>
          <w:rFonts w:ascii="Times New Roman" w:hAnsi="Times New Roman" w:cs="Times New Roman" w:eastAsia="Times New Roman" w:hint="default"/>
          <w:spacing w:val="-1"/>
        </w:rPr>
        <w:t>50%</w:t>
      </w:r>
      <w:r>
        <w:rPr>
          <w:spacing w:val="-1"/>
        </w:rPr>
        <w:t>计入应纳税所得额，按</w:t>
      </w:r>
      <w:r>
        <w:rPr>
          <w:rFonts w:ascii="Times New Roman" w:hAnsi="Times New Roman" w:cs="Times New Roman" w:eastAsia="Times New Roman" w:hint="default"/>
          <w:spacing w:val="-1"/>
        </w:rPr>
        <w:t>20%</w:t>
      </w:r>
      <w:r>
        <w:rPr>
          <w:spacing w:val="-1"/>
        </w:rPr>
        <w:t>的税</w:t>
      </w:r>
      <w:r>
        <w:rPr>
          <w:spacing w:val="-56"/>
        </w:rPr>
        <w:t> </w:t>
      </w:r>
      <w:r>
        <w:rPr/>
        <w:t>率缴纳企业所得税。据此，公司下属子公司深圳一卡易网络科技有限公司企业所得税按上述规定征收。</w:t>
      </w:r>
    </w:p>
    <w:p>
      <w:pPr>
        <w:spacing w:line="240" w:lineRule="auto" w:before="7"/>
        <w:rPr>
          <w:rFonts w:ascii="宋体" w:hAnsi="宋体" w:cs="宋体" w:eastAsia="宋体" w:hint="default"/>
          <w:sz w:val="23"/>
          <w:szCs w:val="23"/>
        </w:rPr>
      </w:pPr>
    </w:p>
    <w:p>
      <w:pPr>
        <w:pStyle w:val="Heading3"/>
        <w:spacing w:line="240" w:lineRule="auto"/>
        <w:ind w:right="0"/>
        <w:jc w:val="both"/>
        <w:rPr>
          <w:b w:val="0"/>
          <w:bCs w:val="0"/>
        </w:rPr>
      </w:pPr>
      <w:r>
        <w:rPr>
          <w:rFonts w:ascii="Times New Roman" w:hAnsi="Times New Roman" w:cs="Times New Roman" w:eastAsia="Times New Roman" w:hint="default"/>
        </w:rPr>
        <w:t>3</w:t>
      </w:r>
      <w:r>
        <w:rPr/>
        <w:t>、其他</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both"/>
      </w:pPr>
      <w:r>
        <w:rPr/>
        <w:t>无</w:t>
      </w:r>
    </w:p>
    <w:p>
      <w:pPr>
        <w:spacing w:after="0" w:line="240" w:lineRule="auto"/>
        <w:jc w:val="both"/>
        <w:sectPr>
          <w:footerReference w:type="default" r:id="rId21"/>
          <w:pgSz w:w="11910" w:h="16840"/>
          <w:pgMar w:footer="1018" w:header="906" w:top="1100" w:bottom="1200" w:left="1020" w:right="0"/>
          <w:pgNumType w:start="120"/>
        </w:sectPr>
      </w:pPr>
    </w:p>
    <w:p>
      <w:pPr>
        <w:spacing w:line="240" w:lineRule="auto" w:before="8"/>
        <w:rPr>
          <w:rFonts w:ascii="宋体" w:hAnsi="宋体" w:cs="宋体" w:eastAsia="宋体" w:hint="default"/>
          <w:sz w:val="20"/>
          <w:szCs w:val="20"/>
        </w:rPr>
      </w:pPr>
    </w:p>
    <w:p>
      <w:pPr>
        <w:pStyle w:val="Heading2"/>
        <w:spacing w:line="240" w:lineRule="auto" w:before="26"/>
        <w:ind w:right="0"/>
        <w:jc w:val="left"/>
        <w:rPr>
          <w:b w:val="0"/>
          <w:bCs w:val="0"/>
        </w:rPr>
      </w:pPr>
      <w:r>
        <w:rPr/>
        <w:t>七、合并财务报表项目注释</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r>
        <w:rPr>
          <w:rFonts w:ascii="Times New Roman" w:hAnsi="Times New Roman" w:cs="Times New Roman" w:eastAsia="Times New Roman" w:hint="default"/>
        </w:rPr>
        <w:t>1</w:t>
      </w:r>
      <w:r>
        <w:rPr/>
        <w:t>、货币资金</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库存现金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345,269.50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388,744.51</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497,627,500.87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765,681,496.00</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其他货币资金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5,603,337.77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8,925,675.42</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503,576,108.14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774,995,915.93</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282" w:right="0"/>
              <w:jc w:val="left"/>
              <w:rPr>
                <w:rFonts w:ascii="宋体" w:hAnsi="宋体" w:cs="宋体" w:eastAsia="宋体" w:hint="default"/>
                <w:sz w:val="18"/>
                <w:szCs w:val="18"/>
              </w:rPr>
            </w:pPr>
            <w:r>
              <w:rPr>
                <w:rFonts w:ascii="宋体" w:hAnsi="宋体" w:cs="宋体" w:eastAsia="宋体" w:hint="default"/>
                <w:sz w:val="18"/>
                <w:szCs w:val="18"/>
              </w:rPr>
              <w:t>其中：存放在境外的款项总额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25,959,933.23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27,738,684.52</w:t>
            </w:r>
          </w:p>
        </w:tc>
      </w:tr>
      <w:tr>
        <w:trPr>
          <w:trHeight w:val="714"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49"/>
              <w:ind w:left="102" w:right="101" w:firstLine="720"/>
              <w:jc w:val="left"/>
              <w:rPr>
                <w:rFonts w:ascii="宋体" w:hAnsi="宋体" w:cs="宋体" w:eastAsia="宋体" w:hint="default"/>
                <w:sz w:val="18"/>
                <w:szCs w:val="18"/>
              </w:rPr>
            </w:pPr>
            <w:r>
              <w:rPr>
                <w:rFonts w:ascii="宋体" w:hAnsi="宋体" w:cs="宋体" w:eastAsia="宋体" w:hint="default"/>
                <w:spacing w:val="-7"/>
                <w:sz w:val="18"/>
                <w:szCs w:val="18"/>
              </w:rPr>
              <w:t>因抵押、质押或冻结等对使用</w:t>
            </w:r>
            <w:r>
              <w:rPr>
                <w:rFonts w:ascii="宋体" w:hAnsi="宋体" w:cs="宋体" w:eastAsia="宋体" w:hint="default"/>
                <w:sz w:val="18"/>
                <w:szCs w:val="18"/>
              </w:rPr>
              <w:t> 有限制的款项总额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5,603,337.77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3,945,311.42</w:t>
            </w:r>
          </w:p>
        </w:tc>
      </w:tr>
    </w:tbl>
    <w:p>
      <w:pPr>
        <w:pStyle w:val="BodyText"/>
        <w:spacing w:line="360" w:lineRule="auto" w:before="49"/>
        <w:ind w:right="6570"/>
        <w:jc w:val="left"/>
      </w:pPr>
      <w:r>
        <w:rPr/>
        <w:t>其他说明 期末使用权有限制的货币资金情况，详见附注七</w:t>
      </w:r>
      <w:r>
        <w:rPr>
          <w:rFonts w:ascii="Times New Roman" w:hAnsi="Times New Roman" w:cs="Times New Roman" w:eastAsia="Times New Roman" w:hint="default"/>
        </w:rPr>
        <w:t>-81</w:t>
      </w:r>
      <w:r>
        <w:rPr/>
        <w:t>。</w:t>
      </w:r>
    </w:p>
    <w:p>
      <w:pPr>
        <w:spacing w:line="240" w:lineRule="auto" w:before="3"/>
        <w:rPr>
          <w:rFonts w:ascii="宋体" w:hAnsi="宋体" w:cs="宋体" w:eastAsia="宋体" w:hint="default"/>
          <w:sz w:val="18"/>
          <w:szCs w:val="18"/>
        </w:rPr>
      </w:pPr>
    </w:p>
    <w:p>
      <w:pPr>
        <w:pStyle w:val="Heading3"/>
        <w:spacing w:line="240" w:lineRule="auto"/>
        <w:ind w:right="0"/>
        <w:jc w:val="left"/>
        <w:rPr>
          <w:b w:val="0"/>
          <w:bCs w:val="0"/>
        </w:rPr>
      </w:pPr>
      <w:r>
        <w:rPr>
          <w:rFonts w:ascii="Times New Roman" w:hAnsi="Times New Roman" w:cs="Times New Roman" w:eastAsia="Times New Roman" w:hint="default"/>
        </w:rPr>
        <w:t>2</w:t>
      </w:r>
      <w:r>
        <w:rPr/>
        <w:t>、交易性金融资产</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715"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02" w:right="194"/>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 益的金融资产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379,200,000.00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238,350,000.00</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28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银行理财产品</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379,200,000.00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238,350,000.00</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28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379,200,000.00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238,350,000.00</w:t>
            </w:r>
          </w:p>
        </w:tc>
      </w:tr>
    </w:tbl>
    <w:p>
      <w:pPr>
        <w:pStyle w:val="BodyText"/>
        <w:spacing w:line="240" w:lineRule="auto" w:before="49"/>
        <w:ind w:right="0"/>
        <w:jc w:val="left"/>
      </w:pPr>
      <w:r>
        <w:rPr/>
        <w:t>其他说明：</w:t>
      </w:r>
    </w:p>
    <w:p>
      <w:pPr>
        <w:spacing w:line="240" w:lineRule="auto" w:before="13"/>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3</w:t>
      </w:r>
      <w:r>
        <w:rPr/>
        <w:t>、衍生金融资产</w:t>
      </w:r>
      <w:r>
        <w:rPr>
          <w:b w:val="0"/>
          <w:bCs w:val="0"/>
        </w:rPr>
      </w:r>
    </w:p>
    <w:p>
      <w:pPr>
        <w:spacing w:line="240" w:lineRule="auto" w:before="2"/>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240" w:lineRule="auto" w:before="50"/>
        <w:ind w:right="0"/>
        <w:jc w:val="left"/>
      </w:pPr>
      <w:r>
        <w:rPr/>
        <w:t>其他说明：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4</w:t>
      </w:r>
      <w:r>
        <w:rPr/>
        <w:t>、应收票据</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t>（</w:t>
      </w:r>
      <w:r>
        <w:rPr>
          <w:rFonts w:ascii="Times New Roman" w:hAnsi="Times New Roman" w:cs="Times New Roman" w:eastAsia="Times New Roman" w:hint="default"/>
        </w:rPr>
        <w:t>1</w:t>
      </w:r>
      <w:r>
        <w:rPr/>
        <w:t>）应收票据分类列示</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after="0" w:line="240" w:lineRule="auto"/>
        <w:jc w:val="right"/>
        <w:sectPr>
          <w:pgSz w:w="11910" w:h="16840"/>
          <w:pgMar w:header="906" w:footer="1018" w:top="1100" w:bottom="1200" w:left="1020" w:right="0"/>
        </w:sectPr>
      </w:pPr>
    </w:p>
    <w:p>
      <w:pPr>
        <w:spacing w:line="240" w:lineRule="auto" w:before="7"/>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银行承兑票据</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229,523.40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229,523.40</w:t>
            </w:r>
          </w:p>
        </w:tc>
        <w:tc>
          <w:tcPr>
            <w:tcW w:w="3190"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0"/>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635"/>
        <w:gridCol w:w="763"/>
        <w:gridCol w:w="762"/>
        <w:gridCol w:w="762"/>
        <w:gridCol w:w="763"/>
        <w:gridCol w:w="789"/>
        <w:gridCol w:w="776"/>
        <w:gridCol w:w="797"/>
        <w:gridCol w:w="930"/>
        <w:gridCol w:w="798"/>
        <w:gridCol w:w="792"/>
      </w:tblGrid>
      <w:tr>
        <w:trPr>
          <w:trHeight w:val="402" w:hRule="exact"/>
        </w:trPr>
        <w:tc>
          <w:tcPr>
            <w:tcW w:w="1635"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7"/>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3839" w:type="dxa"/>
            <w:gridSpan w:val="5"/>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3" w:type="dxa"/>
            <w:gridSpan w:val="5"/>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635" w:type="dxa"/>
            <w:vMerge/>
            <w:tcBorders>
              <w:left w:val="single" w:sz="4" w:space="0" w:color="000000"/>
              <w:right w:val="single" w:sz="4" w:space="0" w:color="000000"/>
            </w:tcBorders>
            <w:shd w:val="clear" w:color="auto" w:fill="D3D3D3"/>
          </w:tcPr>
          <w:p>
            <w:pPr/>
          </w:p>
        </w:tc>
        <w:tc>
          <w:tcPr>
            <w:tcW w:w="1525"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396"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5"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39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89"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19"/>
                <w:szCs w:val="19"/>
              </w:rPr>
            </w:pPr>
          </w:p>
          <w:p>
            <w:pPr>
              <w:pStyle w:val="TableParagraph"/>
              <w:spacing w:line="316" w:lineRule="auto"/>
              <w:ind w:left="298" w:right="118" w:hanging="180"/>
              <w:jc w:val="left"/>
              <w:rPr>
                <w:rFonts w:ascii="宋体" w:hAnsi="宋体" w:cs="宋体" w:eastAsia="宋体" w:hint="default"/>
                <w:sz w:val="18"/>
                <w:szCs w:val="18"/>
              </w:rPr>
            </w:pPr>
            <w:r>
              <w:rPr>
                <w:rFonts w:ascii="宋体" w:hAnsi="宋体" w:cs="宋体" w:eastAsia="宋体" w:hint="default"/>
                <w:sz w:val="18"/>
                <w:szCs w:val="18"/>
              </w:rPr>
              <w:t>账面价 值</w:t>
            </w:r>
          </w:p>
        </w:tc>
        <w:tc>
          <w:tcPr>
            <w:tcW w:w="1573"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2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28"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9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2"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19"/>
                <w:szCs w:val="19"/>
              </w:rPr>
            </w:pPr>
          </w:p>
          <w:p>
            <w:pPr>
              <w:pStyle w:val="TableParagraph"/>
              <w:spacing w:line="316" w:lineRule="auto"/>
              <w:ind w:left="300" w:right="119" w:hanging="180"/>
              <w:jc w:val="left"/>
              <w:rPr>
                <w:rFonts w:ascii="宋体" w:hAnsi="宋体" w:cs="宋体" w:eastAsia="宋体" w:hint="default"/>
                <w:sz w:val="18"/>
                <w:szCs w:val="18"/>
              </w:rPr>
            </w:pPr>
            <w:r>
              <w:rPr>
                <w:rFonts w:ascii="宋体" w:hAnsi="宋体" w:cs="宋体" w:eastAsia="宋体" w:hint="default"/>
                <w:sz w:val="18"/>
                <w:szCs w:val="18"/>
              </w:rPr>
              <w:t>账面价 值</w:t>
            </w:r>
          </w:p>
        </w:tc>
      </w:tr>
      <w:tr>
        <w:trPr>
          <w:trHeight w:val="714" w:hRule="exact"/>
        </w:trPr>
        <w:tc>
          <w:tcPr>
            <w:tcW w:w="1635" w:type="dxa"/>
            <w:vMerge/>
            <w:tcBorders>
              <w:left w:val="single" w:sz="4" w:space="0" w:color="000000"/>
              <w:bottom w:val="single" w:sz="4" w:space="0" w:color="000000"/>
              <w:right w:val="single" w:sz="4" w:space="0" w:color="000000"/>
            </w:tcBorders>
            <w:shd w:val="clear" w:color="auto" w:fill="D3D3D3"/>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286" w:right="105"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89" w:type="dxa"/>
            <w:vMerge/>
            <w:tcBorders>
              <w:left w:val="single" w:sz="4" w:space="0" w:color="000000"/>
              <w:bottom w:val="single" w:sz="4" w:space="0" w:color="000000"/>
              <w:right w:val="single" w:sz="4" w:space="0" w:color="000000"/>
            </w:tcBorders>
            <w:shd w:val="clear" w:color="auto" w:fill="D3D3D3"/>
          </w:tcPr>
          <w:p>
            <w:pPr/>
          </w:p>
        </w:tc>
        <w:tc>
          <w:tcPr>
            <w:tcW w:w="77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02"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9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13"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93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79"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303" w:right="122"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92" w:type="dxa"/>
            <w:vMerge/>
            <w:tcBorders>
              <w:left w:val="single" w:sz="4" w:space="0" w:color="000000"/>
              <w:bottom w:val="single" w:sz="4" w:space="0" w:color="000000"/>
              <w:right w:val="single" w:sz="4" w:space="0" w:color="000000"/>
            </w:tcBorders>
            <w:shd w:val="clear" w:color="auto" w:fill="D3D3D3"/>
          </w:tcPr>
          <w:p>
            <w:pPr/>
          </w:p>
        </w:tc>
      </w:tr>
      <w:tr>
        <w:trPr>
          <w:trHeight w:val="402" w:hRule="exact"/>
        </w:trPr>
        <w:tc>
          <w:tcPr>
            <w:tcW w:w="16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28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763"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62"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62"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89"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76"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930"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92"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16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28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763"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62"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62"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89"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76"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930"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92" w:type="dxa"/>
            <w:tcBorders>
              <w:top w:val="single" w:sz="4" w:space="0" w:color="000000"/>
              <w:left w:val="single" w:sz="4" w:space="0" w:color="000000"/>
              <w:bottom w:val="single" w:sz="4" w:space="0" w:color="000000"/>
              <w:right w:val="single" w:sz="4" w:space="0" w:color="000000"/>
            </w:tcBorders>
            <w:shd w:val="clear" w:color="auto" w:fill="D3D3D3"/>
          </w:tcPr>
          <w:p>
            <w:pPr/>
          </w:p>
        </w:tc>
      </w:tr>
    </w:tbl>
    <w:p>
      <w:pPr>
        <w:pStyle w:val="BodyText"/>
        <w:spacing w:line="240" w:lineRule="auto" w:before="50"/>
        <w:ind w:right="0"/>
        <w:jc w:val="left"/>
      </w:pPr>
      <w:r>
        <w:rPr/>
        <w:t>按单项计提坏账准备：</w:t>
      </w:r>
    </w:p>
    <w:p>
      <w:pPr>
        <w:pStyle w:val="BodyText"/>
        <w:spacing w:line="240" w:lineRule="auto" w:before="116"/>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3"/>
        <w:gridCol w:w="1915"/>
        <w:gridCol w:w="1914"/>
        <w:gridCol w:w="1914"/>
        <w:gridCol w:w="1914"/>
      </w:tblGrid>
      <w:tr>
        <w:trPr>
          <w:trHeight w:val="402" w:hRule="exact"/>
        </w:trPr>
        <w:tc>
          <w:tcPr>
            <w:tcW w:w="1913"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名称</w:t>
            </w:r>
          </w:p>
        </w:tc>
        <w:tc>
          <w:tcPr>
            <w:tcW w:w="7657" w:type="dxa"/>
            <w:gridSpan w:val="4"/>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913" w:type="dxa"/>
            <w:vMerge/>
            <w:tcBorders>
              <w:left w:val="single" w:sz="4" w:space="0" w:color="000000"/>
              <w:bottom w:val="single" w:sz="4" w:space="0" w:color="000000"/>
              <w:right w:val="single" w:sz="4" w:space="0" w:color="000000"/>
            </w:tcBorders>
            <w:shd w:val="clear" w:color="auto" w:fill="D3D3D3"/>
          </w:tcPr>
          <w:p>
            <w:pPr/>
          </w:p>
        </w:tc>
        <w:tc>
          <w:tcPr>
            <w:tcW w:w="191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59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59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59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591" w:right="0"/>
              <w:jc w:val="left"/>
              <w:rPr>
                <w:rFonts w:ascii="宋体" w:hAnsi="宋体" w:cs="宋体" w:eastAsia="宋体" w:hint="default"/>
                <w:sz w:val="18"/>
                <w:szCs w:val="18"/>
              </w:rPr>
            </w:pPr>
            <w:r>
              <w:rPr>
                <w:rFonts w:ascii="宋体" w:hAnsi="宋体" w:cs="宋体" w:eastAsia="宋体" w:hint="default"/>
                <w:sz w:val="18"/>
                <w:szCs w:val="18"/>
              </w:rPr>
              <w:t>计提理由</w:t>
            </w:r>
          </w:p>
        </w:tc>
      </w:tr>
    </w:tbl>
    <w:p>
      <w:pPr>
        <w:pStyle w:val="BodyText"/>
        <w:spacing w:line="240" w:lineRule="auto" w:before="50"/>
        <w:ind w:right="0"/>
        <w:jc w:val="left"/>
      </w:pPr>
      <w:r>
        <w:rPr/>
        <w:t>按组合计提坏账准备：</w:t>
      </w:r>
    </w:p>
    <w:p>
      <w:pPr>
        <w:pStyle w:val="BodyText"/>
        <w:spacing w:line="240" w:lineRule="auto" w:before="116"/>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92"/>
        <w:gridCol w:w="2392"/>
        <w:gridCol w:w="2392"/>
        <w:gridCol w:w="2392"/>
      </w:tblGrid>
      <w:tr>
        <w:trPr>
          <w:trHeight w:val="402" w:hRule="exact"/>
        </w:trPr>
        <w:tc>
          <w:tcPr>
            <w:tcW w:w="2392"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7176" w:type="dxa"/>
            <w:gridSpan w:val="3"/>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2392" w:type="dxa"/>
            <w:vMerge/>
            <w:tcBorders>
              <w:left w:val="single" w:sz="4" w:space="0" w:color="000000"/>
              <w:bottom w:val="single" w:sz="4" w:space="0" w:color="000000"/>
              <w:right w:val="single" w:sz="4" w:space="0" w:color="000000"/>
            </w:tcBorders>
            <w:shd w:val="clear" w:color="auto" w:fill="D3D3D3"/>
          </w:tcPr>
          <w:p>
            <w:pP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计提比例</w:t>
            </w:r>
          </w:p>
        </w:tc>
      </w:tr>
    </w:tbl>
    <w:p>
      <w:pPr>
        <w:pStyle w:val="BodyText"/>
        <w:spacing w:line="360" w:lineRule="auto" w:before="49"/>
        <w:ind w:right="1752"/>
        <w:jc w:val="left"/>
      </w:pPr>
      <w:r>
        <w:rPr/>
        <w:t>确定该组合依据的说明： 如是按照预期信用损失一般模型计提应收票据坏账准备，请参照其他应收款的披露方式披露坏账准备的相关信息：</w:t>
      </w:r>
    </w:p>
    <w:p>
      <w:pPr>
        <w:pStyle w:val="BodyText"/>
        <w:spacing w:line="240" w:lineRule="auto" w:before="26"/>
        <w:ind w:right="0"/>
        <w:jc w:val="left"/>
      </w:pPr>
      <w:r>
        <w:rPr/>
        <w:t>□ 适用 √ 不适用</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t>（</w:t>
      </w:r>
      <w:r>
        <w:rPr>
          <w:rFonts w:ascii="Times New Roman" w:hAnsi="Times New Roman" w:cs="Times New Roman" w:eastAsia="Times New Roman" w:hint="default"/>
        </w:rPr>
        <w:t>2</w:t>
      </w:r>
      <w:r>
        <w:rPr/>
        <w:t>）本期计提、收回或转回的坏账准备情况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0"/>
        <w:jc w:val="left"/>
      </w:pPr>
      <w:r>
        <w:rPr/>
        <w:t>本期计提坏账准备情况：</w:t>
      </w:r>
    </w:p>
    <w:p>
      <w:pPr>
        <w:pStyle w:val="BodyText"/>
        <w:spacing w:line="240" w:lineRule="auto" w:before="116"/>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9"/>
        <w:gridCol w:w="1367"/>
        <w:gridCol w:w="1367"/>
        <w:gridCol w:w="1367"/>
        <w:gridCol w:w="1367"/>
        <w:gridCol w:w="1367"/>
        <w:gridCol w:w="1367"/>
      </w:tblGrid>
      <w:tr>
        <w:trPr>
          <w:trHeight w:val="402" w:hRule="exact"/>
        </w:trPr>
        <w:tc>
          <w:tcPr>
            <w:tcW w:w="1369"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1367"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18"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5468" w:type="dxa"/>
            <w:gridSpan w:val="4"/>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本期变动金额</w:t>
            </w:r>
          </w:p>
        </w:tc>
        <w:tc>
          <w:tcPr>
            <w:tcW w:w="1367"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18"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369" w:type="dxa"/>
            <w:vMerge/>
            <w:tcBorders>
              <w:left w:val="single" w:sz="4" w:space="0" w:color="000000"/>
              <w:bottom w:val="single" w:sz="4" w:space="0" w:color="000000"/>
              <w:right w:val="single" w:sz="4" w:space="0" w:color="000000"/>
            </w:tcBorders>
            <w:shd w:val="clear" w:color="auto" w:fill="D3D3D3"/>
          </w:tcPr>
          <w:p>
            <w:pPr/>
          </w:p>
        </w:tc>
        <w:tc>
          <w:tcPr>
            <w:tcW w:w="1367" w:type="dxa"/>
            <w:vMerge/>
            <w:tcBorders>
              <w:left w:val="single" w:sz="4" w:space="0" w:color="000000"/>
              <w:bottom w:val="single" w:sz="4" w:space="0" w:color="000000"/>
              <w:right w:val="single" w:sz="4" w:space="0" w:color="000000"/>
            </w:tcBorders>
            <w:shd w:val="clear" w:color="auto" w:fill="D3D3D3"/>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计提</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228" w:right="0"/>
              <w:jc w:val="left"/>
              <w:rPr>
                <w:rFonts w:ascii="宋体" w:hAnsi="宋体" w:cs="宋体" w:eastAsia="宋体" w:hint="default"/>
                <w:sz w:val="18"/>
                <w:szCs w:val="18"/>
              </w:rPr>
            </w:pPr>
            <w:r>
              <w:rPr>
                <w:rFonts w:ascii="宋体" w:hAnsi="宋体" w:cs="宋体" w:eastAsia="宋体" w:hint="default"/>
                <w:sz w:val="18"/>
                <w:szCs w:val="18"/>
              </w:rPr>
              <w:t>收回或转回</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核销</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其他</w:t>
            </w:r>
          </w:p>
        </w:tc>
        <w:tc>
          <w:tcPr>
            <w:tcW w:w="1367" w:type="dxa"/>
            <w:vMerge/>
            <w:tcBorders>
              <w:left w:val="single" w:sz="4" w:space="0" w:color="000000"/>
              <w:bottom w:val="single" w:sz="4" w:space="0" w:color="000000"/>
              <w:right w:val="single" w:sz="4" w:space="0" w:color="000000"/>
            </w:tcBorders>
            <w:shd w:val="clear" w:color="auto" w:fill="D3D3D3"/>
          </w:tcPr>
          <w:p>
            <w:pPr/>
          </w:p>
        </w:tc>
      </w:tr>
    </w:tbl>
    <w:p>
      <w:pPr>
        <w:pStyle w:val="BodyText"/>
        <w:spacing w:line="240" w:lineRule="auto" w:before="50"/>
        <w:ind w:right="0"/>
        <w:jc w:val="left"/>
      </w:pPr>
      <w:r>
        <w:rPr/>
        <w:t>其中本期坏账准备收回或转回金额重要的：</w:t>
      </w:r>
    </w:p>
    <w:p>
      <w:pPr>
        <w:pStyle w:val="BodyText"/>
        <w:spacing w:line="240" w:lineRule="auto" w:before="116"/>
        <w:ind w:right="0"/>
        <w:jc w:val="left"/>
      </w:pPr>
      <w:r>
        <w:rPr/>
        <w:t>□ 适用 √ 不适用</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t>（</w:t>
      </w:r>
      <w:r>
        <w:rPr>
          <w:rFonts w:ascii="Times New Roman" w:hAnsi="Times New Roman" w:cs="Times New Roman" w:eastAsia="Times New Roman" w:hint="default"/>
        </w:rPr>
        <w:t>3</w:t>
      </w:r>
      <w:r>
        <w:rPr/>
        <w:t>）期末公司已质押的应收票据</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12"/>
        <w:rPr>
          <w:rFonts w:ascii="宋体" w:hAnsi="宋体" w:cs="宋体" w:eastAsia="宋体" w:hint="default"/>
          <w:sz w:val="7"/>
          <w:szCs w:val="7"/>
        </w:rPr>
      </w:pPr>
    </w:p>
    <w:p>
      <w:pPr>
        <w:spacing w:line="416" w:lineRule="exact"/>
        <w:ind w:left="104"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9.35pt;height:20.85pt;mso-position-horizontal-relative:char;mso-position-vertical-relative:line" coordorigin="0,0" coordsize="9587,417">
            <v:group style="position:absolute;left:13;top:13;width:4776;height:393" coordorigin="13,13" coordsize="4776,393">
              <v:shape style="position:absolute;left:13;top:13;width:4776;height:393" coordorigin="13,13" coordsize="4776,393" path="m13,13l4789,13,4789,406,13,406,13,13xe" filled="true" fillcolor="#d3d3d3" stroked="false">
                <v:path arrowok="t"/>
                <v:fill type="solid"/>
              </v:shape>
            </v:group>
            <v:group style="position:absolute;left:4798;top:13;width:4775;height:393" coordorigin="4798,13" coordsize="4775,393">
              <v:shape style="position:absolute;left:4798;top:13;width:4775;height:393" coordorigin="4798,13" coordsize="4775,393" path="m4798,13l9572,13,9572,406,4798,406,4798,13xe" filled="true" fillcolor="#d3d3d3" stroked="false">
                <v:path arrowok="t"/>
                <v:fill type="solid"/>
              </v:shape>
            </v:group>
            <v:group style="position:absolute;left:5;top:10;width:9578;height:2" coordorigin="5,10" coordsize="9578,2">
              <v:shape style="position:absolute;left:5;top:10;width:9578;height:2" coordorigin="5,10" coordsize="9578,0" path="m5,10l9582,10e" filled="false" stroked="true" strokeweight=".48pt" strokecolor="#000000">
                <v:path arrowok="t"/>
              </v:shape>
            </v:group>
            <v:group style="position:absolute;left:5;top:412;width:9578;height:2" coordorigin="5,412" coordsize="9578,2">
              <v:shape style="position:absolute;left:5;top:412;width:9578;height:2" coordorigin="5,412" coordsize="9578,0" path="m5,412l9582,412e" filled="false" stroked="true" strokeweight=".48pt" strokecolor="#000000">
                <v:path arrowok="t"/>
              </v:shape>
            </v:group>
            <v:group style="position:absolute;left:10;top:5;width:2;height:402" coordorigin="10,5" coordsize="2,402">
              <v:shape style="position:absolute;left:10;top:5;width:2;height:402" coordorigin="10,5" coordsize="0,402" path="m10,5l10,407e" filled="false" stroked="true" strokeweight=".48pt" strokecolor="#000000">
                <v:path arrowok="t"/>
              </v:shape>
            </v:group>
            <v:group style="position:absolute;left:4793;top:5;width:2;height:402" coordorigin="4793,5" coordsize="2,402">
              <v:shape style="position:absolute;left:4793;top:5;width:2;height:402" coordorigin="4793,5" coordsize="0,402" path="m4793,5l4793,407e" filled="false" stroked="true" strokeweight=".48pt" strokecolor="#000000">
                <v:path arrowok="t"/>
              </v:shape>
            </v:group>
            <v:group style="position:absolute;left:9577;top:5;width:2;height:402" coordorigin="9577,5" coordsize="2,402">
              <v:shape style="position:absolute;left:9577;top:5;width:2;height:402" coordorigin="9577,5" coordsize="0,402" path="m9577,5l9577,407e" filled="false" stroked="true" strokeweight=".48pt" strokecolor="#000000">
                <v:path arrowok="t"/>
              </v:shape>
              <v:shape style="position:absolute;left:2221;top:11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4793;top:10;width:4784;height:402" type="#_x0000_t202" filled="false" stroked="false">
                <v:textbox inset="0,0,0,0">
                  <w:txbxContent>
                    <w:p>
                      <w:pPr>
                        <w:spacing w:before="54"/>
                        <w:ind w:left="0" w:right="0" w:firstLine="0"/>
                        <w:jc w:val="center"/>
                        <w:rPr>
                          <w:rFonts w:ascii="宋体" w:hAnsi="宋体" w:cs="宋体" w:eastAsia="宋体" w:hint="default"/>
                          <w:sz w:val="18"/>
                          <w:szCs w:val="18"/>
                        </w:rPr>
                      </w:pPr>
                      <w:r>
                        <w:rPr>
                          <w:rFonts w:ascii="宋体" w:hAnsi="宋体" w:cs="宋体" w:eastAsia="宋体" w:hint="default"/>
                          <w:sz w:val="18"/>
                          <w:szCs w:val="18"/>
                        </w:rPr>
                        <w:t>期末已质押金额</w:t>
                      </w:r>
                    </w:p>
                  </w:txbxContent>
                </v:textbox>
                <w10:wrap type="none"/>
              </v:shape>
            </v:group>
          </v:group>
        </w:pict>
      </w:r>
      <w:r>
        <w:rPr>
          <w:rFonts w:ascii="宋体" w:hAnsi="宋体" w:cs="宋体" w:eastAsia="宋体" w:hint="default"/>
          <w:position w:val="-7"/>
          <w:sz w:val="20"/>
          <w:szCs w:val="20"/>
        </w:rPr>
      </w:r>
    </w:p>
    <w:p>
      <w:pPr>
        <w:spacing w:after="0" w:line="416" w:lineRule="exact"/>
        <w:rPr>
          <w:rFonts w:ascii="宋体" w:hAnsi="宋体" w:cs="宋体" w:eastAsia="宋体" w:hint="default"/>
          <w:sz w:val="20"/>
          <w:szCs w:val="20"/>
        </w:rPr>
        <w:sectPr>
          <w:pgSz w:w="11910" w:h="16840"/>
          <w:pgMar w:header="906" w:footer="1018" w:top="1100" w:bottom="1200" w:left="1020" w:right="0"/>
        </w:sectPr>
      </w:pPr>
    </w:p>
    <w:p>
      <w:pPr>
        <w:spacing w:line="240" w:lineRule="auto" w:before="9"/>
        <w:rPr>
          <w:rFonts w:ascii="宋体" w:hAnsi="宋体" w:cs="宋体" w:eastAsia="宋体" w:hint="default"/>
          <w:sz w:val="21"/>
          <w:szCs w:val="21"/>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4</w:t>
      </w:r>
      <w:r>
        <w:rPr/>
        <w:t>）期末公司已背书或贴现且在资产负债表日尚未到期的应收票据</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870" w:right="0"/>
              <w:jc w:val="left"/>
              <w:rPr>
                <w:rFonts w:ascii="宋体" w:hAnsi="宋体" w:cs="宋体" w:eastAsia="宋体" w:hint="default"/>
                <w:sz w:val="18"/>
                <w:szCs w:val="18"/>
              </w:rPr>
            </w:pPr>
            <w:r>
              <w:rPr>
                <w:rFonts w:ascii="宋体" w:hAnsi="宋体" w:cs="宋体" w:eastAsia="宋体" w:hint="default"/>
                <w:sz w:val="18"/>
                <w:szCs w:val="18"/>
              </w:rPr>
              <w:t>期末终止确认金额</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780" w:right="0"/>
              <w:jc w:val="left"/>
              <w:rPr>
                <w:rFonts w:ascii="宋体" w:hAnsi="宋体" w:cs="宋体" w:eastAsia="宋体" w:hint="default"/>
                <w:sz w:val="18"/>
                <w:szCs w:val="18"/>
              </w:rPr>
            </w:pPr>
            <w:r>
              <w:rPr>
                <w:rFonts w:ascii="宋体" w:hAnsi="宋体" w:cs="宋体" w:eastAsia="宋体" w:hint="default"/>
                <w:sz w:val="18"/>
                <w:szCs w:val="18"/>
              </w:rPr>
              <w:t>期末未终止确认金额</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5</w:t>
      </w:r>
      <w:r>
        <w:rPr/>
        <w:t>）期末公司因出票人未履约而将其转应收账款的票据</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11"/>
        <w:rPr>
          <w:rFonts w:ascii="宋体" w:hAnsi="宋体" w:cs="宋体" w:eastAsia="宋体" w:hint="default"/>
          <w:sz w:val="7"/>
          <w:szCs w:val="7"/>
        </w:rPr>
      </w:pPr>
    </w:p>
    <w:p>
      <w:pPr>
        <w:spacing w:line="416" w:lineRule="exact"/>
        <w:ind w:left="104"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9.35pt;height:20.85pt;mso-position-horizontal-relative:char;mso-position-vertical-relative:line" coordorigin="0,0" coordsize="9587,417">
            <v:group style="position:absolute;left:13;top:13;width:4776;height:393" coordorigin="13,13" coordsize="4776,393">
              <v:shape style="position:absolute;left:13;top:13;width:4776;height:393" coordorigin="13,13" coordsize="4776,393" path="m13,13l4789,13,4789,406,13,406,13,13xe" filled="true" fillcolor="#d3d3d3" stroked="false">
                <v:path arrowok="t"/>
                <v:fill type="solid"/>
              </v:shape>
            </v:group>
            <v:group style="position:absolute;left:4798;top:13;width:4775;height:393" coordorigin="4798,13" coordsize="4775,393">
              <v:shape style="position:absolute;left:4798;top:13;width:4775;height:393" coordorigin="4798,13" coordsize="4775,393" path="m4798,13l9572,13,9572,406,4798,406,4798,13xe" filled="true" fillcolor="#d3d3d3" stroked="false">
                <v:path arrowok="t"/>
                <v:fill type="solid"/>
              </v:shape>
            </v:group>
            <v:group style="position:absolute;left:5;top:10;width:9578;height:2" coordorigin="5,10" coordsize="9578,2">
              <v:shape style="position:absolute;left:5;top:10;width:9578;height:2" coordorigin="5,10" coordsize="9578,0" path="m5,10l9582,10e" filled="false" stroked="true" strokeweight=".48pt" strokecolor="#000000">
                <v:path arrowok="t"/>
              </v:shape>
            </v:group>
            <v:group style="position:absolute;left:5;top:412;width:9578;height:2" coordorigin="5,412" coordsize="9578,2">
              <v:shape style="position:absolute;left:5;top:412;width:9578;height:2" coordorigin="5,412" coordsize="9578,0" path="m5,412l9582,412e" filled="false" stroked="true" strokeweight=".48pt" strokecolor="#000000">
                <v:path arrowok="t"/>
              </v:shape>
            </v:group>
            <v:group style="position:absolute;left:10;top:5;width:2;height:402" coordorigin="10,5" coordsize="2,402">
              <v:shape style="position:absolute;left:10;top:5;width:2;height:402" coordorigin="10,5" coordsize="0,402" path="m10,5l10,407e" filled="false" stroked="true" strokeweight=".48pt" strokecolor="#000000">
                <v:path arrowok="t"/>
              </v:shape>
            </v:group>
            <v:group style="position:absolute;left:4793;top:5;width:2;height:402" coordorigin="4793,5" coordsize="2,402">
              <v:shape style="position:absolute;left:4793;top:5;width:2;height:402" coordorigin="4793,5" coordsize="0,402" path="m4793,5l4793,407e" filled="false" stroked="true" strokeweight=".48pt" strokecolor="#000000">
                <v:path arrowok="t"/>
              </v:shape>
            </v:group>
            <v:group style="position:absolute;left:9577;top:5;width:2;height:402" coordorigin="9577,5" coordsize="2,402">
              <v:shape style="position:absolute;left:9577;top:5;width:2;height:402" coordorigin="9577,5" coordsize="0,402" path="m9577,5l9577,407e" filled="false" stroked="true" strokeweight=".48pt" strokecolor="#000000">
                <v:path arrowok="t"/>
              </v:shape>
              <v:shape style="position:absolute;left:2221;top:11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4793;top:10;width:4784;height:402" type="#_x0000_t202" filled="false" stroked="false">
                <v:textbox inset="0,0,0,0">
                  <w:txbxContent>
                    <w:p>
                      <w:pPr>
                        <w:spacing w:before="53"/>
                        <w:ind w:left="1581" w:right="0" w:firstLine="0"/>
                        <w:jc w:val="left"/>
                        <w:rPr>
                          <w:rFonts w:ascii="宋体" w:hAnsi="宋体" w:cs="宋体" w:eastAsia="宋体" w:hint="default"/>
                          <w:sz w:val="18"/>
                          <w:szCs w:val="18"/>
                        </w:rPr>
                      </w:pPr>
                      <w:r>
                        <w:rPr>
                          <w:rFonts w:ascii="宋体" w:hAnsi="宋体" w:cs="宋体" w:eastAsia="宋体" w:hint="default"/>
                          <w:sz w:val="18"/>
                          <w:szCs w:val="18"/>
                        </w:rPr>
                        <w:t>期末转应收账款金额</w:t>
                      </w:r>
                    </w:p>
                  </w:txbxContent>
                </v:textbox>
                <w10:wrap type="none"/>
              </v:shape>
            </v:group>
          </v:group>
        </w:pict>
      </w:r>
      <w:r>
        <w:rPr>
          <w:rFonts w:ascii="宋体" w:hAnsi="宋体" w:cs="宋体" w:eastAsia="宋体" w:hint="default"/>
          <w:position w:val="-7"/>
          <w:sz w:val="20"/>
          <w:szCs w:val="20"/>
        </w:rPr>
      </w:r>
    </w:p>
    <w:p>
      <w:pPr>
        <w:pStyle w:val="BodyText"/>
        <w:spacing w:line="240" w:lineRule="auto" w:before="49"/>
        <w:ind w:right="0"/>
        <w:jc w:val="left"/>
      </w:pPr>
      <w:r>
        <w:rPr/>
        <w:t>其他说明</w:t>
      </w:r>
    </w:p>
    <w:p>
      <w:pPr>
        <w:spacing w:line="240" w:lineRule="auto" w:before="13"/>
        <w:rPr>
          <w:rFonts w:ascii="宋体" w:hAnsi="宋体" w:cs="宋体" w:eastAsia="宋体" w:hint="default"/>
          <w:sz w:val="26"/>
          <w:szCs w:val="26"/>
        </w:rPr>
      </w:pPr>
    </w:p>
    <w:p>
      <w:pPr>
        <w:pStyle w:val="Heading3"/>
        <w:spacing w:line="240" w:lineRule="auto"/>
        <w:ind w:right="0"/>
        <w:jc w:val="left"/>
        <w:rPr>
          <w:b w:val="0"/>
          <w:bCs w:val="0"/>
        </w:rPr>
      </w:pPr>
      <w:r>
        <w:rPr/>
        <w:t>（</w:t>
      </w:r>
      <w:r>
        <w:rPr>
          <w:rFonts w:ascii="Times New Roman" w:hAnsi="Times New Roman" w:cs="Times New Roman" w:eastAsia="Times New Roman" w:hint="default"/>
        </w:rPr>
        <w:t>6</w:t>
      </w:r>
      <w:r>
        <w:rPr/>
        <w:t>）本期实际核销的应收票据情况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12"/>
        <w:rPr>
          <w:rFonts w:ascii="宋体" w:hAnsi="宋体" w:cs="宋体" w:eastAsia="宋体" w:hint="default"/>
          <w:sz w:val="7"/>
          <w:szCs w:val="7"/>
        </w:rPr>
      </w:pPr>
    </w:p>
    <w:p>
      <w:pPr>
        <w:spacing w:line="416" w:lineRule="exact"/>
        <w:ind w:left="104"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9.35pt;height:20.85pt;mso-position-horizontal-relative:char;mso-position-vertical-relative:line" coordorigin="0,0" coordsize="9587,417">
            <v:group style="position:absolute;left:13;top:13;width:4776;height:393" coordorigin="13,13" coordsize="4776,393">
              <v:shape style="position:absolute;left:13;top:13;width:4776;height:393" coordorigin="13,13" coordsize="4776,393" path="m13,13l4789,13,4789,406,13,406,13,13xe" filled="true" fillcolor="#d3d3d3" stroked="false">
                <v:path arrowok="t"/>
                <v:fill type="solid"/>
              </v:shape>
            </v:group>
            <v:group style="position:absolute;left:4798;top:13;width:4775;height:393" coordorigin="4798,13" coordsize="4775,393">
              <v:shape style="position:absolute;left:4798;top:13;width:4775;height:393" coordorigin="4798,13" coordsize="4775,393" path="m4798,13l9572,13,9572,406,4798,406,4798,13xe" filled="true" fillcolor="#d3d3d3" stroked="false">
                <v:path arrowok="t"/>
                <v:fill type="solid"/>
              </v:shape>
            </v:group>
            <v:group style="position:absolute;left:5;top:10;width:9578;height:2" coordorigin="5,10" coordsize="9578,2">
              <v:shape style="position:absolute;left:5;top:10;width:9578;height:2" coordorigin="5,10" coordsize="9578,0" path="m5,10l9582,10e" filled="false" stroked="true" strokeweight=".48pt" strokecolor="#000000">
                <v:path arrowok="t"/>
              </v:shape>
            </v:group>
            <v:group style="position:absolute;left:5;top:412;width:9578;height:2" coordorigin="5,412" coordsize="9578,2">
              <v:shape style="position:absolute;left:5;top:412;width:9578;height:2" coordorigin="5,412" coordsize="9578,0" path="m5,412l9582,412e" filled="false" stroked="true" strokeweight=".48pt" strokecolor="#000000">
                <v:path arrowok="t"/>
              </v:shape>
            </v:group>
            <v:group style="position:absolute;left:10;top:5;width:2;height:402" coordorigin="10,5" coordsize="2,402">
              <v:shape style="position:absolute;left:10;top:5;width:2;height:402" coordorigin="10,5" coordsize="0,402" path="m10,5l10,407e" filled="false" stroked="true" strokeweight=".48pt" strokecolor="#000000">
                <v:path arrowok="t"/>
              </v:shape>
            </v:group>
            <v:group style="position:absolute;left:4793;top:5;width:2;height:402" coordorigin="4793,5" coordsize="2,402">
              <v:shape style="position:absolute;left:4793;top:5;width:2;height:402" coordorigin="4793,5" coordsize="0,402" path="m4793,5l4793,407e" filled="false" stroked="true" strokeweight=".48pt" strokecolor="#000000">
                <v:path arrowok="t"/>
              </v:shape>
            </v:group>
            <v:group style="position:absolute;left:9577;top:5;width:2;height:402" coordorigin="9577,5" coordsize="2,402">
              <v:shape style="position:absolute;left:9577;top:5;width:2;height:402" coordorigin="9577,5" coordsize="0,402" path="m9577,5l9577,407e" filled="false" stroked="true" strokeweight=".48pt" strokecolor="#000000">
                <v:path arrowok="t"/>
              </v:shape>
              <v:shape style="position:absolute;left:2221;top:11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4793;top:10;width:4784;height:402" type="#_x0000_t202" filled="false" stroked="false">
                <v:textbox inset="0,0,0,0">
                  <w:txbxContent>
                    <w:p>
                      <w:pPr>
                        <w:spacing w:before="54"/>
                        <w:ind w:left="0" w:right="0" w:firstLine="0"/>
                        <w:jc w:val="center"/>
                        <w:rPr>
                          <w:rFonts w:ascii="宋体" w:hAnsi="宋体" w:cs="宋体" w:eastAsia="宋体" w:hint="default"/>
                          <w:sz w:val="18"/>
                          <w:szCs w:val="18"/>
                        </w:rPr>
                      </w:pPr>
                      <w:r>
                        <w:rPr>
                          <w:rFonts w:ascii="宋体" w:hAnsi="宋体" w:cs="宋体" w:eastAsia="宋体" w:hint="default"/>
                          <w:sz w:val="18"/>
                          <w:szCs w:val="18"/>
                        </w:rPr>
                        <w:t>核销金额</w:t>
                      </w:r>
                    </w:p>
                  </w:txbxContent>
                </v:textbox>
                <w10:wrap type="none"/>
              </v:shape>
            </v:group>
          </v:group>
        </w:pict>
      </w:r>
      <w:r>
        <w:rPr>
          <w:rFonts w:ascii="宋体" w:hAnsi="宋体" w:cs="宋体" w:eastAsia="宋体" w:hint="default"/>
          <w:position w:val="-7"/>
          <w:sz w:val="20"/>
          <w:szCs w:val="20"/>
        </w:rPr>
      </w:r>
    </w:p>
    <w:p>
      <w:pPr>
        <w:pStyle w:val="BodyText"/>
        <w:spacing w:line="240" w:lineRule="auto" w:before="49"/>
        <w:ind w:right="0"/>
        <w:jc w:val="left"/>
      </w:pPr>
      <w:r>
        <w:rPr/>
        <w:t>其中重要的应收票据核销情况：</w:t>
      </w:r>
    </w:p>
    <w:p>
      <w:pPr>
        <w:pStyle w:val="BodyText"/>
        <w:spacing w:line="240" w:lineRule="auto" w:before="116"/>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596"/>
        <w:gridCol w:w="1594"/>
        <w:gridCol w:w="1594"/>
        <w:gridCol w:w="1594"/>
        <w:gridCol w:w="1594"/>
        <w:gridCol w:w="1594"/>
      </w:tblGrid>
      <w:tr>
        <w:trPr>
          <w:trHeight w:val="713" w:hRule="exact"/>
        </w:trPr>
        <w:tc>
          <w:tcPr>
            <w:tcW w:w="15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51" w:right="0"/>
              <w:jc w:val="left"/>
              <w:rPr>
                <w:rFonts w:ascii="宋体" w:hAnsi="宋体" w:cs="宋体" w:eastAsia="宋体" w:hint="default"/>
                <w:sz w:val="18"/>
                <w:szCs w:val="18"/>
              </w:rPr>
            </w:pPr>
            <w:r>
              <w:rPr>
                <w:rFonts w:ascii="宋体" w:hAnsi="宋体" w:cs="宋体" w:eastAsia="宋体" w:hint="default"/>
                <w:sz w:val="18"/>
                <w:szCs w:val="18"/>
              </w:rPr>
              <w:t>应收票据性质</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62" w:right="0"/>
              <w:jc w:val="left"/>
              <w:rPr>
                <w:rFonts w:ascii="宋体" w:hAnsi="宋体" w:cs="宋体" w:eastAsia="宋体" w:hint="default"/>
                <w:sz w:val="18"/>
                <w:szCs w:val="18"/>
              </w:rPr>
            </w:pPr>
            <w:r>
              <w:rPr>
                <w:rFonts w:ascii="宋体" w:hAnsi="宋体" w:cs="宋体" w:eastAsia="宋体" w:hint="default"/>
                <w:sz w:val="18"/>
                <w:szCs w:val="18"/>
              </w:rPr>
              <w:t>履行的核销程序</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431" w:right="160" w:hanging="270"/>
              <w:jc w:val="left"/>
              <w:rPr>
                <w:rFonts w:ascii="宋体" w:hAnsi="宋体" w:cs="宋体" w:eastAsia="宋体" w:hint="default"/>
                <w:sz w:val="18"/>
                <w:szCs w:val="18"/>
              </w:rPr>
            </w:pPr>
            <w:r>
              <w:rPr>
                <w:rFonts w:ascii="宋体" w:hAnsi="宋体" w:cs="宋体" w:eastAsia="宋体" w:hint="default"/>
                <w:sz w:val="18"/>
                <w:szCs w:val="18"/>
              </w:rPr>
              <w:t>款项是否由关联 交易产生</w:t>
            </w:r>
          </w:p>
        </w:tc>
      </w:tr>
    </w:tbl>
    <w:p>
      <w:pPr>
        <w:pStyle w:val="BodyText"/>
        <w:spacing w:line="240" w:lineRule="auto" w:before="49"/>
        <w:ind w:right="0"/>
        <w:jc w:val="left"/>
      </w:pPr>
      <w:r>
        <w:rPr/>
        <w:t>应收票据核销说明：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5</w:t>
      </w:r>
      <w:r>
        <w:rPr/>
        <w:t>、应收账款</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r>
        <w:rPr/>
        <w:t>（</w:t>
      </w:r>
      <w:r>
        <w:rPr>
          <w:rFonts w:ascii="Times New Roman" w:hAnsi="Times New Roman" w:cs="Times New Roman" w:eastAsia="Times New Roman" w:hint="default"/>
        </w:rPr>
        <w:t>1</w:t>
      </w:r>
      <w:r>
        <w:rPr/>
        <w:t>）应收账款分类披露</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635"/>
        <w:gridCol w:w="763"/>
        <w:gridCol w:w="762"/>
        <w:gridCol w:w="762"/>
        <w:gridCol w:w="763"/>
        <w:gridCol w:w="789"/>
        <w:gridCol w:w="776"/>
        <w:gridCol w:w="797"/>
        <w:gridCol w:w="798"/>
        <w:gridCol w:w="790"/>
        <w:gridCol w:w="932"/>
      </w:tblGrid>
      <w:tr>
        <w:trPr>
          <w:trHeight w:val="401" w:hRule="exact"/>
        </w:trPr>
        <w:tc>
          <w:tcPr>
            <w:tcW w:w="1635"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6"/>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3839" w:type="dxa"/>
            <w:gridSpan w:val="5"/>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3" w:type="dxa"/>
            <w:gridSpan w:val="5"/>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1635" w:type="dxa"/>
            <w:vMerge/>
            <w:tcBorders>
              <w:left w:val="single" w:sz="4" w:space="0" w:color="000000"/>
              <w:right w:val="single" w:sz="4" w:space="0" w:color="000000"/>
            </w:tcBorders>
            <w:shd w:val="clear" w:color="auto" w:fill="D3D3D3"/>
          </w:tcPr>
          <w:p>
            <w:pPr/>
          </w:p>
        </w:tc>
        <w:tc>
          <w:tcPr>
            <w:tcW w:w="1525"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396"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5"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39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89"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2"/>
              <w:ind w:right="0"/>
              <w:jc w:val="left"/>
              <w:rPr>
                <w:rFonts w:ascii="宋体" w:hAnsi="宋体" w:cs="宋体" w:eastAsia="宋体" w:hint="default"/>
                <w:sz w:val="19"/>
                <w:szCs w:val="19"/>
              </w:rPr>
            </w:pPr>
          </w:p>
          <w:p>
            <w:pPr>
              <w:pStyle w:val="TableParagraph"/>
              <w:spacing w:line="316" w:lineRule="auto"/>
              <w:ind w:left="298" w:right="118" w:hanging="180"/>
              <w:jc w:val="left"/>
              <w:rPr>
                <w:rFonts w:ascii="宋体" w:hAnsi="宋体" w:cs="宋体" w:eastAsia="宋体" w:hint="default"/>
                <w:sz w:val="18"/>
                <w:szCs w:val="18"/>
              </w:rPr>
            </w:pPr>
            <w:r>
              <w:rPr>
                <w:rFonts w:ascii="宋体" w:hAnsi="宋体" w:cs="宋体" w:eastAsia="宋体" w:hint="default"/>
                <w:sz w:val="18"/>
                <w:szCs w:val="18"/>
              </w:rPr>
              <w:t>账面价 值</w:t>
            </w:r>
          </w:p>
        </w:tc>
        <w:tc>
          <w:tcPr>
            <w:tcW w:w="1573"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2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88"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29"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2"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2"/>
              <w:ind w:right="0"/>
              <w:jc w:val="left"/>
              <w:rPr>
                <w:rFonts w:ascii="宋体" w:hAnsi="宋体" w:cs="宋体" w:eastAsia="宋体" w:hint="default"/>
                <w:sz w:val="19"/>
                <w:szCs w:val="19"/>
              </w:rPr>
            </w:pPr>
          </w:p>
          <w:p>
            <w:pPr>
              <w:pStyle w:val="TableParagraph"/>
              <w:spacing w:line="316" w:lineRule="auto"/>
              <w:ind w:left="371" w:right="189" w:hanging="180"/>
              <w:jc w:val="left"/>
              <w:rPr>
                <w:rFonts w:ascii="宋体" w:hAnsi="宋体" w:cs="宋体" w:eastAsia="宋体" w:hint="default"/>
                <w:sz w:val="18"/>
                <w:szCs w:val="18"/>
              </w:rPr>
            </w:pPr>
            <w:r>
              <w:rPr>
                <w:rFonts w:ascii="宋体" w:hAnsi="宋体" w:cs="宋体" w:eastAsia="宋体" w:hint="default"/>
                <w:sz w:val="18"/>
                <w:szCs w:val="18"/>
              </w:rPr>
              <w:t>账面价 值</w:t>
            </w:r>
          </w:p>
        </w:tc>
      </w:tr>
      <w:tr>
        <w:trPr>
          <w:trHeight w:val="714" w:hRule="exact"/>
        </w:trPr>
        <w:tc>
          <w:tcPr>
            <w:tcW w:w="1635" w:type="dxa"/>
            <w:vMerge/>
            <w:tcBorders>
              <w:left w:val="single" w:sz="4" w:space="0" w:color="000000"/>
              <w:bottom w:val="single" w:sz="4" w:space="0" w:color="000000"/>
              <w:right w:val="single" w:sz="4" w:space="0" w:color="000000"/>
            </w:tcBorders>
            <w:shd w:val="clear" w:color="auto" w:fill="D3D3D3"/>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49"/>
              <w:ind w:left="286" w:right="105"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89" w:type="dxa"/>
            <w:vMerge/>
            <w:tcBorders>
              <w:left w:val="single" w:sz="4" w:space="0" w:color="000000"/>
              <w:bottom w:val="single" w:sz="4" w:space="0" w:color="000000"/>
              <w:right w:val="single" w:sz="4" w:space="0" w:color="000000"/>
            </w:tcBorders>
            <w:shd w:val="clear" w:color="auto" w:fill="D3D3D3"/>
          </w:tcPr>
          <w:p>
            <w:pPr/>
          </w:p>
        </w:tc>
        <w:tc>
          <w:tcPr>
            <w:tcW w:w="77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02"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9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13"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1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49"/>
              <w:ind w:left="300" w:right="117"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932" w:type="dxa"/>
            <w:vMerge/>
            <w:tcBorders>
              <w:left w:val="single" w:sz="4" w:space="0" w:color="000000"/>
              <w:bottom w:val="single" w:sz="4" w:space="0" w:color="000000"/>
              <w:right w:val="single" w:sz="4" w:space="0" w:color="000000"/>
            </w:tcBorders>
            <w:shd w:val="clear" w:color="auto" w:fill="D3D3D3"/>
          </w:tcPr>
          <w:p>
            <w:pPr/>
          </w:p>
        </w:tc>
      </w:tr>
      <w:tr>
        <w:trPr>
          <w:trHeight w:val="402" w:hRule="exact"/>
        </w:trPr>
        <w:tc>
          <w:tcPr>
            <w:tcW w:w="16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763"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62"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62"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89"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76"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90"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932"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1026" w:hRule="exact"/>
        </w:trPr>
        <w:tc>
          <w:tcPr>
            <w:tcW w:w="16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02" w:right="260"/>
              <w:jc w:val="left"/>
              <w:rPr>
                <w:rFonts w:ascii="宋体" w:hAnsi="宋体" w:cs="宋体" w:eastAsia="宋体" w:hint="default"/>
                <w:sz w:val="18"/>
                <w:szCs w:val="18"/>
              </w:rPr>
            </w:pPr>
            <w:r>
              <w:rPr>
                <w:rFonts w:ascii="宋体" w:hAnsi="宋体" w:cs="宋体" w:eastAsia="宋体" w:hint="default"/>
                <w:sz w:val="18"/>
                <w:szCs w:val="18"/>
              </w:rPr>
              <w:t>按组合计提坏账 准备的应收账款</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138,03</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7,392.9</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154"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left="50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109" w:right="0"/>
              <w:jc w:val="left"/>
              <w:rPr>
                <w:rFonts w:ascii="Times New Roman" w:hAnsi="Times New Roman" w:cs="Times New Roman" w:eastAsia="Times New Roman" w:hint="default"/>
                <w:sz w:val="18"/>
                <w:szCs w:val="18"/>
              </w:rPr>
            </w:pPr>
            <w:r>
              <w:rPr>
                <w:rFonts w:ascii="Times New Roman"/>
                <w:sz w:val="18"/>
              </w:rPr>
              <w:t>16,861,</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443.17</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245" w:right="0"/>
              <w:jc w:val="left"/>
              <w:rPr>
                <w:rFonts w:ascii="Times New Roman" w:hAnsi="Times New Roman" w:cs="Times New Roman" w:eastAsia="Times New Roman" w:hint="default"/>
                <w:sz w:val="18"/>
                <w:szCs w:val="18"/>
              </w:rPr>
            </w:pPr>
            <w:r>
              <w:rPr>
                <w:rFonts w:ascii="Times New Roman"/>
                <w:sz w:val="18"/>
              </w:rPr>
              <w:t>12.22</w:t>
            </w:r>
          </w:p>
          <w:p>
            <w:pPr>
              <w:pStyle w:val="TableParagraph"/>
              <w:spacing w:line="240" w:lineRule="auto" w:before="105"/>
              <w:ind w:left="501"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121,17</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5,949.7</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3</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105,31</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9,392.5</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144" w:right="0"/>
              <w:jc w:val="left"/>
              <w:rPr>
                <w:rFonts w:ascii="Times New Roman" w:hAnsi="Times New Roman" w:cs="Times New Roman" w:eastAsia="Times New Roman" w:hint="default"/>
                <w:sz w:val="18"/>
                <w:szCs w:val="18"/>
              </w:rPr>
            </w:pPr>
            <w:r>
              <w:rPr>
                <w:rFonts w:ascii="Times New Roman"/>
                <w:sz w:val="18"/>
              </w:rPr>
              <w:t>14,248,</w:t>
            </w:r>
          </w:p>
          <w:p>
            <w:pPr>
              <w:pStyle w:val="TableParagraph"/>
              <w:spacing w:line="240" w:lineRule="auto" w:before="105"/>
              <w:ind w:left="189" w:right="0"/>
              <w:jc w:val="left"/>
              <w:rPr>
                <w:rFonts w:ascii="Times New Roman" w:hAnsi="Times New Roman" w:cs="Times New Roman" w:eastAsia="Times New Roman" w:hint="default"/>
                <w:sz w:val="18"/>
                <w:szCs w:val="18"/>
              </w:rPr>
            </w:pPr>
            <w:r>
              <w:rPr>
                <w:rFonts w:ascii="Times New Roman"/>
                <w:sz w:val="18"/>
              </w:rPr>
              <w:t>887.08</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13.53%</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189" w:right="0"/>
              <w:jc w:val="left"/>
              <w:rPr>
                <w:rFonts w:ascii="Times New Roman" w:hAnsi="Times New Roman" w:cs="Times New Roman" w:eastAsia="Times New Roman" w:hint="default"/>
                <w:sz w:val="18"/>
                <w:szCs w:val="18"/>
              </w:rPr>
            </w:pPr>
            <w:r>
              <w:rPr>
                <w:rFonts w:ascii="Times New Roman"/>
                <w:sz w:val="18"/>
              </w:rPr>
              <w:t>91,070,5</w:t>
            </w:r>
          </w:p>
          <w:p>
            <w:pPr>
              <w:pStyle w:val="TableParagraph"/>
              <w:spacing w:line="240" w:lineRule="auto" w:before="105"/>
              <w:ind w:left="414" w:right="0"/>
              <w:jc w:val="left"/>
              <w:rPr>
                <w:rFonts w:ascii="Times New Roman" w:hAnsi="Times New Roman" w:cs="Times New Roman" w:eastAsia="Times New Roman" w:hint="default"/>
                <w:sz w:val="18"/>
                <w:szCs w:val="18"/>
              </w:rPr>
            </w:pPr>
            <w:r>
              <w:rPr>
                <w:rFonts w:ascii="Times New Roman"/>
                <w:sz w:val="18"/>
              </w:rPr>
              <w:t>05.47</w:t>
            </w:r>
          </w:p>
        </w:tc>
      </w:tr>
      <w:tr>
        <w:trPr>
          <w:trHeight w:val="401" w:hRule="exact"/>
        </w:trPr>
        <w:tc>
          <w:tcPr>
            <w:tcW w:w="16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763"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62"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62"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89"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76"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90"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932"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1027" w:hRule="exact"/>
        </w:trPr>
        <w:tc>
          <w:tcPr>
            <w:tcW w:w="16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138,03</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7,392.9</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154"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left="50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109" w:right="0"/>
              <w:jc w:val="left"/>
              <w:rPr>
                <w:rFonts w:ascii="Times New Roman" w:hAnsi="Times New Roman" w:cs="Times New Roman" w:eastAsia="Times New Roman" w:hint="default"/>
                <w:sz w:val="18"/>
                <w:szCs w:val="18"/>
              </w:rPr>
            </w:pPr>
            <w:r>
              <w:rPr>
                <w:rFonts w:ascii="Times New Roman"/>
                <w:sz w:val="18"/>
              </w:rPr>
              <w:t>16,861,</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443.17</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245" w:right="0"/>
              <w:jc w:val="left"/>
              <w:rPr>
                <w:rFonts w:ascii="Times New Roman" w:hAnsi="Times New Roman" w:cs="Times New Roman" w:eastAsia="Times New Roman" w:hint="default"/>
                <w:sz w:val="18"/>
                <w:szCs w:val="18"/>
              </w:rPr>
            </w:pPr>
            <w:r>
              <w:rPr>
                <w:rFonts w:ascii="Times New Roman"/>
                <w:sz w:val="18"/>
              </w:rPr>
              <w:t>12.22</w:t>
            </w:r>
          </w:p>
          <w:p>
            <w:pPr>
              <w:pStyle w:val="TableParagraph"/>
              <w:spacing w:line="240" w:lineRule="auto" w:before="105"/>
              <w:ind w:left="501"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121,17</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5,949.7</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3</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105,31</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9,392.5</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144" w:right="0"/>
              <w:jc w:val="left"/>
              <w:rPr>
                <w:rFonts w:ascii="Times New Roman" w:hAnsi="Times New Roman" w:cs="Times New Roman" w:eastAsia="Times New Roman" w:hint="default"/>
                <w:sz w:val="18"/>
                <w:szCs w:val="18"/>
              </w:rPr>
            </w:pPr>
            <w:r>
              <w:rPr>
                <w:rFonts w:ascii="Times New Roman"/>
                <w:sz w:val="18"/>
              </w:rPr>
              <w:t>14,248,</w:t>
            </w:r>
          </w:p>
          <w:p>
            <w:pPr>
              <w:pStyle w:val="TableParagraph"/>
              <w:spacing w:line="240" w:lineRule="auto" w:before="105"/>
              <w:ind w:left="189" w:right="0"/>
              <w:jc w:val="left"/>
              <w:rPr>
                <w:rFonts w:ascii="Times New Roman" w:hAnsi="Times New Roman" w:cs="Times New Roman" w:eastAsia="Times New Roman" w:hint="default"/>
                <w:sz w:val="18"/>
                <w:szCs w:val="18"/>
              </w:rPr>
            </w:pPr>
            <w:r>
              <w:rPr>
                <w:rFonts w:ascii="Times New Roman"/>
                <w:sz w:val="18"/>
              </w:rPr>
              <w:t>887.08</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13.53%</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189" w:right="0"/>
              <w:jc w:val="left"/>
              <w:rPr>
                <w:rFonts w:ascii="Times New Roman" w:hAnsi="Times New Roman" w:cs="Times New Roman" w:eastAsia="Times New Roman" w:hint="default"/>
                <w:sz w:val="18"/>
                <w:szCs w:val="18"/>
              </w:rPr>
            </w:pPr>
            <w:r>
              <w:rPr>
                <w:rFonts w:ascii="Times New Roman"/>
                <w:sz w:val="18"/>
              </w:rPr>
              <w:t>91,070,5</w:t>
            </w:r>
          </w:p>
          <w:p>
            <w:pPr>
              <w:pStyle w:val="TableParagraph"/>
              <w:spacing w:line="240" w:lineRule="auto" w:before="105"/>
              <w:ind w:left="414" w:right="0"/>
              <w:jc w:val="left"/>
              <w:rPr>
                <w:rFonts w:ascii="Times New Roman" w:hAnsi="Times New Roman" w:cs="Times New Roman" w:eastAsia="Times New Roman" w:hint="default"/>
                <w:sz w:val="18"/>
                <w:szCs w:val="18"/>
              </w:rPr>
            </w:pPr>
            <w:r>
              <w:rPr>
                <w:rFonts w:ascii="Times New Roman"/>
                <w:sz w:val="18"/>
              </w:rPr>
              <w:t>05.47</w:t>
            </w:r>
          </w:p>
        </w:tc>
      </w:tr>
    </w:tbl>
    <w:p>
      <w:pPr>
        <w:pStyle w:val="BodyText"/>
        <w:spacing w:line="240" w:lineRule="auto" w:before="49"/>
        <w:ind w:right="0"/>
        <w:jc w:val="left"/>
      </w:pPr>
      <w:r>
        <w:rPr/>
        <w:t>按单项计提坏账准备：</w:t>
      </w:r>
    </w:p>
    <w:p>
      <w:pPr>
        <w:pStyle w:val="BodyText"/>
        <w:spacing w:line="240" w:lineRule="auto" w:before="116"/>
        <w:ind w:left="0" w:right="1131"/>
        <w:jc w:val="right"/>
      </w:pPr>
      <w:r>
        <w:rPr/>
        <w:t>单位：</w:t>
      </w:r>
      <w:r>
        <w:rPr>
          <w:spacing w:val="-1"/>
        </w:rPr>
        <w:t> </w:t>
      </w:r>
      <w:r>
        <w:rPr/>
        <w:t>元</w:t>
      </w:r>
    </w:p>
    <w:p>
      <w:pPr>
        <w:spacing w:after="0" w:line="240" w:lineRule="auto"/>
        <w:jc w:val="right"/>
        <w:sectPr>
          <w:pgSz w:w="11910" w:h="16840"/>
          <w:pgMar w:header="906" w:footer="1018" w:top="1100" w:bottom="1200" w:left="1020" w:right="0"/>
        </w:sectPr>
      </w:pPr>
    </w:p>
    <w:p>
      <w:pPr>
        <w:spacing w:line="240" w:lineRule="auto" w:before="7"/>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913"/>
        <w:gridCol w:w="1915"/>
        <w:gridCol w:w="1914"/>
        <w:gridCol w:w="1914"/>
        <w:gridCol w:w="1914"/>
      </w:tblGrid>
      <w:tr>
        <w:trPr>
          <w:trHeight w:val="402" w:hRule="exact"/>
        </w:trPr>
        <w:tc>
          <w:tcPr>
            <w:tcW w:w="1913"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名称</w:t>
            </w:r>
          </w:p>
        </w:tc>
        <w:tc>
          <w:tcPr>
            <w:tcW w:w="7657" w:type="dxa"/>
            <w:gridSpan w:val="4"/>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913" w:type="dxa"/>
            <w:vMerge/>
            <w:tcBorders>
              <w:left w:val="single" w:sz="4" w:space="0" w:color="000000"/>
              <w:bottom w:val="single" w:sz="4" w:space="0" w:color="000000"/>
              <w:right w:val="single" w:sz="4" w:space="0" w:color="000000"/>
            </w:tcBorders>
            <w:shd w:val="clear" w:color="auto" w:fill="D3D3D3"/>
          </w:tcPr>
          <w:p>
            <w:pPr/>
          </w:p>
        </w:tc>
        <w:tc>
          <w:tcPr>
            <w:tcW w:w="191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59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59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59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591" w:right="0"/>
              <w:jc w:val="left"/>
              <w:rPr>
                <w:rFonts w:ascii="宋体" w:hAnsi="宋体" w:cs="宋体" w:eastAsia="宋体" w:hint="default"/>
                <w:sz w:val="18"/>
                <w:szCs w:val="18"/>
              </w:rPr>
            </w:pPr>
            <w:r>
              <w:rPr>
                <w:rFonts w:ascii="宋体" w:hAnsi="宋体" w:cs="宋体" w:eastAsia="宋体" w:hint="default"/>
                <w:sz w:val="18"/>
                <w:szCs w:val="18"/>
              </w:rPr>
              <w:t>计提理由</w:t>
            </w:r>
          </w:p>
        </w:tc>
      </w:tr>
    </w:tbl>
    <w:p>
      <w:pPr>
        <w:pStyle w:val="BodyText"/>
        <w:spacing w:line="240" w:lineRule="auto" w:before="50"/>
        <w:ind w:right="0"/>
        <w:jc w:val="left"/>
      </w:pPr>
      <w:r>
        <w:rPr/>
        <w:t>按组合计提坏账准备：</w:t>
      </w:r>
    </w:p>
    <w:p>
      <w:pPr>
        <w:pStyle w:val="BodyText"/>
        <w:spacing w:line="240" w:lineRule="auto" w:before="116"/>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92"/>
        <w:gridCol w:w="2392"/>
        <w:gridCol w:w="2392"/>
        <w:gridCol w:w="2392"/>
      </w:tblGrid>
      <w:tr>
        <w:trPr>
          <w:trHeight w:val="402" w:hRule="exact"/>
        </w:trPr>
        <w:tc>
          <w:tcPr>
            <w:tcW w:w="2392"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7176" w:type="dxa"/>
            <w:gridSpan w:val="3"/>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2392" w:type="dxa"/>
            <w:vMerge/>
            <w:tcBorders>
              <w:left w:val="single" w:sz="4" w:space="0" w:color="000000"/>
              <w:bottom w:val="single" w:sz="4" w:space="0" w:color="000000"/>
              <w:right w:val="single" w:sz="4" w:space="0" w:color="000000"/>
            </w:tcBorders>
            <w:shd w:val="clear" w:color="auto" w:fill="D3D3D3"/>
          </w:tcPr>
          <w:p>
            <w:pP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金融卡客户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I</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12,982,314.19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1,678,178.47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5"/>
                <w:sz w:val="18"/>
              </w:rPr>
              <w:t>12.93%</w:t>
            </w:r>
            <w:r>
              <w:rPr>
                <w:rFonts w:ascii="Times New Roman"/>
                <w:sz w:val="18"/>
              </w:rPr>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金融卡客户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II</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29,568,185.33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5,141,433.46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5"/>
                <w:sz w:val="18"/>
              </w:rPr>
              <w:t>17.39%</w:t>
            </w:r>
            <w:r>
              <w:rPr>
                <w:rFonts w:ascii="Times New Roman"/>
                <w:sz w:val="18"/>
              </w:rPr>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通信卡客户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I</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12,670,057.24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513,891.48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5"/>
                <w:sz w:val="18"/>
              </w:rPr>
              <w:t>4.06%</w:t>
            </w:r>
            <w:r>
              <w:rPr>
                <w:rFonts w:ascii="Times New Roman"/>
                <w:sz w:val="18"/>
              </w:rPr>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通信卡客户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II</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3,631,994.35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803,785.33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5"/>
                <w:sz w:val="18"/>
              </w:rPr>
              <w:t>22.13%</w:t>
            </w:r>
            <w:r>
              <w:rPr>
                <w:rFonts w:ascii="Times New Roman"/>
                <w:sz w:val="18"/>
              </w:rPr>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模块封装客户</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62,057,352.77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3,488,839.03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5"/>
                <w:sz w:val="18"/>
              </w:rPr>
              <w:t>5.62%</w:t>
            </w:r>
            <w:r>
              <w:rPr>
                <w:rFonts w:ascii="Times New Roman"/>
                <w:sz w:val="18"/>
              </w:rPr>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17,127,489.02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5,235,315.40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5"/>
                <w:sz w:val="18"/>
              </w:rPr>
              <w:t>30.57%</w:t>
            </w:r>
            <w:r>
              <w:rPr>
                <w:rFonts w:ascii="Times New Roman"/>
                <w:sz w:val="18"/>
              </w:rPr>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138,037,392.90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16,861,443.17</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pgSz w:w="11910" w:h="16840"/>
          <w:pgMar w:header="906" w:footer="1018" w:top="1100" w:bottom="1200" w:left="1020" w:right="0"/>
        </w:sectPr>
      </w:pPr>
    </w:p>
    <w:p>
      <w:pPr>
        <w:pStyle w:val="BodyText"/>
        <w:spacing w:line="357" w:lineRule="auto" w:before="50"/>
        <w:ind w:right="-10"/>
        <w:jc w:val="left"/>
      </w:pPr>
      <w:r>
        <w:rPr>
          <w:spacing w:val="-1"/>
        </w:rPr>
        <w:t>确定该组合依据的说明：</w:t>
      </w:r>
      <w:r>
        <w:rPr>
          <w:spacing w:val="-80"/>
        </w:rPr>
        <w:t> </w:t>
      </w:r>
      <w:r>
        <w:rPr>
          <w:spacing w:val="-80"/>
        </w:rPr>
      </w:r>
      <w:r>
        <w:rPr/>
        <w:t>按组合计提坏账准备：</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21"/>
          <w:szCs w:val="21"/>
        </w:rPr>
      </w:pPr>
    </w:p>
    <w:p>
      <w:pPr>
        <w:pStyle w:val="BodyText"/>
        <w:spacing w:line="240" w:lineRule="auto"/>
        <w:ind w:right="0"/>
        <w:jc w:val="left"/>
      </w:pPr>
      <w:r>
        <w:rPr/>
        <w:t>单位：</w:t>
      </w:r>
      <w:r>
        <w:rPr>
          <w:spacing w:val="-1"/>
        </w:rPr>
        <w:t> </w:t>
      </w:r>
      <w:r>
        <w:rPr/>
        <w:t>元</w:t>
      </w:r>
    </w:p>
    <w:p>
      <w:pPr>
        <w:spacing w:after="0" w:line="240" w:lineRule="auto"/>
        <w:jc w:val="left"/>
        <w:sectPr>
          <w:type w:val="continuous"/>
          <w:pgSz w:w="11910" w:h="16840"/>
          <w:pgMar w:top="1100" w:bottom="1200" w:left="1020" w:right="0"/>
          <w:cols w:num="2" w:equalWidth="0">
            <w:col w:w="2093" w:space="6735"/>
            <w:col w:w="2062"/>
          </w:cols>
        </w:sectPr>
      </w:pP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92"/>
        <w:gridCol w:w="2392"/>
        <w:gridCol w:w="2392"/>
        <w:gridCol w:w="2392"/>
      </w:tblGrid>
      <w:tr>
        <w:trPr>
          <w:trHeight w:val="402" w:hRule="exact"/>
        </w:trPr>
        <w:tc>
          <w:tcPr>
            <w:tcW w:w="2392"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7176" w:type="dxa"/>
            <w:gridSpan w:val="3"/>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2392" w:type="dxa"/>
            <w:vMerge/>
            <w:tcBorders>
              <w:left w:val="single" w:sz="4" w:space="0" w:color="000000"/>
              <w:bottom w:val="single" w:sz="4" w:space="0" w:color="000000"/>
              <w:right w:val="single" w:sz="4" w:space="0" w:color="000000"/>
            </w:tcBorders>
            <w:shd w:val="clear" w:color="auto" w:fill="D3D3D3"/>
          </w:tcPr>
          <w:p>
            <w:pP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计提比例</w:t>
            </w:r>
          </w:p>
        </w:tc>
      </w:tr>
    </w:tbl>
    <w:p>
      <w:pPr>
        <w:pStyle w:val="BodyText"/>
        <w:spacing w:line="360" w:lineRule="auto" w:before="50"/>
        <w:ind w:right="1752"/>
        <w:jc w:val="left"/>
      </w:pPr>
      <w:r>
        <w:rPr/>
        <w:t>确定该组合依据的说明： 如是按照预期信用损失一般模型计提应收账款坏账准备，请参照其他应收款的披露方式披露坏账准备的相关信息：</w:t>
      </w:r>
    </w:p>
    <w:p>
      <w:pPr>
        <w:pStyle w:val="BodyText"/>
        <w:spacing w:line="360" w:lineRule="auto" w:before="26"/>
        <w:ind w:right="9222"/>
        <w:jc w:val="left"/>
      </w:pPr>
      <w:r>
        <w:rPr/>
        <w:t>□ 适用 √ 不适用 按账龄披露</w:t>
      </w:r>
    </w:p>
    <w:p>
      <w:pPr>
        <w:pStyle w:val="BodyText"/>
        <w:spacing w:line="240" w:lineRule="auto" w:before="26"/>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4784"/>
        <w:gridCol w:w="4784"/>
      </w:tblGrid>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117,405,974.82</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年</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7,881,560.09</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年</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2,963,284.27</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 </w:t>
            </w:r>
            <w:r>
              <w:rPr>
                <w:rFonts w:ascii="宋体" w:hAnsi="宋体" w:cs="宋体" w:eastAsia="宋体" w:hint="default"/>
                <w:sz w:val="18"/>
                <w:szCs w:val="18"/>
              </w:rPr>
              <w:t>年以上</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9,786,573.72</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2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年</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9,786,573.72</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138,037,392.90</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2</w:t>
      </w:r>
      <w:r>
        <w:rPr/>
        <w:t>）本期计提、收回或转回的坏账准备情况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0"/>
        <w:jc w:val="left"/>
      </w:pPr>
      <w:r>
        <w:rPr/>
        <w:t>本期计提坏账准备情况：</w:t>
      </w:r>
    </w:p>
    <w:p>
      <w:pPr>
        <w:pStyle w:val="BodyText"/>
        <w:spacing w:line="240" w:lineRule="auto" w:before="116"/>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9"/>
        <w:gridCol w:w="1367"/>
        <w:gridCol w:w="5468"/>
        <w:gridCol w:w="1367"/>
      </w:tblGrid>
      <w:tr>
        <w:trPr>
          <w:trHeight w:val="401" w:hRule="exact"/>
        </w:trPr>
        <w:tc>
          <w:tcPr>
            <w:tcW w:w="136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318"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54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本期变动金额</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318" w:right="0"/>
              <w:jc w:val="left"/>
              <w:rPr>
                <w:rFonts w:ascii="宋体" w:hAnsi="宋体" w:cs="宋体" w:eastAsia="宋体" w:hint="default"/>
                <w:sz w:val="18"/>
                <w:szCs w:val="18"/>
              </w:rPr>
            </w:pPr>
            <w:r>
              <w:rPr>
                <w:rFonts w:ascii="宋体" w:hAnsi="宋体" w:cs="宋体" w:eastAsia="宋体" w:hint="default"/>
                <w:sz w:val="18"/>
                <w:szCs w:val="18"/>
              </w:rPr>
              <w:t>期末余额</w:t>
            </w:r>
          </w:p>
        </w:tc>
      </w:tr>
    </w:tbl>
    <w:p>
      <w:pPr>
        <w:spacing w:after="0" w:line="240" w:lineRule="auto"/>
        <w:jc w:val="left"/>
        <w:rPr>
          <w:rFonts w:ascii="宋体" w:hAnsi="宋体" w:cs="宋体" w:eastAsia="宋体" w:hint="default"/>
          <w:sz w:val="18"/>
          <w:szCs w:val="18"/>
        </w:rPr>
        <w:sectPr>
          <w:type w:val="continuous"/>
          <w:pgSz w:w="11910" w:h="16840"/>
          <w:pgMar w:top="1100" w:bottom="1200" w:left="1020" w:right="0"/>
        </w:sectPr>
      </w:pPr>
    </w:p>
    <w:p>
      <w:pPr>
        <w:spacing w:line="240" w:lineRule="auto" w:before="7"/>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369"/>
        <w:gridCol w:w="1367"/>
        <w:gridCol w:w="1367"/>
        <w:gridCol w:w="1367"/>
        <w:gridCol w:w="1367"/>
        <w:gridCol w:w="1367"/>
        <w:gridCol w:w="1367"/>
      </w:tblGrid>
      <w:tr>
        <w:trPr>
          <w:trHeight w:val="402" w:hRule="exact"/>
        </w:trPr>
        <w:tc>
          <w:tcPr>
            <w:tcW w:w="1369"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计提</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228" w:right="0"/>
              <w:jc w:val="left"/>
              <w:rPr>
                <w:rFonts w:ascii="宋体" w:hAnsi="宋体" w:cs="宋体" w:eastAsia="宋体" w:hint="default"/>
                <w:sz w:val="18"/>
                <w:szCs w:val="18"/>
              </w:rPr>
            </w:pPr>
            <w:r>
              <w:rPr>
                <w:rFonts w:ascii="宋体" w:hAnsi="宋体" w:cs="宋体" w:eastAsia="宋体" w:hint="default"/>
                <w:sz w:val="18"/>
                <w:szCs w:val="18"/>
              </w:rPr>
              <w:t>收回或转回</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核销</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其他</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714"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2" w:right="174"/>
              <w:jc w:val="left"/>
              <w:rPr>
                <w:rFonts w:ascii="宋体" w:hAnsi="宋体" w:cs="宋体" w:eastAsia="宋体" w:hint="default"/>
                <w:sz w:val="18"/>
                <w:szCs w:val="18"/>
              </w:rPr>
            </w:pPr>
            <w:r>
              <w:rPr>
                <w:rFonts w:ascii="宋体" w:hAnsi="宋体" w:cs="宋体" w:eastAsia="宋体" w:hint="default"/>
                <w:sz w:val="18"/>
                <w:szCs w:val="18"/>
              </w:rPr>
              <w:t>按单项计提坏 账准备</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2" w:right="174"/>
              <w:jc w:val="left"/>
              <w:rPr>
                <w:rFonts w:ascii="宋体" w:hAnsi="宋体" w:cs="宋体" w:eastAsia="宋体" w:hint="default"/>
                <w:sz w:val="18"/>
                <w:szCs w:val="18"/>
              </w:rPr>
            </w:pPr>
            <w:r>
              <w:rPr>
                <w:rFonts w:ascii="宋体" w:hAnsi="宋体" w:cs="宋体" w:eastAsia="宋体" w:hint="default"/>
                <w:sz w:val="18"/>
                <w:szCs w:val="18"/>
              </w:rPr>
              <w:t>按组合计提坏 账准备</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14,248,887.08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3,018,926.03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406,369.94</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16,861,443.17</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14,248,887.08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3,018,926.03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406,369.94</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16,861,443.17</w:t>
            </w:r>
          </w:p>
        </w:tc>
      </w:tr>
    </w:tbl>
    <w:p>
      <w:pPr>
        <w:pStyle w:val="BodyText"/>
        <w:spacing w:line="240" w:lineRule="auto" w:before="50"/>
        <w:ind w:right="0"/>
        <w:jc w:val="left"/>
      </w:pPr>
      <w:r>
        <w:rPr/>
        <w:t>其中本期坏账准备收回或转回金额重要的：</w:t>
      </w:r>
    </w:p>
    <w:p>
      <w:pPr>
        <w:pStyle w:val="BodyText"/>
        <w:spacing w:line="240" w:lineRule="auto" w:before="116"/>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960" w:right="0"/>
              <w:jc w:val="left"/>
              <w:rPr>
                <w:rFonts w:ascii="宋体" w:hAnsi="宋体" w:cs="宋体" w:eastAsia="宋体" w:hint="default"/>
                <w:sz w:val="18"/>
                <w:szCs w:val="18"/>
              </w:rPr>
            </w:pPr>
            <w:r>
              <w:rPr>
                <w:rFonts w:ascii="宋体" w:hAnsi="宋体" w:cs="宋体" w:eastAsia="宋体" w:hint="default"/>
                <w:sz w:val="18"/>
                <w:szCs w:val="18"/>
              </w:rPr>
              <w:t>收回或转回金额</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收回方式</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3</w:t>
      </w:r>
      <w:r>
        <w:rPr/>
        <w:t>）本期实际核销的应收账款情况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10"/>
        <w:rPr>
          <w:rFonts w:ascii="宋体" w:hAnsi="宋体" w:cs="宋体" w:eastAsia="宋体" w:hint="default"/>
          <w:sz w:val="7"/>
          <w:szCs w:val="7"/>
        </w:rPr>
      </w:pPr>
    </w:p>
    <w:p>
      <w:pPr>
        <w:spacing w:line="416" w:lineRule="exact"/>
        <w:ind w:left="104"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9.35pt;height:20.85pt;mso-position-horizontal-relative:char;mso-position-vertical-relative:line" coordorigin="0,0" coordsize="9587,417">
            <v:group style="position:absolute;left:13;top:14;width:4776;height:393" coordorigin="13,14" coordsize="4776,393">
              <v:shape style="position:absolute;left:13;top:14;width:4776;height:393" coordorigin="13,14" coordsize="4776,393" path="m13,14l4789,14,4789,407,13,407,13,14xe" filled="true" fillcolor="#d3d3d3" stroked="false">
                <v:path arrowok="t"/>
                <v:fill type="solid"/>
              </v:shape>
            </v:group>
            <v:group style="position:absolute;left:4798;top:14;width:4775;height:393" coordorigin="4798,14" coordsize="4775,393">
              <v:shape style="position:absolute;left:4798;top:14;width:4775;height:393" coordorigin="4798,14" coordsize="4775,393" path="m4798,14l9572,14,9572,407,4798,407,4798,14xe" filled="true" fillcolor="#d3d3d3" stroked="false">
                <v:path arrowok="t"/>
                <v:fill type="solid"/>
              </v:shape>
            </v:group>
            <v:group style="position:absolute;left:5;top:10;width:9578;height:2" coordorigin="5,10" coordsize="9578,2">
              <v:shape style="position:absolute;left:5;top:10;width:9578;height:2" coordorigin="5,10" coordsize="9578,0" path="m5,10l9582,10e" filled="false" stroked="true" strokeweight=".48pt" strokecolor="#000000">
                <v:path arrowok="t"/>
              </v:shape>
            </v:group>
            <v:group style="position:absolute;left:5;top:412;width:9578;height:2" coordorigin="5,412" coordsize="9578,2">
              <v:shape style="position:absolute;left:5;top:412;width:9578;height:2" coordorigin="5,412" coordsize="9578,0" path="m5,412l9582,412e" filled="false" stroked="true" strokeweight=".48pt" strokecolor="#000000">
                <v:path arrowok="t"/>
              </v:shape>
            </v:group>
            <v:group style="position:absolute;left:10;top:5;width:2;height:402" coordorigin="10,5" coordsize="2,402">
              <v:shape style="position:absolute;left:10;top:5;width:2;height:402" coordorigin="10,5" coordsize="0,402" path="m10,5l10,407e" filled="false" stroked="true" strokeweight=".48pt" strokecolor="#000000">
                <v:path arrowok="t"/>
              </v:shape>
            </v:group>
            <v:group style="position:absolute;left:4793;top:5;width:2;height:402" coordorigin="4793,5" coordsize="2,402">
              <v:shape style="position:absolute;left:4793;top:5;width:2;height:402" coordorigin="4793,5" coordsize="0,402" path="m4793,5l4793,407e" filled="false" stroked="true" strokeweight=".48pt" strokecolor="#000000">
                <v:path arrowok="t"/>
              </v:shape>
            </v:group>
            <v:group style="position:absolute;left:9577;top:5;width:2;height:402" coordorigin="9577,5" coordsize="2,402">
              <v:shape style="position:absolute;left:9577;top:5;width:2;height:402" coordorigin="9577,5" coordsize="0,402" path="m9577,5l9577,407e" filled="false" stroked="true" strokeweight=".48pt" strokecolor="#000000">
                <v:path arrowok="t"/>
              </v:shape>
              <v:shape style="position:absolute;left:2221;top:120;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4793;top:10;width:4784;height:402" type="#_x0000_t202" filled="false" stroked="false">
                <v:textbox inset="0,0,0,0">
                  <w:txbxContent>
                    <w:p>
                      <w:pPr>
                        <w:spacing w:before="55"/>
                        <w:ind w:left="0" w:right="0" w:firstLine="0"/>
                        <w:jc w:val="center"/>
                        <w:rPr>
                          <w:rFonts w:ascii="宋体" w:hAnsi="宋体" w:cs="宋体" w:eastAsia="宋体" w:hint="default"/>
                          <w:sz w:val="18"/>
                          <w:szCs w:val="18"/>
                        </w:rPr>
                      </w:pPr>
                      <w:r>
                        <w:rPr>
                          <w:rFonts w:ascii="宋体" w:hAnsi="宋体" w:cs="宋体" w:eastAsia="宋体" w:hint="default"/>
                          <w:sz w:val="18"/>
                          <w:szCs w:val="18"/>
                        </w:rPr>
                        <w:t>核销金额</w:t>
                      </w:r>
                    </w:p>
                  </w:txbxContent>
                </v:textbox>
                <w10:wrap type="none"/>
              </v:shape>
            </v:group>
          </v:group>
        </w:pict>
      </w:r>
      <w:r>
        <w:rPr>
          <w:rFonts w:ascii="宋体" w:hAnsi="宋体" w:cs="宋体" w:eastAsia="宋体" w:hint="default"/>
          <w:position w:val="-7"/>
          <w:sz w:val="20"/>
          <w:szCs w:val="20"/>
        </w:rPr>
      </w:r>
    </w:p>
    <w:p>
      <w:pPr>
        <w:pStyle w:val="BodyText"/>
        <w:spacing w:line="240" w:lineRule="auto" w:before="50"/>
        <w:ind w:right="0"/>
        <w:jc w:val="left"/>
      </w:pPr>
      <w:r>
        <w:rPr/>
        <w:t>其中重要的应收账款核销情况：</w:t>
      </w:r>
    </w:p>
    <w:p>
      <w:pPr>
        <w:pStyle w:val="BodyText"/>
        <w:spacing w:line="240" w:lineRule="auto" w:before="116"/>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596"/>
        <w:gridCol w:w="1594"/>
        <w:gridCol w:w="1594"/>
        <w:gridCol w:w="1594"/>
        <w:gridCol w:w="1594"/>
        <w:gridCol w:w="1594"/>
      </w:tblGrid>
      <w:tr>
        <w:trPr>
          <w:trHeight w:val="714" w:hRule="exact"/>
        </w:trPr>
        <w:tc>
          <w:tcPr>
            <w:tcW w:w="15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51" w:right="0"/>
              <w:jc w:val="left"/>
              <w:rPr>
                <w:rFonts w:ascii="宋体" w:hAnsi="宋体" w:cs="宋体" w:eastAsia="宋体" w:hint="default"/>
                <w:sz w:val="18"/>
                <w:szCs w:val="18"/>
              </w:rPr>
            </w:pPr>
            <w:r>
              <w:rPr>
                <w:rFonts w:ascii="宋体" w:hAnsi="宋体" w:cs="宋体" w:eastAsia="宋体" w:hint="default"/>
                <w:sz w:val="18"/>
                <w:szCs w:val="18"/>
              </w:rPr>
              <w:t>应收账款性质</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62" w:right="0"/>
              <w:jc w:val="left"/>
              <w:rPr>
                <w:rFonts w:ascii="宋体" w:hAnsi="宋体" w:cs="宋体" w:eastAsia="宋体" w:hint="default"/>
                <w:sz w:val="18"/>
                <w:szCs w:val="18"/>
              </w:rPr>
            </w:pPr>
            <w:r>
              <w:rPr>
                <w:rFonts w:ascii="宋体" w:hAnsi="宋体" w:cs="宋体" w:eastAsia="宋体" w:hint="default"/>
                <w:sz w:val="18"/>
                <w:szCs w:val="18"/>
              </w:rPr>
              <w:t>履行的核销程序</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49"/>
              <w:ind w:left="431" w:right="160" w:hanging="270"/>
              <w:jc w:val="left"/>
              <w:rPr>
                <w:rFonts w:ascii="宋体" w:hAnsi="宋体" w:cs="宋体" w:eastAsia="宋体" w:hint="default"/>
                <w:sz w:val="18"/>
                <w:szCs w:val="18"/>
              </w:rPr>
            </w:pPr>
            <w:r>
              <w:rPr>
                <w:rFonts w:ascii="宋体" w:hAnsi="宋体" w:cs="宋体" w:eastAsia="宋体" w:hint="default"/>
                <w:sz w:val="18"/>
                <w:szCs w:val="18"/>
              </w:rPr>
              <w:t>款项是否由关联 交易产生</w:t>
            </w:r>
          </w:p>
        </w:tc>
      </w:tr>
    </w:tbl>
    <w:p>
      <w:pPr>
        <w:pStyle w:val="BodyText"/>
        <w:spacing w:line="240" w:lineRule="auto" w:before="49"/>
        <w:ind w:right="0"/>
        <w:jc w:val="left"/>
      </w:pPr>
      <w:r>
        <w:rPr/>
        <w:t>应收账款核销说明：</w:t>
      </w:r>
    </w:p>
    <w:p>
      <w:pPr>
        <w:spacing w:line="240" w:lineRule="auto" w:before="13"/>
        <w:rPr>
          <w:rFonts w:ascii="宋体" w:hAnsi="宋体" w:cs="宋体" w:eastAsia="宋体" w:hint="default"/>
          <w:sz w:val="26"/>
          <w:szCs w:val="26"/>
        </w:rPr>
      </w:pPr>
    </w:p>
    <w:p>
      <w:pPr>
        <w:pStyle w:val="Heading3"/>
        <w:spacing w:line="240" w:lineRule="auto"/>
        <w:ind w:right="0"/>
        <w:jc w:val="left"/>
        <w:rPr>
          <w:b w:val="0"/>
          <w:bCs w:val="0"/>
        </w:rPr>
      </w:pPr>
      <w:r>
        <w:rPr/>
        <w:t>（</w:t>
      </w:r>
      <w:r>
        <w:rPr>
          <w:rFonts w:ascii="Times New Roman" w:hAnsi="Times New Roman" w:cs="Times New Roman" w:eastAsia="Times New Roman" w:hint="default"/>
        </w:rPr>
        <w:t>4</w:t>
      </w:r>
      <w:r>
        <w:rPr/>
        <w:t>）按欠款方归集的期末余额前五名的应收账款情况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81"/>
        <w:gridCol w:w="2529"/>
        <w:gridCol w:w="2529"/>
        <w:gridCol w:w="2528"/>
      </w:tblGrid>
      <w:tr>
        <w:trPr>
          <w:trHeight w:val="713" w:hRule="exact"/>
        </w:trPr>
        <w:tc>
          <w:tcPr>
            <w:tcW w:w="198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624"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252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39" w:right="0"/>
              <w:jc w:val="left"/>
              <w:rPr>
                <w:rFonts w:ascii="宋体" w:hAnsi="宋体" w:cs="宋体" w:eastAsia="宋体" w:hint="default"/>
                <w:sz w:val="18"/>
                <w:szCs w:val="18"/>
              </w:rPr>
            </w:pPr>
            <w:r>
              <w:rPr>
                <w:rFonts w:ascii="宋体" w:hAnsi="宋体" w:cs="宋体" w:eastAsia="宋体" w:hint="default"/>
                <w:sz w:val="18"/>
                <w:szCs w:val="18"/>
              </w:rPr>
              <w:t>应收账款期末余额</w:t>
            </w:r>
          </w:p>
        </w:tc>
        <w:tc>
          <w:tcPr>
            <w:tcW w:w="252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989" w:right="177" w:hanging="810"/>
              <w:jc w:val="left"/>
              <w:rPr>
                <w:rFonts w:ascii="宋体" w:hAnsi="宋体" w:cs="宋体" w:eastAsia="宋体" w:hint="default"/>
                <w:sz w:val="18"/>
                <w:szCs w:val="18"/>
              </w:rPr>
            </w:pPr>
            <w:r>
              <w:rPr>
                <w:rFonts w:ascii="宋体" w:hAnsi="宋体" w:cs="宋体" w:eastAsia="宋体" w:hint="default"/>
                <w:sz w:val="18"/>
                <w:szCs w:val="18"/>
              </w:rPr>
              <w:t>占应收账款期末余额合计数 的比例</w:t>
            </w:r>
          </w:p>
        </w:tc>
        <w:tc>
          <w:tcPr>
            <w:tcW w:w="25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39" w:right="0"/>
              <w:jc w:val="left"/>
              <w:rPr>
                <w:rFonts w:ascii="宋体" w:hAnsi="宋体" w:cs="宋体" w:eastAsia="宋体" w:hint="default"/>
                <w:sz w:val="18"/>
                <w:szCs w:val="18"/>
              </w:rPr>
            </w:pPr>
            <w:r>
              <w:rPr>
                <w:rFonts w:ascii="宋体" w:hAnsi="宋体" w:cs="宋体" w:eastAsia="宋体" w:hint="default"/>
                <w:sz w:val="18"/>
                <w:szCs w:val="18"/>
              </w:rPr>
              <w:t>坏账准备期末余额</w:t>
            </w:r>
          </w:p>
        </w:tc>
      </w:tr>
      <w:tr>
        <w:trPr>
          <w:trHeight w:val="403" w:hRule="exact"/>
        </w:trPr>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2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31,988,512.79</w:t>
            </w:r>
          </w:p>
        </w:tc>
        <w:tc>
          <w:tcPr>
            <w:tcW w:w="2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w w:val="95"/>
                <w:sz w:val="18"/>
              </w:rPr>
              <w:t>23.17%</w:t>
            </w:r>
            <w:r>
              <w:rPr>
                <w:rFonts w:ascii="Times New Roman"/>
                <w:sz w:val="18"/>
              </w:rPr>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319,885.13</w:t>
            </w:r>
          </w:p>
        </w:tc>
      </w:tr>
      <w:tr>
        <w:trPr>
          <w:trHeight w:val="402" w:hRule="exact"/>
        </w:trPr>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2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10,507,482.72</w:t>
            </w:r>
          </w:p>
        </w:tc>
        <w:tc>
          <w:tcPr>
            <w:tcW w:w="2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w w:val="95"/>
                <w:sz w:val="18"/>
              </w:rPr>
              <w:t>7.61%</w:t>
            </w:r>
            <w:r>
              <w:rPr>
                <w:rFonts w:ascii="Times New Roman"/>
                <w:sz w:val="18"/>
              </w:rPr>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105,074.83</w:t>
            </w:r>
          </w:p>
        </w:tc>
      </w:tr>
      <w:tr>
        <w:trPr>
          <w:trHeight w:val="402" w:hRule="exact"/>
        </w:trPr>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2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8,132,479.26</w:t>
            </w:r>
          </w:p>
        </w:tc>
        <w:tc>
          <w:tcPr>
            <w:tcW w:w="2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w w:val="95"/>
                <w:sz w:val="18"/>
              </w:rPr>
              <w:t>5.89%</w:t>
            </w:r>
            <w:r>
              <w:rPr>
                <w:rFonts w:ascii="Times New Roman"/>
                <w:sz w:val="18"/>
              </w:rPr>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2,931,392.33</w:t>
            </w:r>
          </w:p>
        </w:tc>
      </w:tr>
      <w:tr>
        <w:trPr>
          <w:trHeight w:val="402" w:hRule="exact"/>
        </w:trPr>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2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7,927,410.24</w:t>
            </w:r>
          </w:p>
        </w:tc>
        <w:tc>
          <w:tcPr>
            <w:tcW w:w="2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w w:val="95"/>
                <w:sz w:val="18"/>
              </w:rPr>
              <w:t>5.74%</w:t>
            </w:r>
            <w:r>
              <w:rPr>
                <w:rFonts w:ascii="Times New Roman"/>
                <w:sz w:val="18"/>
              </w:rPr>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79,274.10</w:t>
            </w:r>
          </w:p>
        </w:tc>
      </w:tr>
      <w:tr>
        <w:trPr>
          <w:trHeight w:val="402" w:hRule="exact"/>
        </w:trPr>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2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5,733,955.25</w:t>
            </w:r>
          </w:p>
        </w:tc>
        <w:tc>
          <w:tcPr>
            <w:tcW w:w="2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w w:val="95"/>
                <w:sz w:val="18"/>
              </w:rPr>
              <w:t>4.15%</w:t>
            </w:r>
            <w:r>
              <w:rPr>
                <w:rFonts w:ascii="Times New Roman"/>
                <w:sz w:val="18"/>
              </w:rPr>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57,339.55</w:t>
            </w:r>
          </w:p>
        </w:tc>
      </w:tr>
      <w:tr>
        <w:trPr>
          <w:trHeight w:val="402" w:hRule="exact"/>
        </w:trPr>
        <w:tc>
          <w:tcPr>
            <w:tcW w:w="198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64,289,840.26</w:t>
            </w:r>
          </w:p>
        </w:tc>
        <w:tc>
          <w:tcPr>
            <w:tcW w:w="2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w w:val="95"/>
                <w:sz w:val="18"/>
              </w:rPr>
              <w:t>46.56%</w:t>
            </w:r>
            <w:r>
              <w:rPr>
                <w:rFonts w:ascii="Times New Roman"/>
                <w:sz w:val="18"/>
              </w:rPr>
            </w:r>
          </w:p>
        </w:tc>
        <w:tc>
          <w:tcPr>
            <w:tcW w:w="2528" w:type="dxa"/>
            <w:tcBorders>
              <w:top w:val="single" w:sz="4" w:space="0" w:color="000000"/>
              <w:left w:val="single" w:sz="4" w:space="0" w:color="000000"/>
              <w:bottom w:val="single" w:sz="4" w:space="0" w:color="000000"/>
              <w:right w:val="single" w:sz="4" w:space="0" w:color="000000"/>
            </w:tcBorders>
            <w:shd w:val="clear" w:color="auto" w:fill="D3D3D3"/>
          </w:tcPr>
          <w:p>
            <w:pPr/>
          </w:p>
        </w:tc>
      </w:tr>
    </w:tbl>
    <w:p>
      <w:pPr>
        <w:spacing w:line="240" w:lineRule="auto" w:before="1"/>
        <w:rPr>
          <w:rFonts w:ascii="宋体" w:hAnsi="宋体" w:cs="宋体" w:eastAsia="宋体" w:hint="default"/>
          <w:sz w:val="19"/>
          <w:szCs w:val="19"/>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5</w:t>
      </w:r>
      <w:r>
        <w:rPr/>
        <w:t>）因金融资产转移而终止确认的应收账款</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t>（</w:t>
      </w:r>
      <w:r>
        <w:rPr>
          <w:rFonts w:ascii="Times New Roman" w:hAnsi="Times New Roman" w:cs="Times New Roman" w:eastAsia="Times New Roman" w:hint="default"/>
        </w:rPr>
        <w:t>6</w:t>
      </w:r>
      <w:r>
        <w:rPr/>
        <w:t>）转移应收账款且继续涉入形成的资产、负债金额</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无</w:t>
      </w:r>
    </w:p>
    <w:p>
      <w:pPr>
        <w:spacing w:after="0" w:line="240" w:lineRule="auto"/>
        <w:jc w:val="left"/>
        <w:sectPr>
          <w:pgSz w:w="11910" w:h="16840"/>
          <w:pgMar w:header="906" w:footer="1018" w:top="1100" w:bottom="1200" w:left="1020" w:right="0"/>
        </w:sectPr>
      </w:pPr>
    </w:p>
    <w:p>
      <w:pPr>
        <w:spacing w:line="240" w:lineRule="auto" w:before="11"/>
        <w:rPr>
          <w:rFonts w:ascii="宋体" w:hAnsi="宋体" w:cs="宋体" w:eastAsia="宋体" w:hint="default"/>
          <w:sz w:val="22"/>
          <w:szCs w:val="22"/>
        </w:rPr>
      </w:pPr>
    </w:p>
    <w:p>
      <w:pPr>
        <w:pStyle w:val="BodyText"/>
        <w:spacing w:line="240" w:lineRule="auto" w:before="44"/>
        <w:ind w:right="0"/>
        <w:jc w:val="left"/>
      </w:pPr>
      <w:r>
        <w:rPr/>
        <w:t>其他说明：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6</w:t>
      </w:r>
      <w:r>
        <w:rPr/>
        <w:t>、应收款项融资</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408"/>
              <w:jc w:val="right"/>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银行承兑汇票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23,256.45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51,820.94</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408"/>
              <w:jc w:val="righ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23,256.45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51,820.94</w:t>
            </w:r>
          </w:p>
        </w:tc>
      </w:tr>
    </w:tbl>
    <w:p>
      <w:pPr>
        <w:pStyle w:val="BodyText"/>
        <w:spacing w:line="240" w:lineRule="auto" w:before="49"/>
        <w:ind w:right="0"/>
        <w:jc w:val="left"/>
      </w:pPr>
      <w:r>
        <w:rPr/>
        <w:t>应收款项融资本期增减变动及公允价值变动情况</w:t>
      </w:r>
    </w:p>
    <w:p>
      <w:pPr>
        <w:pStyle w:val="BodyText"/>
        <w:spacing w:line="360" w:lineRule="auto" w:before="116"/>
        <w:ind w:right="1392"/>
        <w:jc w:val="left"/>
      </w:pPr>
      <w:r>
        <w:rPr/>
        <w:t>□ 适用 √ 不适用 如是按照预期信用损失一般模型计提应收款项融资减值准备，请参照其他应收款的披露方式披露减值准备的相关信息：</w:t>
      </w:r>
    </w:p>
    <w:p>
      <w:pPr>
        <w:pStyle w:val="BodyText"/>
        <w:spacing w:line="360" w:lineRule="auto" w:before="26"/>
        <w:ind w:right="9222"/>
        <w:jc w:val="left"/>
      </w:pPr>
      <w:r>
        <w:rPr/>
        <w:t>□ 适用 √ 不适用 其他说明：</w:t>
      </w:r>
    </w:p>
    <w:p>
      <w:pPr>
        <w:pStyle w:val="BodyText"/>
        <w:spacing w:line="316" w:lineRule="auto" w:before="26"/>
        <w:ind w:right="0"/>
        <w:jc w:val="left"/>
      </w:pPr>
      <w:r>
        <w:rPr>
          <w:spacing w:val="-2"/>
        </w:rPr>
        <w:t>公司视日常管理的需要将一部分银行承兑汇票进行贴现和背书，且符合终止确认的条件，故将银行承兑汇票分类为以公允价</w:t>
      </w:r>
      <w:r>
        <w:rPr>
          <w:spacing w:val="-64"/>
        </w:rPr>
        <w:t> </w:t>
      </w:r>
      <w:r>
        <w:rPr>
          <w:spacing w:val="-64"/>
        </w:rPr>
      </w:r>
      <w:r>
        <w:rPr/>
        <w:t>值计量且其变动计入其他综合收益的金融资产。</w:t>
      </w:r>
    </w:p>
    <w:p>
      <w:pPr>
        <w:spacing w:line="240" w:lineRule="auto" w:before="0"/>
        <w:rPr>
          <w:rFonts w:ascii="宋体" w:hAnsi="宋体" w:cs="宋体" w:eastAsia="宋体" w:hint="default"/>
          <w:sz w:val="18"/>
          <w:szCs w:val="18"/>
        </w:rPr>
      </w:pPr>
    </w:p>
    <w:p>
      <w:pPr>
        <w:spacing w:line="240" w:lineRule="auto" w:before="5"/>
        <w:rPr>
          <w:rFonts w:ascii="宋体" w:hAnsi="宋体" w:cs="宋体" w:eastAsia="宋体" w:hint="default"/>
          <w:sz w:val="13"/>
          <w:szCs w:val="13"/>
        </w:rPr>
      </w:pPr>
    </w:p>
    <w:p>
      <w:pPr>
        <w:pStyle w:val="BodyText"/>
        <w:spacing w:line="240" w:lineRule="auto"/>
        <w:ind w:right="0"/>
        <w:jc w:val="left"/>
      </w:pPr>
      <w:r>
        <w:rPr/>
        <w:t>截至</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日止，应收款项融资中无已背书或已贴现但尚未到期的应收票据。</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25"/>
          <w:szCs w:val="25"/>
        </w:rPr>
      </w:pPr>
    </w:p>
    <w:p>
      <w:pPr>
        <w:pStyle w:val="Heading3"/>
        <w:spacing w:line="240" w:lineRule="auto"/>
        <w:ind w:right="0"/>
        <w:jc w:val="left"/>
        <w:rPr>
          <w:b w:val="0"/>
          <w:bCs w:val="0"/>
        </w:rPr>
      </w:pPr>
      <w:r>
        <w:rPr>
          <w:rFonts w:ascii="Times New Roman" w:hAnsi="Times New Roman" w:cs="Times New Roman" w:eastAsia="Times New Roman" w:hint="default"/>
        </w:rPr>
        <w:t>7</w:t>
      </w:r>
      <w:r>
        <w:rPr/>
        <w:t>、预付款项</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t>（</w:t>
      </w:r>
      <w:r>
        <w:rPr>
          <w:rFonts w:ascii="Times New Roman" w:hAnsi="Times New Roman" w:cs="Times New Roman" w:eastAsia="Times New Roman" w:hint="default"/>
        </w:rPr>
        <w:t>1</w:t>
      </w:r>
      <w:r>
        <w:rPr/>
        <w:t>）预付款项按账龄列示</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5"/>
        <w:gridCol w:w="1914"/>
        <w:gridCol w:w="1914"/>
        <w:gridCol w:w="1915"/>
      </w:tblGrid>
      <w:tr>
        <w:trPr>
          <w:trHeight w:val="402" w:hRule="exact"/>
        </w:trPr>
        <w:tc>
          <w:tcPr>
            <w:tcW w:w="1912"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3829"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29"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1912" w:type="dxa"/>
            <w:vMerge/>
            <w:tcBorders>
              <w:left w:val="single" w:sz="4" w:space="0" w:color="000000"/>
              <w:bottom w:val="single" w:sz="4" w:space="0" w:color="000000"/>
              <w:right w:val="single" w:sz="4" w:space="0" w:color="000000"/>
            </w:tcBorders>
            <w:shd w:val="clear" w:color="auto" w:fill="D3D3D3"/>
          </w:tcPr>
          <w:p>
            <w:pPr/>
          </w:p>
        </w:tc>
        <w:tc>
          <w:tcPr>
            <w:tcW w:w="191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比例</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91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比例</w:t>
            </w:r>
          </w:p>
        </w:tc>
      </w:tr>
      <w:tr>
        <w:trPr>
          <w:trHeight w:val="403"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年以内</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508,628,084.35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w w:val="95"/>
                <w:sz w:val="18"/>
              </w:rPr>
              <w:t>99.99%</w:t>
            </w:r>
            <w:r>
              <w:rPr>
                <w:rFonts w:ascii="Times New Roman"/>
                <w:sz w:val="18"/>
              </w:rPr>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308,749,781.77</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w w:val="95"/>
                <w:sz w:val="18"/>
              </w:rPr>
              <w:t>99.99%</w:t>
            </w:r>
            <w:r>
              <w:rPr>
                <w:rFonts w:ascii="Times New Roman"/>
                <w:sz w:val="18"/>
              </w:rPr>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年</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25,322.30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w w:val="95"/>
                <w:sz w:val="18"/>
              </w:rPr>
              <w:t>0.01%</w:t>
            </w:r>
            <w:r>
              <w:rPr>
                <w:rFonts w:ascii="Times New Roman"/>
                <w:sz w:val="18"/>
              </w:rPr>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23,363.99</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w w:val="95"/>
                <w:sz w:val="18"/>
              </w:rPr>
              <w:t>0.01%</w:t>
            </w:r>
            <w:r>
              <w:rPr>
                <w:rFonts w:ascii="Times New Roman"/>
                <w:sz w:val="18"/>
              </w:rPr>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年</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4,703.43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1914"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 </w:t>
            </w:r>
            <w:r>
              <w:rPr>
                <w:rFonts w:ascii="宋体" w:hAnsi="宋体" w:cs="宋体" w:eastAsia="宋体" w:hint="default"/>
                <w:sz w:val="18"/>
                <w:szCs w:val="18"/>
              </w:rPr>
              <w:t>年以上</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10,258.00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10,258.00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508,668,368.08</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0"/>
              <w:ind w:left="1" w:right="0"/>
              <w:jc w:val="center"/>
              <w:rPr>
                <w:rFonts w:ascii="Times New Roman" w:hAnsi="Times New Roman" w:cs="Times New Roman" w:eastAsia="Times New Roman" w:hint="default"/>
                <w:sz w:val="18"/>
                <w:szCs w:val="18"/>
              </w:rPr>
            </w:pPr>
            <w:r>
              <w:rPr>
                <w:rFonts w:ascii="Times New Roman"/>
                <w:sz w:val="18"/>
              </w:rPr>
              <w:t>--</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308,783,403.76</w:t>
            </w:r>
          </w:p>
        </w:tc>
        <w:tc>
          <w:tcPr>
            <w:tcW w:w="191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0"/>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338" w:lineRule="auto" w:before="49"/>
        <w:ind w:right="5894"/>
        <w:jc w:val="left"/>
      </w:pPr>
      <w:r>
        <w:rPr/>
        <w:t>账龄超过</w:t>
      </w:r>
      <w:r>
        <w:rPr>
          <w:spacing w:val="-46"/>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年且金额重要的预付款项未及时结算原因的说明： 公司期末无账龄超过</w:t>
      </w:r>
      <w:r>
        <w:rPr>
          <w:rFonts w:ascii="Times New Roman" w:hAnsi="Times New Roman" w:cs="Times New Roman" w:eastAsia="Times New Roman" w:hint="default"/>
        </w:rPr>
        <w:t>1</w:t>
      </w:r>
      <w:r>
        <w:rPr/>
        <w:t>年且金额重要的预付款项。</w:t>
      </w: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25"/>
          <w:szCs w:val="25"/>
        </w:rPr>
      </w:pPr>
    </w:p>
    <w:p>
      <w:pPr>
        <w:pStyle w:val="Heading3"/>
        <w:spacing w:line="240" w:lineRule="auto"/>
        <w:ind w:right="0"/>
        <w:jc w:val="left"/>
        <w:rPr>
          <w:b w:val="0"/>
          <w:bCs w:val="0"/>
        </w:rPr>
      </w:pPr>
      <w:r>
        <w:rPr/>
        <w:t>（</w:t>
      </w:r>
      <w:r>
        <w:rPr>
          <w:rFonts w:ascii="Times New Roman" w:hAnsi="Times New Roman" w:cs="Times New Roman" w:eastAsia="Times New Roman" w:hint="default"/>
        </w:rPr>
        <w:t>2</w:t>
      </w:r>
      <w:r>
        <w:rPr/>
        <w:t>）按预付对象归集的期末余额前五名的预付款情况</w:t>
      </w:r>
      <w:r>
        <w:rPr>
          <w:b w:val="0"/>
          <w:bCs w:val="0"/>
        </w:rPr>
      </w:r>
    </w:p>
    <w:p>
      <w:pPr>
        <w:spacing w:line="240" w:lineRule="auto" w:before="10"/>
        <w:rPr>
          <w:rFonts w:ascii="宋体" w:hAnsi="宋体" w:cs="宋体" w:eastAsia="宋体" w:hint="default"/>
          <w:b/>
          <w:bCs/>
          <w:sz w:val="25"/>
          <w:szCs w:val="25"/>
        </w:rPr>
      </w:pPr>
    </w:p>
    <w:tbl>
      <w:tblPr>
        <w:tblW w:w="0" w:type="auto"/>
        <w:jc w:val="left"/>
        <w:tblInd w:w="106" w:type="dxa"/>
        <w:tblLayout w:type="fixed"/>
        <w:tblCellMar>
          <w:top w:w="0" w:type="dxa"/>
          <w:left w:w="0" w:type="dxa"/>
          <w:bottom w:w="0" w:type="dxa"/>
          <w:right w:w="0" w:type="dxa"/>
        </w:tblCellMar>
        <w:tblLook w:val="01E0"/>
      </w:tblPr>
      <w:tblGrid>
        <w:gridCol w:w="1239"/>
        <w:gridCol w:w="1185"/>
        <w:gridCol w:w="1188"/>
        <w:gridCol w:w="1186"/>
        <w:gridCol w:w="1188"/>
        <w:gridCol w:w="2376"/>
      </w:tblGrid>
      <w:tr>
        <w:trPr>
          <w:trHeight w:val="426" w:hRule="exact"/>
        </w:trPr>
        <w:tc>
          <w:tcPr>
            <w:tcW w:w="12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1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67" w:right="0"/>
              <w:jc w:val="left"/>
              <w:rPr>
                <w:rFonts w:ascii="宋体" w:hAnsi="宋体" w:cs="宋体" w:eastAsia="宋体" w:hint="default"/>
                <w:sz w:val="18"/>
                <w:szCs w:val="18"/>
              </w:rPr>
            </w:pPr>
            <w:r>
              <w:rPr>
                <w:rFonts w:ascii="宋体" w:hAnsi="宋体" w:cs="宋体" w:eastAsia="宋体" w:hint="default"/>
                <w:sz w:val="18"/>
                <w:szCs w:val="18"/>
              </w:rPr>
              <w:t>与公司关系</w:t>
            </w:r>
          </w:p>
        </w:tc>
        <w:tc>
          <w:tcPr>
            <w:tcW w:w="11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450"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1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88" w:right="0"/>
              <w:jc w:val="left"/>
              <w:rPr>
                <w:rFonts w:ascii="宋体" w:hAnsi="宋体" w:cs="宋体" w:eastAsia="宋体" w:hint="default"/>
                <w:sz w:val="18"/>
                <w:szCs w:val="18"/>
              </w:rPr>
            </w:pPr>
            <w:r>
              <w:rPr>
                <w:rFonts w:ascii="宋体" w:hAnsi="宋体" w:cs="宋体" w:eastAsia="宋体" w:hint="default"/>
                <w:sz w:val="18"/>
                <w:szCs w:val="18"/>
              </w:rPr>
              <w:t>占总金额比例</w:t>
            </w:r>
          </w:p>
        </w:tc>
        <w:tc>
          <w:tcPr>
            <w:tcW w:w="11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宋体" w:hAnsi="宋体" w:cs="宋体" w:eastAsia="宋体" w:hint="default"/>
                <w:sz w:val="18"/>
                <w:szCs w:val="18"/>
              </w:rPr>
            </w:pPr>
            <w:r>
              <w:rPr>
                <w:rFonts w:ascii="宋体" w:hAnsi="宋体" w:cs="宋体" w:eastAsia="宋体" w:hint="default"/>
                <w:sz w:val="18"/>
                <w:szCs w:val="18"/>
              </w:rPr>
              <w:t>账龄</w:t>
            </w:r>
          </w:p>
        </w:tc>
        <w:tc>
          <w:tcPr>
            <w:tcW w:w="23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宋体" w:hAnsi="宋体" w:cs="宋体" w:eastAsia="宋体" w:hint="default"/>
                <w:sz w:val="18"/>
                <w:szCs w:val="18"/>
              </w:rPr>
            </w:pPr>
            <w:r>
              <w:rPr>
                <w:rFonts w:ascii="宋体" w:hAnsi="宋体" w:cs="宋体" w:eastAsia="宋体" w:hint="default"/>
                <w:sz w:val="18"/>
                <w:szCs w:val="18"/>
              </w:rPr>
              <w:t>款项性质</w:t>
            </w:r>
          </w:p>
        </w:tc>
      </w:tr>
    </w:tbl>
    <w:p>
      <w:pPr>
        <w:spacing w:after="0" w:line="240" w:lineRule="auto"/>
        <w:jc w:val="right"/>
        <w:rPr>
          <w:rFonts w:ascii="宋体" w:hAnsi="宋体" w:cs="宋体" w:eastAsia="宋体" w:hint="default"/>
          <w:sz w:val="18"/>
          <w:szCs w:val="18"/>
        </w:rPr>
        <w:sectPr>
          <w:pgSz w:w="11910" w:h="16840"/>
          <w:pgMar w:header="906" w:footer="1018" w:top="1100" w:bottom="1200" w:left="1020" w:right="0"/>
        </w:sectPr>
      </w:pPr>
    </w:p>
    <w:p>
      <w:pPr>
        <w:spacing w:line="240" w:lineRule="auto" w:before="7"/>
        <w:rPr>
          <w:rFonts w:ascii="宋体" w:hAnsi="宋体" w:cs="宋体" w:eastAsia="宋体" w:hint="default"/>
          <w:b/>
          <w:bCs/>
          <w:sz w:val="25"/>
          <w:szCs w:val="25"/>
        </w:rPr>
      </w:pPr>
    </w:p>
    <w:tbl>
      <w:tblPr>
        <w:tblW w:w="0" w:type="auto"/>
        <w:jc w:val="left"/>
        <w:tblInd w:w="106" w:type="dxa"/>
        <w:tblLayout w:type="fixed"/>
        <w:tblCellMar>
          <w:top w:w="0" w:type="dxa"/>
          <w:left w:w="0" w:type="dxa"/>
          <w:bottom w:w="0" w:type="dxa"/>
          <w:right w:w="0" w:type="dxa"/>
        </w:tblCellMar>
        <w:tblLook w:val="01E0"/>
      </w:tblPr>
      <w:tblGrid>
        <w:gridCol w:w="1239"/>
        <w:gridCol w:w="1185"/>
        <w:gridCol w:w="1188"/>
        <w:gridCol w:w="1186"/>
        <w:gridCol w:w="1188"/>
        <w:gridCol w:w="2376"/>
      </w:tblGrid>
      <w:tr>
        <w:trPr>
          <w:trHeight w:val="427" w:hRule="exact"/>
        </w:trPr>
        <w:tc>
          <w:tcPr>
            <w:tcW w:w="12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11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2"/>
              <w:jc w:val="right"/>
              <w:rPr>
                <w:rFonts w:ascii="宋体" w:hAnsi="宋体" w:cs="宋体" w:eastAsia="宋体" w:hint="default"/>
                <w:sz w:val="18"/>
                <w:szCs w:val="18"/>
              </w:rPr>
            </w:pPr>
            <w:r>
              <w:rPr>
                <w:rFonts w:ascii="宋体" w:hAnsi="宋体" w:cs="宋体" w:eastAsia="宋体" w:hint="default"/>
                <w:sz w:val="18"/>
                <w:szCs w:val="18"/>
              </w:rPr>
              <w:t>非关联方</w:t>
            </w:r>
          </w:p>
        </w:tc>
        <w:tc>
          <w:tcPr>
            <w:tcW w:w="11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297,951,000.00</w:t>
            </w:r>
          </w:p>
        </w:tc>
        <w:tc>
          <w:tcPr>
            <w:tcW w:w="11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right"/>
              <w:rPr>
                <w:rFonts w:ascii="Times New Roman" w:hAnsi="Times New Roman" w:cs="Times New Roman" w:eastAsia="Times New Roman" w:hint="default"/>
                <w:sz w:val="18"/>
                <w:szCs w:val="18"/>
              </w:rPr>
            </w:pPr>
            <w:r>
              <w:rPr>
                <w:rFonts w:ascii="Times New Roman"/>
                <w:sz w:val="18"/>
              </w:rPr>
              <w:t>58.57%</w:t>
            </w:r>
          </w:p>
        </w:tc>
        <w:tc>
          <w:tcPr>
            <w:tcW w:w="11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w:t>
            </w:r>
          </w:p>
        </w:tc>
        <w:tc>
          <w:tcPr>
            <w:tcW w:w="23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宋体" w:hAnsi="宋体" w:cs="宋体" w:eastAsia="宋体" w:hint="default"/>
                <w:sz w:val="18"/>
                <w:szCs w:val="18"/>
              </w:rPr>
            </w:pPr>
            <w:r>
              <w:rPr>
                <w:rFonts w:ascii="宋体" w:hAnsi="宋体" w:cs="宋体" w:eastAsia="宋体" w:hint="default"/>
                <w:sz w:val="18"/>
                <w:szCs w:val="18"/>
              </w:rPr>
              <w:t>预付特种物联网业务货款</w:t>
            </w:r>
          </w:p>
        </w:tc>
      </w:tr>
      <w:tr>
        <w:trPr>
          <w:trHeight w:val="427" w:hRule="exact"/>
        </w:trPr>
        <w:tc>
          <w:tcPr>
            <w:tcW w:w="12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11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2"/>
              <w:jc w:val="right"/>
              <w:rPr>
                <w:rFonts w:ascii="宋体" w:hAnsi="宋体" w:cs="宋体" w:eastAsia="宋体" w:hint="default"/>
                <w:sz w:val="18"/>
                <w:szCs w:val="18"/>
              </w:rPr>
            </w:pPr>
            <w:r>
              <w:rPr>
                <w:rFonts w:ascii="宋体" w:hAnsi="宋体" w:cs="宋体" w:eastAsia="宋体" w:hint="default"/>
                <w:sz w:val="18"/>
                <w:szCs w:val="18"/>
              </w:rPr>
              <w:t>非关联方</w:t>
            </w:r>
          </w:p>
        </w:tc>
        <w:tc>
          <w:tcPr>
            <w:tcW w:w="11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194,805,000.00</w:t>
            </w:r>
          </w:p>
        </w:tc>
        <w:tc>
          <w:tcPr>
            <w:tcW w:w="11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right"/>
              <w:rPr>
                <w:rFonts w:ascii="Times New Roman" w:hAnsi="Times New Roman" w:cs="Times New Roman" w:eastAsia="Times New Roman" w:hint="default"/>
                <w:sz w:val="18"/>
                <w:szCs w:val="18"/>
              </w:rPr>
            </w:pPr>
            <w:r>
              <w:rPr>
                <w:rFonts w:ascii="Times New Roman"/>
                <w:sz w:val="18"/>
              </w:rPr>
              <w:t>38.30%</w:t>
            </w:r>
          </w:p>
        </w:tc>
        <w:tc>
          <w:tcPr>
            <w:tcW w:w="11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w:t>
            </w:r>
          </w:p>
        </w:tc>
        <w:tc>
          <w:tcPr>
            <w:tcW w:w="23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宋体" w:hAnsi="宋体" w:cs="宋体" w:eastAsia="宋体" w:hint="default"/>
                <w:sz w:val="18"/>
                <w:szCs w:val="18"/>
              </w:rPr>
            </w:pPr>
            <w:r>
              <w:rPr>
                <w:rFonts w:ascii="宋体" w:hAnsi="宋体" w:cs="宋体" w:eastAsia="宋体" w:hint="default"/>
                <w:sz w:val="18"/>
                <w:szCs w:val="18"/>
              </w:rPr>
              <w:t>预付特种物联网业务货款</w:t>
            </w:r>
          </w:p>
        </w:tc>
      </w:tr>
      <w:tr>
        <w:trPr>
          <w:trHeight w:val="427" w:hRule="exact"/>
        </w:trPr>
        <w:tc>
          <w:tcPr>
            <w:tcW w:w="12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left="2"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11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right="2"/>
              <w:jc w:val="right"/>
              <w:rPr>
                <w:rFonts w:ascii="宋体" w:hAnsi="宋体" w:cs="宋体" w:eastAsia="宋体" w:hint="default"/>
                <w:sz w:val="18"/>
                <w:szCs w:val="18"/>
              </w:rPr>
            </w:pPr>
            <w:r>
              <w:rPr>
                <w:rFonts w:ascii="宋体" w:hAnsi="宋体" w:cs="宋体" w:eastAsia="宋体" w:hint="default"/>
                <w:sz w:val="18"/>
                <w:szCs w:val="18"/>
              </w:rPr>
              <w:t>非关联方</w:t>
            </w:r>
          </w:p>
        </w:tc>
        <w:tc>
          <w:tcPr>
            <w:tcW w:w="11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3,835,720.61</w:t>
            </w:r>
          </w:p>
        </w:tc>
        <w:tc>
          <w:tcPr>
            <w:tcW w:w="11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right"/>
              <w:rPr>
                <w:rFonts w:ascii="Times New Roman" w:hAnsi="Times New Roman" w:cs="Times New Roman" w:eastAsia="Times New Roman" w:hint="default"/>
                <w:sz w:val="18"/>
                <w:szCs w:val="18"/>
              </w:rPr>
            </w:pPr>
            <w:r>
              <w:rPr>
                <w:rFonts w:ascii="Times New Roman"/>
                <w:w w:val="95"/>
                <w:sz w:val="18"/>
              </w:rPr>
              <w:t>0.75%</w:t>
            </w:r>
            <w:r>
              <w:rPr>
                <w:rFonts w:ascii="Times New Roman"/>
                <w:sz w:val="18"/>
              </w:rPr>
            </w:r>
          </w:p>
        </w:tc>
        <w:tc>
          <w:tcPr>
            <w:tcW w:w="11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right="0"/>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w:t>
            </w:r>
          </w:p>
        </w:tc>
        <w:tc>
          <w:tcPr>
            <w:tcW w:w="23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right="1"/>
              <w:jc w:val="right"/>
              <w:rPr>
                <w:rFonts w:ascii="宋体" w:hAnsi="宋体" w:cs="宋体" w:eastAsia="宋体" w:hint="default"/>
                <w:sz w:val="18"/>
                <w:szCs w:val="18"/>
              </w:rPr>
            </w:pPr>
            <w:r>
              <w:rPr>
                <w:rFonts w:ascii="宋体" w:hAnsi="宋体" w:cs="宋体" w:eastAsia="宋体" w:hint="default"/>
                <w:spacing w:val="-1"/>
                <w:sz w:val="18"/>
                <w:szCs w:val="18"/>
              </w:rPr>
              <w:t>预付关税、增值税</w:t>
            </w:r>
          </w:p>
        </w:tc>
      </w:tr>
      <w:tr>
        <w:trPr>
          <w:trHeight w:val="427" w:hRule="exact"/>
        </w:trPr>
        <w:tc>
          <w:tcPr>
            <w:tcW w:w="12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11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2"/>
              <w:jc w:val="right"/>
              <w:rPr>
                <w:rFonts w:ascii="宋体" w:hAnsi="宋体" w:cs="宋体" w:eastAsia="宋体" w:hint="default"/>
                <w:sz w:val="18"/>
                <w:szCs w:val="18"/>
              </w:rPr>
            </w:pPr>
            <w:r>
              <w:rPr>
                <w:rFonts w:ascii="宋体" w:hAnsi="宋体" w:cs="宋体" w:eastAsia="宋体" w:hint="default"/>
                <w:sz w:val="18"/>
                <w:szCs w:val="18"/>
              </w:rPr>
              <w:t>非关联方</w:t>
            </w:r>
          </w:p>
        </w:tc>
        <w:tc>
          <w:tcPr>
            <w:tcW w:w="11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3,386,430.00</w:t>
            </w:r>
          </w:p>
        </w:tc>
        <w:tc>
          <w:tcPr>
            <w:tcW w:w="11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right"/>
              <w:rPr>
                <w:rFonts w:ascii="Times New Roman" w:hAnsi="Times New Roman" w:cs="Times New Roman" w:eastAsia="Times New Roman" w:hint="default"/>
                <w:sz w:val="18"/>
                <w:szCs w:val="18"/>
              </w:rPr>
            </w:pPr>
            <w:r>
              <w:rPr>
                <w:rFonts w:ascii="Times New Roman"/>
                <w:w w:val="95"/>
                <w:sz w:val="18"/>
              </w:rPr>
              <w:t>0.67%</w:t>
            </w:r>
            <w:r>
              <w:rPr>
                <w:rFonts w:ascii="Times New Roman"/>
                <w:sz w:val="18"/>
              </w:rPr>
            </w:r>
          </w:p>
        </w:tc>
        <w:tc>
          <w:tcPr>
            <w:tcW w:w="11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w:t>
            </w:r>
          </w:p>
        </w:tc>
        <w:tc>
          <w:tcPr>
            <w:tcW w:w="23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宋体" w:hAnsi="宋体" w:cs="宋体" w:eastAsia="宋体" w:hint="default"/>
                <w:sz w:val="18"/>
                <w:szCs w:val="18"/>
              </w:rPr>
            </w:pPr>
            <w:r>
              <w:rPr>
                <w:rFonts w:ascii="宋体" w:hAnsi="宋体" w:cs="宋体" w:eastAsia="宋体" w:hint="default"/>
                <w:sz w:val="18"/>
                <w:szCs w:val="18"/>
              </w:rPr>
              <w:t>预付安全产品业务货款</w:t>
            </w:r>
          </w:p>
        </w:tc>
      </w:tr>
      <w:tr>
        <w:trPr>
          <w:trHeight w:val="427" w:hRule="exact"/>
        </w:trPr>
        <w:tc>
          <w:tcPr>
            <w:tcW w:w="12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11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2"/>
              <w:jc w:val="right"/>
              <w:rPr>
                <w:rFonts w:ascii="宋体" w:hAnsi="宋体" w:cs="宋体" w:eastAsia="宋体" w:hint="default"/>
                <w:sz w:val="18"/>
                <w:szCs w:val="18"/>
              </w:rPr>
            </w:pPr>
            <w:r>
              <w:rPr>
                <w:rFonts w:ascii="宋体" w:hAnsi="宋体" w:cs="宋体" w:eastAsia="宋体" w:hint="default"/>
                <w:sz w:val="18"/>
                <w:szCs w:val="18"/>
              </w:rPr>
              <w:t>非关联方</w:t>
            </w:r>
          </w:p>
        </w:tc>
        <w:tc>
          <w:tcPr>
            <w:tcW w:w="11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2,397,000.00</w:t>
            </w:r>
          </w:p>
        </w:tc>
        <w:tc>
          <w:tcPr>
            <w:tcW w:w="11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right"/>
              <w:rPr>
                <w:rFonts w:ascii="Times New Roman" w:hAnsi="Times New Roman" w:cs="Times New Roman" w:eastAsia="Times New Roman" w:hint="default"/>
                <w:sz w:val="18"/>
                <w:szCs w:val="18"/>
              </w:rPr>
            </w:pPr>
            <w:r>
              <w:rPr>
                <w:rFonts w:ascii="Times New Roman"/>
                <w:w w:val="95"/>
                <w:sz w:val="18"/>
              </w:rPr>
              <w:t>0.47%</w:t>
            </w:r>
            <w:r>
              <w:rPr>
                <w:rFonts w:ascii="Times New Roman"/>
                <w:sz w:val="18"/>
              </w:rPr>
            </w:r>
          </w:p>
        </w:tc>
        <w:tc>
          <w:tcPr>
            <w:tcW w:w="11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w:t>
            </w:r>
          </w:p>
        </w:tc>
        <w:tc>
          <w:tcPr>
            <w:tcW w:w="23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宋体" w:hAnsi="宋体" w:cs="宋体" w:eastAsia="宋体" w:hint="default"/>
                <w:sz w:val="18"/>
                <w:szCs w:val="18"/>
              </w:rPr>
            </w:pPr>
            <w:r>
              <w:rPr>
                <w:rFonts w:ascii="宋体" w:hAnsi="宋体" w:cs="宋体" w:eastAsia="宋体" w:hint="default"/>
                <w:sz w:val="18"/>
                <w:szCs w:val="18"/>
              </w:rPr>
              <w:t>预付电子智能支付设备货款</w:t>
            </w:r>
          </w:p>
        </w:tc>
      </w:tr>
      <w:tr>
        <w:trPr>
          <w:trHeight w:val="427" w:hRule="exact"/>
        </w:trPr>
        <w:tc>
          <w:tcPr>
            <w:tcW w:w="12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left="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85" w:type="dxa"/>
            <w:tcBorders>
              <w:top w:val="single" w:sz="6" w:space="0" w:color="000000"/>
              <w:left w:val="single" w:sz="6" w:space="0" w:color="000000"/>
              <w:bottom w:val="single" w:sz="6" w:space="0" w:color="000000"/>
              <w:right w:val="single" w:sz="6" w:space="0" w:color="000000"/>
            </w:tcBorders>
          </w:tcPr>
          <w:p>
            <w:pPr/>
          </w:p>
        </w:tc>
        <w:tc>
          <w:tcPr>
            <w:tcW w:w="11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502,375,150.61</w:t>
            </w:r>
          </w:p>
        </w:tc>
        <w:tc>
          <w:tcPr>
            <w:tcW w:w="11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right"/>
              <w:rPr>
                <w:rFonts w:ascii="Times New Roman" w:hAnsi="Times New Roman" w:cs="Times New Roman" w:eastAsia="Times New Roman" w:hint="default"/>
                <w:sz w:val="18"/>
                <w:szCs w:val="18"/>
              </w:rPr>
            </w:pPr>
            <w:r>
              <w:rPr>
                <w:rFonts w:ascii="Times New Roman"/>
                <w:sz w:val="18"/>
              </w:rPr>
              <w:t>98.76%</w:t>
            </w:r>
          </w:p>
        </w:tc>
        <w:tc>
          <w:tcPr>
            <w:tcW w:w="1188" w:type="dxa"/>
            <w:tcBorders>
              <w:top w:val="single" w:sz="6" w:space="0" w:color="000000"/>
              <w:left w:val="single" w:sz="6" w:space="0" w:color="000000"/>
              <w:bottom w:val="single" w:sz="6" w:space="0" w:color="000000"/>
              <w:right w:val="single" w:sz="6" w:space="0" w:color="000000"/>
            </w:tcBorders>
          </w:tcPr>
          <w:p>
            <w:pPr/>
          </w:p>
        </w:tc>
        <w:tc>
          <w:tcPr>
            <w:tcW w:w="2376" w:type="dxa"/>
            <w:tcBorders>
              <w:top w:val="single" w:sz="6" w:space="0" w:color="000000"/>
              <w:left w:val="single" w:sz="6" w:space="0" w:color="000000"/>
              <w:bottom w:val="single" w:sz="6" w:space="0" w:color="000000"/>
              <w:right w:val="single" w:sz="6" w:space="0" w:color="000000"/>
            </w:tcBorders>
          </w:tcPr>
          <w:p>
            <w:pPr/>
          </w:p>
        </w:tc>
      </w:tr>
    </w:tbl>
    <w:p>
      <w:pPr>
        <w:spacing w:line="240" w:lineRule="auto" w:before="4"/>
        <w:rPr>
          <w:rFonts w:ascii="宋体" w:hAnsi="宋体" w:cs="宋体" w:eastAsia="宋体" w:hint="default"/>
          <w:b/>
          <w:bCs/>
          <w:sz w:val="24"/>
          <w:szCs w:val="24"/>
        </w:rPr>
      </w:pPr>
    </w:p>
    <w:p>
      <w:pPr>
        <w:pStyle w:val="BodyText"/>
        <w:spacing w:line="240" w:lineRule="auto" w:before="44"/>
        <w:ind w:right="0"/>
        <w:jc w:val="left"/>
      </w:pPr>
      <w:r>
        <w:rPr/>
        <w:t>其他说明：</w:t>
      </w:r>
    </w:p>
    <w:p>
      <w:pPr>
        <w:spacing w:line="240" w:lineRule="auto" w:before="13"/>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8</w:t>
      </w:r>
      <w:r>
        <w:rPr/>
        <w:t>、其他应收款</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8,789,026.91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8,563,250.62</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8,789,026.91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8,563,250.62</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1</w:t>
      </w:r>
      <w:r>
        <w:rPr/>
        <w:t>）应收利息</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rFonts w:ascii="Times New Roman" w:hAnsi="Times New Roman" w:cs="Times New Roman" w:eastAsia="Times New Roman" w:hint="default"/>
        </w:rPr>
        <w:t>1</w:t>
      </w:r>
      <w:r>
        <w:rPr/>
        <w:t>）应收利息分类</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89"/>
      </w:tblGrid>
      <w:tr>
        <w:trPr>
          <w:trHeight w:val="401"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line="240" w:lineRule="auto" w:before="1"/>
        <w:rPr>
          <w:rFonts w:ascii="宋体" w:hAnsi="宋体" w:cs="宋体" w:eastAsia="宋体" w:hint="default"/>
          <w:sz w:val="19"/>
          <w:szCs w:val="19"/>
        </w:rPr>
      </w:pPr>
    </w:p>
    <w:p>
      <w:pPr>
        <w:pStyle w:val="Heading3"/>
        <w:spacing w:line="240" w:lineRule="auto" w:before="35"/>
        <w:ind w:right="0"/>
        <w:jc w:val="left"/>
        <w:rPr>
          <w:b w:val="0"/>
          <w:bCs w:val="0"/>
        </w:rPr>
      </w:pPr>
      <w:r>
        <w:rPr>
          <w:rFonts w:ascii="Times New Roman" w:hAnsi="Times New Roman" w:cs="Times New Roman" w:eastAsia="Times New Roman" w:hint="default"/>
        </w:rPr>
        <w:t>2</w:t>
      </w:r>
      <w:r>
        <w:rPr/>
        <w:t>）重要逾期利息</w:t>
      </w:r>
      <w:r>
        <w:rPr>
          <w:b w:val="0"/>
          <w:bCs w:val="0"/>
        </w:rPr>
      </w:r>
    </w:p>
    <w:p>
      <w:pPr>
        <w:spacing w:line="240" w:lineRule="auto" w:before="2"/>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714" w:hRule="exact"/>
        </w:trPr>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借款单位</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逾期时间</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逾期原因</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681" w:right="140" w:hanging="540"/>
              <w:jc w:val="left"/>
              <w:rPr>
                <w:rFonts w:ascii="宋体" w:hAnsi="宋体" w:cs="宋体" w:eastAsia="宋体" w:hint="default"/>
                <w:sz w:val="18"/>
                <w:szCs w:val="18"/>
              </w:rPr>
            </w:pPr>
            <w:r>
              <w:rPr>
                <w:rFonts w:ascii="宋体" w:hAnsi="宋体" w:cs="宋体" w:eastAsia="宋体" w:hint="default"/>
                <w:sz w:val="18"/>
                <w:szCs w:val="18"/>
              </w:rPr>
              <w:t>是否发生减值及其判 断依据</w:t>
            </w:r>
          </w:p>
        </w:tc>
      </w:tr>
    </w:tbl>
    <w:p>
      <w:pPr>
        <w:pStyle w:val="BodyText"/>
        <w:spacing w:line="240" w:lineRule="auto" w:before="49"/>
        <w:ind w:right="0"/>
        <w:jc w:val="left"/>
      </w:pPr>
      <w:r>
        <w:rPr/>
        <w:t>其他说明：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3</w:t>
      </w:r>
      <w:r>
        <w:rPr/>
        <w:t>）坏账准备计提情况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t>（</w:t>
      </w:r>
      <w:r>
        <w:rPr>
          <w:rFonts w:ascii="Times New Roman" w:hAnsi="Times New Roman" w:cs="Times New Roman" w:eastAsia="Times New Roman" w:hint="default"/>
        </w:rPr>
        <w:t>2</w:t>
      </w:r>
      <w:r>
        <w:rPr/>
        <w:t>）应收股利</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rFonts w:ascii="Times New Roman" w:hAnsi="Times New Roman" w:cs="Times New Roman" w:eastAsia="Times New Roman" w:hint="default"/>
        </w:rPr>
        <w:t>1</w:t>
      </w:r>
      <w:r>
        <w:rPr/>
        <w:t>）应收股利分类</w:t>
      </w:r>
      <w:r>
        <w:rPr>
          <w:b w:val="0"/>
          <w:bCs w:val="0"/>
        </w:rPr>
      </w:r>
    </w:p>
    <w:p>
      <w:pPr>
        <w:spacing w:line="240" w:lineRule="auto" w:before="2"/>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89"/>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81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项目</w:t>
            </w:r>
            <w:r>
              <w:rPr>
                <w:rFonts w:ascii="Times New Roman" w:hAnsi="Times New Roman" w:cs="Times New Roman" w:eastAsia="Times New Roman" w:hint="default"/>
                <w:sz w:val="18"/>
                <w:szCs w:val="18"/>
              </w:rPr>
              <w:t>(</w:t>
            </w:r>
            <w:r>
              <w:rPr>
                <w:rFonts w:ascii="宋体" w:hAnsi="宋体" w:cs="宋体" w:eastAsia="宋体" w:hint="default"/>
                <w:sz w:val="18"/>
                <w:szCs w:val="18"/>
              </w:rPr>
              <w:t>或被投资单位</w:t>
            </w:r>
            <w:r>
              <w:rPr>
                <w:rFonts w:ascii="Times New Roman" w:hAnsi="Times New Roman" w:cs="Times New Roman" w:eastAsia="Times New Roman" w:hint="default"/>
                <w:sz w:val="18"/>
                <w:szCs w:val="18"/>
              </w:rPr>
              <w:t>)</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after="0" w:line="240" w:lineRule="auto"/>
        <w:jc w:val="center"/>
        <w:rPr>
          <w:rFonts w:ascii="宋体" w:hAnsi="宋体" w:cs="宋体" w:eastAsia="宋体" w:hint="default"/>
          <w:sz w:val="18"/>
          <w:szCs w:val="18"/>
        </w:rPr>
        <w:sectPr>
          <w:pgSz w:w="11910" w:h="16840"/>
          <w:pgMar w:header="906" w:footer="1018" w:top="1100" w:bottom="1200" w:left="1020" w:right="0"/>
        </w:sectPr>
      </w:pPr>
    </w:p>
    <w:p>
      <w:pPr>
        <w:spacing w:line="240" w:lineRule="auto" w:before="9"/>
        <w:rPr>
          <w:rFonts w:ascii="宋体" w:hAnsi="宋体" w:cs="宋体" w:eastAsia="宋体" w:hint="default"/>
          <w:sz w:val="21"/>
          <w:szCs w:val="21"/>
        </w:rPr>
      </w:pPr>
    </w:p>
    <w:p>
      <w:pPr>
        <w:pStyle w:val="Heading3"/>
        <w:spacing w:line="240" w:lineRule="auto" w:before="35"/>
        <w:ind w:right="0"/>
        <w:jc w:val="left"/>
        <w:rPr>
          <w:b w:val="0"/>
          <w:bCs w:val="0"/>
        </w:rPr>
      </w:pPr>
      <w:r>
        <w:rPr>
          <w:rFonts w:ascii="Times New Roman" w:hAnsi="Times New Roman" w:cs="Times New Roman" w:eastAsia="Times New Roman" w:hint="default"/>
        </w:rPr>
        <w:t>2</w:t>
      </w:r>
      <w:r>
        <w:rPr/>
        <w:t>）重要的账龄超过</w:t>
      </w:r>
      <w:r>
        <w:rPr>
          <w:spacing w:val="-56"/>
        </w:rPr>
        <w:t> </w:t>
      </w:r>
      <w:r>
        <w:rPr>
          <w:rFonts w:ascii="Times New Roman" w:hAnsi="Times New Roman" w:cs="Times New Roman" w:eastAsia="Times New Roman" w:hint="default"/>
        </w:rPr>
        <w:t>1</w:t>
      </w:r>
      <w:r>
        <w:rPr>
          <w:rFonts w:ascii="Times New Roman" w:hAnsi="Times New Roman" w:cs="Times New Roman" w:eastAsia="Times New Roman" w:hint="default"/>
          <w:spacing w:val="-3"/>
        </w:rPr>
        <w:t> </w:t>
      </w:r>
      <w:r>
        <w:rPr/>
        <w:t>年的应收股利</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714" w:hRule="exact"/>
        </w:trPr>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7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项目</w:t>
            </w:r>
            <w:r>
              <w:rPr>
                <w:rFonts w:ascii="Times New Roman" w:hAnsi="Times New Roman" w:cs="Times New Roman" w:eastAsia="Times New Roman" w:hint="default"/>
                <w:sz w:val="18"/>
                <w:szCs w:val="18"/>
              </w:rPr>
              <w:t>(</w:t>
            </w:r>
            <w:r>
              <w:rPr>
                <w:rFonts w:ascii="宋体" w:hAnsi="宋体" w:cs="宋体" w:eastAsia="宋体" w:hint="default"/>
                <w:sz w:val="18"/>
                <w:szCs w:val="18"/>
              </w:rPr>
              <w:t>或被投资单位</w:t>
            </w:r>
            <w:r>
              <w:rPr>
                <w:rFonts w:ascii="Times New Roman" w:hAnsi="Times New Roman" w:cs="Times New Roman" w:eastAsia="Times New Roman" w:hint="default"/>
                <w:sz w:val="18"/>
                <w:szCs w:val="18"/>
              </w:rPr>
              <w:t>)</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11" w:right="0"/>
              <w:jc w:val="left"/>
              <w:rPr>
                <w:rFonts w:ascii="宋体" w:hAnsi="宋体" w:cs="宋体" w:eastAsia="宋体" w:hint="default"/>
                <w:sz w:val="18"/>
                <w:szCs w:val="18"/>
              </w:rPr>
            </w:pPr>
            <w:r>
              <w:rPr>
                <w:rFonts w:ascii="宋体" w:hAnsi="宋体" w:cs="宋体" w:eastAsia="宋体" w:hint="default"/>
                <w:sz w:val="18"/>
                <w:szCs w:val="18"/>
              </w:rPr>
              <w:t>未收回的原因</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681" w:right="140" w:hanging="540"/>
              <w:jc w:val="left"/>
              <w:rPr>
                <w:rFonts w:ascii="宋体" w:hAnsi="宋体" w:cs="宋体" w:eastAsia="宋体" w:hint="default"/>
                <w:sz w:val="18"/>
                <w:szCs w:val="18"/>
              </w:rPr>
            </w:pPr>
            <w:r>
              <w:rPr>
                <w:rFonts w:ascii="宋体" w:hAnsi="宋体" w:cs="宋体" w:eastAsia="宋体" w:hint="default"/>
                <w:sz w:val="18"/>
                <w:szCs w:val="18"/>
              </w:rPr>
              <w:t>是否发生减值及其判 断依据</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r>
        <w:rPr>
          <w:rFonts w:ascii="Times New Roman" w:hAnsi="Times New Roman" w:cs="Times New Roman" w:eastAsia="Times New Roman" w:hint="default"/>
        </w:rPr>
        <w:t>3</w:t>
      </w:r>
      <w:r>
        <w:rPr/>
        <w:t>）坏账准备计提情况</w:t>
      </w:r>
      <w:r>
        <w:rPr>
          <w:b w:val="0"/>
          <w:bCs w:val="0"/>
        </w:rPr>
      </w:r>
    </w:p>
    <w:p>
      <w:pPr>
        <w:spacing w:line="240" w:lineRule="auto" w:before="6"/>
        <w:rPr>
          <w:rFonts w:ascii="宋体" w:hAnsi="宋体" w:cs="宋体" w:eastAsia="宋体" w:hint="default"/>
          <w:b/>
          <w:bCs/>
          <w:sz w:val="26"/>
          <w:szCs w:val="26"/>
        </w:rPr>
      </w:pPr>
    </w:p>
    <w:p>
      <w:pPr>
        <w:pStyle w:val="BodyText"/>
        <w:spacing w:line="360" w:lineRule="auto"/>
        <w:ind w:right="9222"/>
        <w:jc w:val="left"/>
      </w:pPr>
      <w:r>
        <w:rPr/>
        <w:t>□ 适用 √ 不适用 其他说明：</w:t>
      </w:r>
    </w:p>
    <w:p>
      <w:pPr>
        <w:spacing w:line="240" w:lineRule="auto" w:before="0"/>
        <w:rPr>
          <w:rFonts w:ascii="宋体" w:hAnsi="宋体" w:cs="宋体" w:eastAsia="宋体" w:hint="default"/>
          <w:sz w:val="20"/>
          <w:szCs w:val="20"/>
        </w:rPr>
      </w:pPr>
    </w:p>
    <w:p>
      <w:pPr>
        <w:pStyle w:val="Heading3"/>
        <w:spacing w:line="240" w:lineRule="auto"/>
        <w:ind w:right="0"/>
        <w:jc w:val="left"/>
        <w:rPr>
          <w:b w:val="0"/>
          <w:bCs w:val="0"/>
        </w:rPr>
      </w:pPr>
      <w:r>
        <w:rPr/>
        <w:t>（</w:t>
      </w:r>
      <w:r>
        <w:rPr>
          <w:rFonts w:ascii="Times New Roman" w:hAnsi="Times New Roman" w:cs="Times New Roman" w:eastAsia="Times New Roman" w:hint="default"/>
        </w:rPr>
        <w:t>3</w:t>
      </w:r>
      <w:r>
        <w:rPr/>
        <w:t>）其他应收款</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rFonts w:ascii="Times New Roman" w:hAnsi="Times New Roman" w:cs="Times New Roman" w:eastAsia="Times New Roman" w:hint="default"/>
        </w:rPr>
        <w:t>1</w:t>
      </w:r>
      <w:r>
        <w:rPr/>
        <w:t>）其他应收款按款项性质分类情况</w:t>
      </w:r>
      <w:r>
        <w:rPr>
          <w:b w:val="0"/>
          <w:bCs w:val="0"/>
        </w:rPr>
      </w:r>
    </w:p>
    <w:p>
      <w:pPr>
        <w:spacing w:line="240" w:lineRule="auto" w:before="2"/>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1"/>
        <w:gridCol w:w="3191"/>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1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49"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1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49"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押金及保证金</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10,507,321.62</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10,580,003.91</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代垫款</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5,313,693.15</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5,203,041.44</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备用金</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1,625,352.84</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1,511,510.86</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增值税即征即退款</w:t>
            </w:r>
          </w:p>
        </w:tc>
        <w:tc>
          <w:tcPr>
            <w:tcW w:w="3191" w:type="dxa"/>
            <w:tcBorders>
              <w:top w:val="single" w:sz="4" w:space="0" w:color="000000"/>
              <w:left w:val="single" w:sz="4" w:space="0" w:color="000000"/>
              <w:bottom w:val="single" w:sz="4" w:space="0" w:color="000000"/>
              <w:right w:val="single" w:sz="4" w:space="0" w:color="000000"/>
            </w:tcBorders>
          </w:tcPr>
          <w:p>
            <w:pP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453,428.51</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17,446,367.61</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17,747,984.72</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r>
        <w:rPr>
          <w:rFonts w:ascii="Times New Roman" w:hAnsi="Times New Roman" w:cs="Times New Roman" w:eastAsia="Times New Roman" w:hint="default"/>
        </w:rPr>
        <w:t>2</w:t>
      </w:r>
      <w:r>
        <w:rPr/>
        <w:t>）坏账准备计提情况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6"/>
        <w:gridCol w:w="1650"/>
        <w:gridCol w:w="2099"/>
        <w:gridCol w:w="2099"/>
        <w:gridCol w:w="1804"/>
      </w:tblGrid>
      <w:tr>
        <w:trPr>
          <w:trHeight w:val="402" w:hRule="exact"/>
        </w:trPr>
        <w:tc>
          <w:tcPr>
            <w:tcW w:w="1916"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65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0" w:right="0"/>
              <w:jc w:val="left"/>
              <w:rPr>
                <w:rFonts w:ascii="宋体" w:hAnsi="宋体" w:cs="宋体" w:eastAsia="宋体" w:hint="default"/>
                <w:sz w:val="18"/>
                <w:szCs w:val="18"/>
              </w:rPr>
            </w:pPr>
            <w:r>
              <w:rPr>
                <w:rFonts w:ascii="宋体" w:hAnsi="宋体" w:cs="宋体" w:eastAsia="宋体" w:hint="default"/>
                <w:sz w:val="18"/>
                <w:szCs w:val="18"/>
              </w:rPr>
              <w:t>第一阶段</w:t>
            </w:r>
          </w:p>
        </w:tc>
        <w:tc>
          <w:tcPr>
            <w:tcW w:w="209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第二阶段</w:t>
            </w:r>
          </w:p>
        </w:tc>
        <w:tc>
          <w:tcPr>
            <w:tcW w:w="209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684" w:right="0"/>
              <w:jc w:val="left"/>
              <w:rPr>
                <w:rFonts w:ascii="宋体" w:hAnsi="宋体" w:cs="宋体" w:eastAsia="宋体" w:hint="default"/>
                <w:sz w:val="18"/>
                <w:szCs w:val="18"/>
              </w:rPr>
            </w:pPr>
            <w:r>
              <w:rPr>
                <w:rFonts w:ascii="宋体" w:hAnsi="宋体" w:cs="宋体" w:eastAsia="宋体" w:hint="default"/>
                <w:sz w:val="18"/>
                <w:szCs w:val="18"/>
              </w:rPr>
              <w:t>第三阶段</w:t>
            </w:r>
          </w:p>
        </w:tc>
        <w:tc>
          <w:tcPr>
            <w:tcW w:w="1804"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713" w:hRule="exact"/>
        </w:trPr>
        <w:tc>
          <w:tcPr>
            <w:tcW w:w="1916" w:type="dxa"/>
            <w:vMerge/>
            <w:tcBorders>
              <w:left w:val="single" w:sz="4" w:space="0" w:color="000000"/>
              <w:bottom w:val="single" w:sz="4" w:space="0" w:color="000000"/>
              <w:right w:val="single" w:sz="4" w:space="0" w:color="000000"/>
            </w:tcBorders>
            <w:shd w:val="clear" w:color="auto" w:fill="D3D3D3"/>
          </w:tcPr>
          <w:p>
            <w:pPr/>
          </w:p>
        </w:tc>
        <w:tc>
          <w:tcPr>
            <w:tcW w:w="165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49"/>
              <w:ind w:left="460" w:right="143" w:hanging="315"/>
              <w:jc w:val="left"/>
              <w:rPr>
                <w:rFonts w:ascii="宋体" w:hAnsi="宋体" w:cs="宋体" w:eastAsia="宋体" w:hint="default"/>
                <w:sz w:val="18"/>
                <w:szCs w:val="18"/>
              </w:rPr>
            </w:pPr>
            <w:r>
              <w:rPr>
                <w:rFonts w:ascii="宋体" w:hAnsi="宋体" w:cs="宋体" w:eastAsia="宋体" w:hint="default"/>
                <w:sz w:val="18"/>
                <w:szCs w:val="18"/>
              </w:rPr>
              <w:t>未来</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个月预期 信用损失</w:t>
            </w:r>
          </w:p>
        </w:tc>
        <w:tc>
          <w:tcPr>
            <w:tcW w:w="209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265" w:right="143" w:hanging="122"/>
              <w:jc w:val="left"/>
              <w:rPr>
                <w:rFonts w:ascii="Times New Roman" w:hAnsi="Times New Roman" w:cs="Times New Roman" w:eastAsia="Times New Roman" w:hint="default"/>
                <w:sz w:val="18"/>
                <w:szCs w:val="18"/>
              </w:rPr>
            </w:pPr>
            <w:r>
              <w:rPr>
                <w:rFonts w:ascii="宋体" w:hAnsi="宋体" w:cs="宋体" w:eastAsia="宋体" w:hint="default"/>
                <w:sz w:val="18"/>
                <w:szCs w:val="18"/>
              </w:rPr>
              <w:t>整个存续期预期信用损 失</w:t>
            </w:r>
            <w:r>
              <w:rPr>
                <w:rFonts w:ascii="Times New Roman" w:hAnsi="Times New Roman" w:cs="Times New Roman" w:eastAsia="Times New Roman" w:hint="default"/>
                <w:sz w:val="18"/>
                <w:szCs w:val="18"/>
              </w:rPr>
              <w:t>(</w:t>
            </w:r>
            <w:r>
              <w:rPr>
                <w:rFonts w:ascii="宋体" w:hAnsi="宋体" w:cs="宋体" w:eastAsia="宋体" w:hint="default"/>
                <w:sz w:val="18"/>
                <w:szCs w:val="18"/>
              </w:rPr>
              <w:t>未发生信用减值</w:t>
            </w:r>
            <w:r>
              <w:rPr>
                <w:rFonts w:ascii="Times New Roman" w:hAnsi="Times New Roman" w:cs="Times New Roman" w:eastAsia="Times New Roman" w:hint="default"/>
                <w:sz w:val="18"/>
                <w:szCs w:val="18"/>
              </w:rPr>
              <w:t>)</w:t>
            </w:r>
          </w:p>
        </w:tc>
        <w:tc>
          <w:tcPr>
            <w:tcW w:w="209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265" w:right="143" w:hanging="122"/>
              <w:jc w:val="left"/>
              <w:rPr>
                <w:rFonts w:ascii="Times New Roman" w:hAnsi="Times New Roman" w:cs="Times New Roman" w:eastAsia="Times New Roman" w:hint="default"/>
                <w:sz w:val="18"/>
                <w:szCs w:val="18"/>
              </w:rPr>
            </w:pPr>
            <w:r>
              <w:rPr>
                <w:rFonts w:ascii="宋体" w:hAnsi="宋体" w:cs="宋体" w:eastAsia="宋体" w:hint="default"/>
                <w:sz w:val="18"/>
                <w:szCs w:val="18"/>
              </w:rPr>
              <w:t>整个存续期预期信用损 失</w:t>
            </w:r>
            <w:r>
              <w:rPr>
                <w:rFonts w:ascii="Times New Roman" w:hAnsi="Times New Roman" w:cs="Times New Roman" w:eastAsia="Times New Roman" w:hint="default"/>
                <w:sz w:val="18"/>
                <w:szCs w:val="18"/>
              </w:rPr>
              <w:t>(</w:t>
            </w:r>
            <w:r>
              <w:rPr>
                <w:rFonts w:ascii="宋体" w:hAnsi="宋体" w:cs="宋体" w:eastAsia="宋体" w:hint="default"/>
                <w:sz w:val="18"/>
                <w:szCs w:val="18"/>
              </w:rPr>
              <w:t>已发生信用减值</w:t>
            </w:r>
            <w:r>
              <w:rPr>
                <w:rFonts w:ascii="Times New Roman" w:hAnsi="Times New Roman" w:cs="Times New Roman" w:eastAsia="Times New Roman" w:hint="default"/>
                <w:sz w:val="18"/>
                <w:szCs w:val="18"/>
              </w:rPr>
              <w:t>)</w:t>
            </w:r>
          </w:p>
        </w:tc>
        <w:tc>
          <w:tcPr>
            <w:tcW w:w="1804" w:type="dxa"/>
            <w:vMerge/>
            <w:tcBorders>
              <w:left w:val="single" w:sz="4" w:space="0" w:color="000000"/>
              <w:bottom w:val="single" w:sz="4" w:space="0" w:color="000000"/>
              <w:right w:val="single" w:sz="4" w:space="0" w:color="000000"/>
            </w:tcBorders>
            <w:shd w:val="clear" w:color="auto" w:fill="D3D3D3"/>
          </w:tcPr>
          <w:p>
            <w:pPr/>
          </w:p>
        </w:tc>
      </w:tr>
      <w:tr>
        <w:trPr>
          <w:trHeight w:val="403" w:hRule="exact"/>
        </w:trPr>
        <w:tc>
          <w:tcPr>
            <w:tcW w:w="1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日余额</w:t>
            </w: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1,522,373.20</w:t>
            </w:r>
          </w:p>
        </w:tc>
        <w:tc>
          <w:tcPr>
            <w:tcW w:w="2099" w:type="dxa"/>
            <w:tcBorders>
              <w:top w:val="single" w:sz="4" w:space="0" w:color="000000"/>
              <w:left w:val="single" w:sz="4" w:space="0" w:color="000000"/>
              <w:bottom w:val="single" w:sz="4" w:space="0" w:color="000000"/>
              <w:right w:val="single" w:sz="4" w:space="0" w:color="000000"/>
            </w:tcBorders>
          </w:tcPr>
          <w:p>
            <w:pPr/>
          </w:p>
        </w:tc>
        <w:tc>
          <w:tcPr>
            <w:tcW w:w="2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7,662,360.90</w:t>
            </w:r>
          </w:p>
        </w:tc>
        <w:tc>
          <w:tcPr>
            <w:tcW w:w="1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9,184,734.10</w:t>
            </w:r>
          </w:p>
        </w:tc>
      </w:tr>
      <w:tr>
        <w:trPr>
          <w:trHeight w:val="713" w:hRule="exact"/>
        </w:trPr>
        <w:tc>
          <w:tcPr>
            <w:tcW w:w="1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49"/>
              <w:ind w:left="102" w:right="136"/>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日余额 在本期</w:t>
            </w:r>
          </w:p>
        </w:tc>
        <w:tc>
          <w:tcPr>
            <w:tcW w:w="165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209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w:t>
            </w:r>
          </w:p>
        </w:tc>
        <w:tc>
          <w:tcPr>
            <w:tcW w:w="209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w:t>
            </w:r>
          </w:p>
        </w:tc>
        <w:tc>
          <w:tcPr>
            <w:tcW w:w="180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w:t>
            </w:r>
          </w:p>
        </w:tc>
      </w:tr>
      <w:tr>
        <w:trPr>
          <w:trHeight w:val="403" w:hRule="exact"/>
        </w:trPr>
        <w:tc>
          <w:tcPr>
            <w:tcW w:w="1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本期计提</w:t>
            </w: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1,940.99</w:t>
            </w:r>
          </w:p>
        </w:tc>
        <w:tc>
          <w:tcPr>
            <w:tcW w:w="2099" w:type="dxa"/>
            <w:tcBorders>
              <w:top w:val="single" w:sz="4" w:space="0" w:color="000000"/>
              <w:left w:val="single" w:sz="4" w:space="0" w:color="000000"/>
              <w:bottom w:val="single" w:sz="4" w:space="0" w:color="000000"/>
              <w:right w:val="single" w:sz="4" w:space="0" w:color="000000"/>
            </w:tcBorders>
          </w:tcPr>
          <w:p>
            <w:pPr/>
          </w:p>
        </w:tc>
        <w:tc>
          <w:tcPr>
            <w:tcW w:w="2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547,169.71</w:t>
            </w:r>
          </w:p>
        </w:tc>
        <w:tc>
          <w:tcPr>
            <w:tcW w:w="1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549,110.70</w:t>
            </w:r>
          </w:p>
        </w:tc>
      </w:tr>
      <w:tr>
        <w:trPr>
          <w:trHeight w:val="402" w:hRule="exact"/>
        </w:trPr>
        <w:tc>
          <w:tcPr>
            <w:tcW w:w="1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本期转回</w:t>
            </w: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752,152.15</w:t>
            </w:r>
          </w:p>
        </w:tc>
        <w:tc>
          <w:tcPr>
            <w:tcW w:w="2099" w:type="dxa"/>
            <w:tcBorders>
              <w:top w:val="single" w:sz="4" w:space="0" w:color="000000"/>
              <w:left w:val="single" w:sz="4" w:space="0" w:color="000000"/>
              <w:bottom w:val="single" w:sz="4" w:space="0" w:color="000000"/>
              <w:right w:val="single" w:sz="4" w:space="0" w:color="000000"/>
            </w:tcBorders>
          </w:tcPr>
          <w:p>
            <w:pPr/>
          </w:p>
        </w:tc>
        <w:tc>
          <w:tcPr>
            <w:tcW w:w="2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324,351.95</w:t>
            </w:r>
          </w:p>
        </w:tc>
        <w:tc>
          <w:tcPr>
            <w:tcW w:w="1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1,076,504.10</w:t>
            </w:r>
          </w:p>
        </w:tc>
      </w:tr>
      <w:tr>
        <w:trPr>
          <w:trHeight w:val="714" w:hRule="exact"/>
        </w:trPr>
        <w:tc>
          <w:tcPr>
            <w:tcW w:w="1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49"/>
              <w:ind w:left="102" w:right="136"/>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日余 额</w:t>
            </w: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772,162.04</w:t>
            </w:r>
          </w:p>
        </w:tc>
        <w:tc>
          <w:tcPr>
            <w:tcW w:w="2099" w:type="dxa"/>
            <w:tcBorders>
              <w:top w:val="single" w:sz="4" w:space="0" w:color="000000"/>
              <w:left w:val="single" w:sz="4" w:space="0" w:color="000000"/>
              <w:bottom w:val="single" w:sz="4" w:space="0" w:color="000000"/>
              <w:right w:val="single" w:sz="4" w:space="0" w:color="000000"/>
            </w:tcBorders>
          </w:tcPr>
          <w:p>
            <w:pPr/>
          </w:p>
        </w:tc>
        <w:tc>
          <w:tcPr>
            <w:tcW w:w="2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7,885,178.66</w:t>
            </w:r>
          </w:p>
        </w:tc>
        <w:tc>
          <w:tcPr>
            <w:tcW w:w="1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8,657,340.70</w:t>
            </w:r>
          </w:p>
        </w:tc>
      </w:tr>
    </w:tbl>
    <w:p>
      <w:pPr>
        <w:pStyle w:val="BodyText"/>
        <w:spacing w:line="240" w:lineRule="auto" w:before="49"/>
        <w:ind w:right="0"/>
        <w:jc w:val="left"/>
      </w:pPr>
      <w:r>
        <w:rPr/>
        <w:t>损失准备本期变动金额重大的账面余额变动情况</w:t>
      </w:r>
    </w:p>
    <w:p>
      <w:pPr>
        <w:pStyle w:val="BodyText"/>
        <w:spacing w:line="357" w:lineRule="auto" w:before="116"/>
        <w:ind w:right="9222"/>
        <w:jc w:val="left"/>
      </w:pPr>
      <w:r>
        <w:rPr/>
        <w:t>□ 适用 √ 不适用 按账龄披露</w:t>
      </w:r>
    </w:p>
    <w:p>
      <w:pPr>
        <w:spacing w:after="0" w:line="357" w:lineRule="auto"/>
        <w:jc w:val="left"/>
        <w:sectPr>
          <w:pgSz w:w="11910" w:h="16840"/>
          <w:pgMar w:header="906" w:footer="1018" w:top="1100" w:bottom="1200" w:left="1020" w:right="0"/>
        </w:sectPr>
      </w:pPr>
    </w:p>
    <w:p>
      <w:pPr>
        <w:spacing w:line="240" w:lineRule="auto" w:before="11"/>
        <w:rPr>
          <w:rFonts w:ascii="宋体" w:hAnsi="宋体" w:cs="宋体" w:eastAsia="宋体" w:hint="default"/>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4784"/>
        <w:gridCol w:w="4784"/>
      </w:tblGrid>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5,329,123.67</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年</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717,874.48</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年</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3,514,190.80</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 </w:t>
            </w:r>
            <w:r>
              <w:rPr>
                <w:rFonts w:ascii="宋体" w:hAnsi="宋体" w:cs="宋体" w:eastAsia="宋体" w:hint="default"/>
                <w:sz w:val="18"/>
                <w:szCs w:val="18"/>
              </w:rPr>
              <w:t>年以上</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7,885,178.66</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2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年</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7,885,178.66</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17,446,367.61</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r>
        <w:rPr>
          <w:rFonts w:ascii="Times New Roman" w:hAnsi="Times New Roman" w:cs="Times New Roman" w:eastAsia="Times New Roman" w:hint="default"/>
        </w:rPr>
        <w:t>3</w:t>
      </w:r>
      <w:r>
        <w:rPr/>
        <w:t>）本期计提、收回或转回的坏账准备情况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0"/>
        <w:jc w:val="left"/>
      </w:pPr>
      <w:r>
        <w:rPr/>
        <w:t>本期计提坏账准备情况：</w:t>
      </w:r>
    </w:p>
    <w:p>
      <w:pPr>
        <w:pStyle w:val="BodyText"/>
        <w:spacing w:line="240" w:lineRule="auto" w:before="116"/>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415"/>
        <w:gridCol w:w="1098"/>
        <w:gridCol w:w="1194"/>
        <w:gridCol w:w="1303"/>
        <w:gridCol w:w="1092"/>
        <w:gridCol w:w="1736"/>
        <w:gridCol w:w="1730"/>
      </w:tblGrid>
      <w:tr>
        <w:trPr>
          <w:trHeight w:val="402" w:hRule="exact"/>
        </w:trPr>
        <w:tc>
          <w:tcPr>
            <w:tcW w:w="1415"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1098"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18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5325" w:type="dxa"/>
            <w:gridSpan w:val="4"/>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本期变动金额</w:t>
            </w:r>
          </w:p>
        </w:tc>
        <w:tc>
          <w:tcPr>
            <w:tcW w:w="1730"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99"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415" w:type="dxa"/>
            <w:vMerge/>
            <w:tcBorders>
              <w:left w:val="single" w:sz="4" w:space="0" w:color="000000"/>
              <w:bottom w:val="single" w:sz="4" w:space="0" w:color="000000"/>
              <w:right w:val="single" w:sz="4" w:space="0" w:color="000000"/>
            </w:tcBorders>
            <w:shd w:val="clear" w:color="auto" w:fill="D3D3D3"/>
          </w:tcPr>
          <w:p>
            <w:pPr/>
          </w:p>
        </w:tc>
        <w:tc>
          <w:tcPr>
            <w:tcW w:w="1098" w:type="dxa"/>
            <w:vMerge/>
            <w:tcBorders>
              <w:left w:val="single" w:sz="4" w:space="0" w:color="000000"/>
              <w:bottom w:val="single" w:sz="4" w:space="0" w:color="000000"/>
              <w:right w:val="single" w:sz="4" w:space="0" w:color="000000"/>
            </w:tcBorders>
            <w:shd w:val="clear" w:color="auto" w:fill="D3D3D3"/>
          </w:tcPr>
          <w:p>
            <w:pPr/>
          </w:p>
        </w:tc>
        <w:tc>
          <w:tcPr>
            <w:tcW w:w="11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计提</w:t>
            </w:r>
          </w:p>
        </w:tc>
        <w:tc>
          <w:tcPr>
            <w:tcW w:w="130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96" w:right="0"/>
              <w:jc w:val="left"/>
              <w:rPr>
                <w:rFonts w:ascii="宋体" w:hAnsi="宋体" w:cs="宋体" w:eastAsia="宋体" w:hint="default"/>
                <w:sz w:val="18"/>
                <w:szCs w:val="18"/>
              </w:rPr>
            </w:pPr>
            <w:r>
              <w:rPr>
                <w:rFonts w:ascii="宋体" w:hAnsi="宋体" w:cs="宋体" w:eastAsia="宋体" w:hint="default"/>
                <w:sz w:val="18"/>
                <w:szCs w:val="18"/>
              </w:rPr>
              <w:t>收回或转回</w:t>
            </w:r>
          </w:p>
        </w:tc>
        <w:tc>
          <w:tcPr>
            <w:tcW w:w="10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360" w:right="0"/>
              <w:jc w:val="left"/>
              <w:rPr>
                <w:rFonts w:ascii="宋体" w:hAnsi="宋体" w:cs="宋体" w:eastAsia="宋体" w:hint="default"/>
                <w:sz w:val="18"/>
                <w:szCs w:val="18"/>
              </w:rPr>
            </w:pPr>
            <w:r>
              <w:rPr>
                <w:rFonts w:ascii="宋体" w:hAnsi="宋体" w:cs="宋体" w:eastAsia="宋体" w:hint="default"/>
                <w:sz w:val="18"/>
                <w:szCs w:val="18"/>
              </w:rPr>
              <w:t>核销</w:t>
            </w:r>
          </w:p>
        </w:tc>
        <w:tc>
          <w:tcPr>
            <w:tcW w:w="173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730" w:type="dxa"/>
            <w:vMerge/>
            <w:tcBorders>
              <w:left w:val="single" w:sz="4" w:space="0" w:color="000000"/>
              <w:bottom w:val="single" w:sz="4" w:space="0" w:color="000000"/>
              <w:right w:val="single" w:sz="4" w:space="0" w:color="000000"/>
            </w:tcBorders>
            <w:shd w:val="clear" w:color="auto" w:fill="D3D3D3"/>
          </w:tcPr>
          <w:p>
            <w:pPr/>
          </w:p>
        </w:tc>
      </w:tr>
      <w:tr>
        <w:trPr>
          <w:trHeight w:val="1026" w:hRule="exact"/>
        </w:trPr>
        <w:tc>
          <w:tcPr>
            <w:tcW w:w="1415"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0"/>
              <w:ind w:left="102" w:right="161"/>
              <w:jc w:val="both"/>
              <w:rPr>
                <w:rFonts w:ascii="宋体" w:hAnsi="宋体" w:cs="宋体" w:eastAsia="宋体" w:hint="default"/>
                <w:sz w:val="18"/>
                <w:szCs w:val="18"/>
              </w:rPr>
            </w:pPr>
            <w:r>
              <w:rPr>
                <w:rFonts w:ascii="宋体" w:hAnsi="宋体" w:cs="宋体" w:eastAsia="宋体" w:hint="default"/>
                <w:sz w:val="18"/>
                <w:szCs w:val="18"/>
              </w:rPr>
              <w:t>其他应收款坏 账准备</w:t>
            </w:r>
            <w:r>
              <w:rPr>
                <w:rFonts w:ascii="Times New Roman" w:hAnsi="Times New Roman" w:cs="Times New Roman" w:eastAsia="Times New Roman" w:hint="default"/>
                <w:sz w:val="18"/>
                <w:szCs w:val="18"/>
              </w:rPr>
              <w:t>-</w:t>
            </w:r>
            <w:r>
              <w:rPr>
                <w:rFonts w:ascii="宋体" w:hAnsi="宋体" w:cs="宋体" w:eastAsia="宋体" w:hint="default"/>
                <w:sz w:val="18"/>
                <w:szCs w:val="18"/>
              </w:rPr>
              <w:t>第一阶 段</w:t>
            </w:r>
          </w:p>
        </w:tc>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1,522,373.2</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1,940.99</w:t>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752,152.15</w:t>
            </w:r>
          </w:p>
        </w:tc>
        <w:tc>
          <w:tcPr>
            <w:tcW w:w="1092" w:type="dxa"/>
            <w:tcBorders>
              <w:top w:val="single" w:sz="4" w:space="0" w:color="000000"/>
              <w:left w:val="single" w:sz="4" w:space="0" w:color="000000"/>
              <w:bottom w:val="single" w:sz="4" w:space="0" w:color="000000"/>
              <w:right w:val="single" w:sz="4" w:space="0" w:color="000000"/>
            </w:tcBorders>
          </w:tcPr>
          <w:p>
            <w:pPr/>
          </w:p>
        </w:tc>
        <w:tc>
          <w:tcPr>
            <w:tcW w:w="1736" w:type="dxa"/>
            <w:tcBorders>
              <w:top w:val="single" w:sz="4" w:space="0" w:color="000000"/>
              <w:left w:val="single" w:sz="4" w:space="0" w:color="000000"/>
              <w:bottom w:val="single" w:sz="4" w:space="0" w:color="000000"/>
              <w:right w:val="single" w:sz="4" w:space="0" w:color="000000"/>
            </w:tcBorders>
          </w:tcPr>
          <w:p>
            <w:pP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772,162.04</w:t>
            </w:r>
          </w:p>
        </w:tc>
      </w:tr>
      <w:tr>
        <w:trPr>
          <w:trHeight w:val="1026" w:hRule="exact"/>
        </w:trPr>
        <w:tc>
          <w:tcPr>
            <w:tcW w:w="1415"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102" w:right="161"/>
              <w:jc w:val="both"/>
              <w:rPr>
                <w:rFonts w:ascii="宋体" w:hAnsi="宋体" w:cs="宋体" w:eastAsia="宋体" w:hint="default"/>
                <w:sz w:val="18"/>
                <w:szCs w:val="18"/>
              </w:rPr>
            </w:pPr>
            <w:r>
              <w:rPr>
                <w:rFonts w:ascii="宋体" w:hAnsi="宋体" w:cs="宋体" w:eastAsia="宋体" w:hint="default"/>
                <w:sz w:val="18"/>
                <w:szCs w:val="18"/>
              </w:rPr>
              <w:t>其他应收款坏 账准备</w:t>
            </w:r>
            <w:r>
              <w:rPr>
                <w:rFonts w:ascii="Times New Roman" w:hAnsi="Times New Roman" w:cs="Times New Roman" w:eastAsia="Times New Roman" w:hint="default"/>
                <w:sz w:val="18"/>
                <w:szCs w:val="18"/>
              </w:rPr>
              <w:t>-</w:t>
            </w:r>
            <w:r>
              <w:rPr>
                <w:rFonts w:ascii="宋体" w:hAnsi="宋体" w:cs="宋体" w:eastAsia="宋体" w:hint="default"/>
                <w:sz w:val="18"/>
                <w:szCs w:val="18"/>
              </w:rPr>
              <w:t>第二阶 段</w:t>
            </w:r>
          </w:p>
        </w:tc>
        <w:tc>
          <w:tcPr>
            <w:tcW w:w="1098" w:type="dxa"/>
            <w:tcBorders>
              <w:top w:val="single" w:sz="4" w:space="0" w:color="000000"/>
              <w:left w:val="single" w:sz="4" w:space="0" w:color="000000"/>
              <w:bottom w:val="single" w:sz="4" w:space="0" w:color="000000"/>
              <w:right w:val="single" w:sz="4" w:space="0" w:color="000000"/>
            </w:tcBorders>
          </w:tcPr>
          <w:p>
            <w:pPr/>
          </w:p>
        </w:tc>
        <w:tc>
          <w:tcPr>
            <w:tcW w:w="1194"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736" w:type="dxa"/>
            <w:tcBorders>
              <w:top w:val="single" w:sz="4" w:space="0" w:color="000000"/>
              <w:left w:val="single" w:sz="4" w:space="0" w:color="000000"/>
              <w:bottom w:val="single" w:sz="4" w:space="0" w:color="000000"/>
              <w:right w:val="single" w:sz="4" w:space="0" w:color="000000"/>
            </w:tcBorders>
          </w:tcPr>
          <w:p>
            <w:pPr/>
          </w:p>
        </w:tc>
        <w:tc>
          <w:tcPr>
            <w:tcW w:w="173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15"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102" w:right="161"/>
              <w:jc w:val="both"/>
              <w:rPr>
                <w:rFonts w:ascii="宋体" w:hAnsi="宋体" w:cs="宋体" w:eastAsia="宋体" w:hint="default"/>
                <w:sz w:val="18"/>
                <w:szCs w:val="18"/>
              </w:rPr>
            </w:pPr>
            <w:r>
              <w:rPr>
                <w:rFonts w:ascii="宋体" w:hAnsi="宋体" w:cs="宋体" w:eastAsia="宋体" w:hint="default"/>
                <w:sz w:val="18"/>
                <w:szCs w:val="18"/>
              </w:rPr>
              <w:t>其他应收款坏 账准备</w:t>
            </w:r>
            <w:r>
              <w:rPr>
                <w:rFonts w:ascii="Times New Roman" w:hAnsi="Times New Roman" w:cs="Times New Roman" w:eastAsia="Times New Roman" w:hint="default"/>
                <w:sz w:val="18"/>
                <w:szCs w:val="18"/>
              </w:rPr>
              <w:t>-</w:t>
            </w:r>
            <w:r>
              <w:rPr>
                <w:rFonts w:ascii="宋体" w:hAnsi="宋体" w:cs="宋体" w:eastAsia="宋体" w:hint="default"/>
                <w:sz w:val="18"/>
                <w:szCs w:val="18"/>
              </w:rPr>
              <w:t>第三阶 段</w:t>
            </w:r>
          </w:p>
        </w:tc>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7,662,360.9</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547,169.71</w:t>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324,351.95</w:t>
            </w:r>
          </w:p>
        </w:tc>
        <w:tc>
          <w:tcPr>
            <w:tcW w:w="1092" w:type="dxa"/>
            <w:tcBorders>
              <w:top w:val="single" w:sz="4" w:space="0" w:color="000000"/>
              <w:left w:val="single" w:sz="4" w:space="0" w:color="000000"/>
              <w:bottom w:val="single" w:sz="4" w:space="0" w:color="000000"/>
              <w:right w:val="single" w:sz="4" w:space="0" w:color="000000"/>
            </w:tcBorders>
          </w:tcPr>
          <w:p>
            <w:pPr/>
          </w:p>
        </w:tc>
        <w:tc>
          <w:tcPr>
            <w:tcW w:w="1736" w:type="dxa"/>
            <w:tcBorders>
              <w:top w:val="single" w:sz="4" w:space="0" w:color="000000"/>
              <w:left w:val="single" w:sz="4" w:space="0" w:color="000000"/>
              <w:bottom w:val="single" w:sz="4" w:space="0" w:color="000000"/>
              <w:right w:val="single" w:sz="4" w:space="0" w:color="000000"/>
            </w:tcBorders>
          </w:tcPr>
          <w:p>
            <w:pP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7,885,178.66</w:t>
            </w:r>
          </w:p>
        </w:tc>
      </w:tr>
      <w:tr>
        <w:trPr>
          <w:trHeight w:val="714" w:hRule="exact"/>
        </w:trPr>
        <w:tc>
          <w:tcPr>
            <w:tcW w:w="141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9,184,734.1</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549,110.70</w:t>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4" w:right="0"/>
              <w:jc w:val="left"/>
              <w:rPr>
                <w:rFonts w:ascii="Times New Roman" w:hAnsi="Times New Roman" w:cs="Times New Roman" w:eastAsia="Times New Roman" w:hint="default"/>
                <w:sz w:val="18"/>
                <w:szCs w:val="18"/>
              </w:rPr>
            </w:pPr>
            <w:r>
              <w:rPr>
                <w:rFonts w:ascii="Times New Roman"/>
                <w:sz w:val="18"/>
              </w:rPr>
              <w:t>1,076,504.10</w:t>
            </w:r>
          </w:p>
        </w:tc>
        <w:tc>
          <w:tcPr>
            <w:tcW w:w="1092" w:type="dxa"/>
            <w:tcBorders>
              <w:top w:val="single" w:sz="4" w:space="0" w:color="000000"/>
              <w:left w:val="single" w:sz="4" w:space="0" w:color="000000"/>
              <w:bottom w:val="single" w:sz="4" w:space="0" w:color="000000"/>
              <w:right w:val="single" w:sz="4" w:space="0" w:color="000000"/>
            </w:tcBorders>
          </w:tcPr>
          <w:p>
            <w:pPr/>
          </w:p>
        </w:tc>
        <w:tc>
          <w:tcPr>
            <w:tcW w:w="1736" w:type="dxa"/>
            <w:tcBorders>
              <w:top w:val="single" w:sz="4" w:space="0" w:color="000000"/>
              <w:left w:val="single" w:sz="4" w:space="0" w:color="000000"/>
              <w:bottom w:val="single" w:sz="4" w:space="0" w:color="000000"/>
              <w:right w:val="single" w:sz="4" w:space="0" w:color="000000"/>
            </w:tcBorders>
          </w:tcPr>
          <w:p>
            <w:pP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8,657,340.70</w:t>
            </w:r>
          </w:p>
        </w:tc>
      </w:tr>
    </w:tbl>
    <w:p>
      <w:pPr>
        <w:pStyle w:val="BodyText"/>
        <w:spacing w:line="240" w:lineRule="auto" w:before="49"/>
        <w:ind w:right="0"/>
        <w:jc w:val="left"/>
      </w:pPr>
      <w:r>
        <w:rPr/>
        <w:t>其中本期坏账准备转回或收回金额重要的：</w:t>
      </w:r>
    </w:p>
    <w:p>
      <w:pPr>
        <w:pStyle w:val="BodyText"/>
        <w:spacing w:line="240" w:lineRule="auto" w:before="116"/>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1"/>
        <w:gridCol w:w="3191"/>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1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959" w:right="0"/>
              <w:jc w:val="left"/>
              <w:rPr>
                <w:rFonts w:ascii="宋体" w:hAnsi="宋体" w:cs="宋体" w:eastAsia="宋体" w:hint="default"/>
                <w:sz w:val="18"/>
                <w:szCs w:val="18"/>
              </w:rPr>
            </w:pPr>
            <w:r>
              <w:rPr>
                <w:rFonts w:ascii="宋体" w:hAnsi="宋体" w:cs="宋体" w:eastAsia="宋体" w:hint="default"/>
                <w:sz w:val="18"/>
                <w:szCs w:val="18"/>
              </w:rPr>
              <w:t>转回或收回金额</w:t>
            </w:r>
          </w:p>
        </w:tc>
        <w:tc>
          <w:tcPr>
            <w:tcW w:w="31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收回方式</w:t>
            </w:r>
          </w:p>
        </w:tc>
      </w:tr>
    </w:tbl>
    <w:p>
      <w:pPr>
        <w:spacing w:line="240" w:lineRule="auto" w:before="3"/>
        <w:rPr>
          <w:rFonts w:ascii="宋体" w:hAnsi="宋体" w:cs="宋体" w:eastAsia="宋体" w:hint="default"/>
          <w:sz w:val="19"/>
          <w:szCs w:val="19"/>
        </w:rPr>
      </w:pPr>
    </w:p>
    <w:p>
      <w:pPr>
        <w:pStyle w:val="Heading3"/>
        <w:spacing w:line="240" w:lineRule="auto" w:before="35"/>
        <w:ind w:right="0"/>
        <w:jc w:val="left"/>
        <w:rPr>
          <w:b w:val="0"/>
          <w:bCs w:val="0"/>
        </w:rPr>
      </w:pPr>
      <w:r>
        <w:rPr>
          <w:rFonts w:ascii="Times New Roman" w:hAnsi="Times New Roman" w:cs="Times New Roman" w:eastAsia="Times New Roman" w:hint="default"/>
        </w:rPr>
        <w:t>4</w:t>
      </w:r>
      <w:r>
        <w:rPr/>
        <w:t>）本期实际核销的其他应收款情况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11"/>
        <w:rPr>
          <w:rFonts w:ascii="宋体" w:hAnsi="宋体" w:cs="宋体" w:eastAsia="宋体" w:hint="default"/>
          <w:sz w:val="7"/>
          <w:szCs w:val="7"/>
        </w:rPr>
      </w:pPr>
    </w:p>
    <w:p>
      <w:pPr>
        <w:spacing w:line="416" w:lineRule="exact"/>
        <w:ind w:left="104"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9.35pt;height:20.85pt;mso-position-horizontal-relative:char;mso-position-vertical-relative:line" coordorigin="0,0" coordsize="9587,417">
            <v:group style="position:absolute;left:13;top:13;width:4772;height:393" coordorigin="13,13" coordsize="4772,393">
              <v:shape style="position:absolute;left:13;top:13;width:4772;height:393" coordorigin="13,13" coordsize="4772,393" path="m13,13l4784,13,4784,406,13,406,13,13xe" filled="true" fillcolor="#d3d3d3" stroked="false">
                <v:path arrowok="t"/>
                <v:fill type="solid"/>
              </v:shape>
            </v:group>
            <v:group style="position:absolute;left:4793;top:13;width:4779;height:393" coordorigin="4793,13" coordsize="4779,393">
              <v:shape style="position:absolute;left:4793;top:13;width:4779;height:393" coordorigin="4793,13" coordsize="4779,393" path="m4793,13l9572,13,9572,406,4793,406,4793,13xe" filled="true" fillcolor="#d3d3d3" stroked="false">
                <v:path arrowok="t"/>
                <v:fill type="solid"/>
              </v:shape>
            </v:group>
            <v:group style="position:absolute;left:5;top:10;width:9578;height:2" coordorigin="5,10" coordsize="9578,2">
              <v:shape style="position:absolute;left:5;top:10;width:9578;height:2" coordorigin="5,10" coordsize="9578,0" path="m5,10l9582,10e" filled="false" stroked="true" strokeweight=".48pt" strokecolor="#000000">
                <v:path arrowok="t"/>
              </v:shape>
            </v:group>
            <v:group style="position:absolute;left:5;top:412;width:9578;height:2" coordorigin="5,412" coordsize="9578,2">
              <v:shape style="position:absolute;left:5;top:412;width:9578;height:2" coordorigin="5,412" coordsize="9578,0" path="m5,412l9582,412e" filled="false" stroked="true" strokeweight=".48pt" strokecolor="#000000">
                <v:path arrowok="t"/>
              </v:shape>
            </v:group>
            <v:group style="position:absolute;left:10;top:5;width:2;height:402" coordorigin="10,5" coordsize="2,402">
              <v:shape style="position:absolute;left:10;top:5;width:2;height:402" coordorigin="10,5" coordsize="0,402" path="m10,5l10,407e" filled="false" stroked="true" strokeweight=".48pt" strokecolor="#000000">
                <v:path arrowok="t"/>
              </v:shape>
            </v:group>
            <v:group style="position:absolute;left:4789;top:5;width:2;height:402" coordorigin="4789,5" coordsize="2,402">
              <v:shape style="position:absolute;left:4789;top:5;width:2;height:402" coordorigin="4789,5" coordsize="0,402" path="m4789,5l4789,407e" filled="false" stroked="true" strokeweight=".48pt" strokecolor="#000000">
                <v:path arrowok="t"/>
              </v:shape>
            </v:group>
            <v:group style="position:absolute;left:9577;top:5;width:2;height:402" coordorigin="9577,5" coordsize="2,402">
              <v:shape style="position:absolute;left:9577;top:5;width:2;height:402" coordorigin="9577,5" coordsize="0,402" path="m9577,5l9577,407e" filled="false" stroked="true" strokeweight=".48pt" strokecolor="#000000">
                <v:path arrowok="t"/>
              </v:shape>
              <v:shape style="position:absolute;left:2219;top:11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4789;top:10;width:4788;height:402" type="#_x0000_t202" filled="false" stroked="false">
                <v:textbox inset="0,0,0,0">
                  <w:txbxContent>
                    <w:p>
                      <w:pPr>
                        <w:spacing w:before="53"/>
                        <w:ind w:left="0" w:right="0" w:firstLine="0"/>
                        <w:jc w:val="center"/>
                        <w:rPr>
                          <w:rFonts w:ascii="宋体" w:hAnsi="宋体" w:cs="宋体" w:eastAsia="宋体" w:hint="default"/>
                          <w:sz w:val="18"/>
                          <w:szCs w:val="18"/>
                        </w:rPr>
                      </w:pPr>
                      <w:r>
                        <w:rPr>
                          <w:rFonts w:ascii="宋体" w:hAnsi="宋体" w:cs="宋体" w:eastAsia="宋体" w:hint="default"/>
                          <w:sz w:val="18"/>
                          <w:szCs w:val="18"/>
                        </w:rPr>
                        <w:t>核销金额</w:t>
                      </w:r>
                    </w:p>
                  </w:txbxContent>
                </v:textbox>
                <w10:wrap type="none"/>
              </v:shape>
            </v:group>
          </v:group>
        </w:pict>
      </w:r>
      <w:r>
        <w:rPr>
          <w:rFonts w:ascii="宋体" w:hAnsi="宋体" w:cs="宋体" w:eastAsia="宋体" w:hint="default"/>
          <w:position w:val="-7"/>
          <w:sz w:val="20"/>
          <w:szCs w:val="20"/>
        </w:rPr>
      </w:r>
    </w:p>
    <w:p>
      <w:pPr>
        <w:pStyle w:val="BodyText"/>
        <w:spacing w:line="240" w:lineRule="auto" w:before="49"/>
        <w:ind w:right="0"/>
        <w:jc w:val="left"/>
      </w:pPr>
      <w:r>
        <w:rPr/>
        <w:t>其中重要的其他应收款核销情况：</w:t>
      </w:r>
    </w:p>
    <w:p>
      <w:pPr>
        <w:pStyle w:val="BodyText"/>
        <w:spacing w:line="240" w:lineRule="auto" w:before="116"/>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594"/>
        <w:gridCol w:w="1594"/>
        <w:gridCol w:w="1594"/>
        <w:gridCol w:w="1594"/>
        <w:gridCol w:w="1595"/>
        <w:gridCol w:w="1595"/>
      </w:tblGrid>
      <w:tr>
        <w:trPr>
          <w:trHeight w:val="713"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62" w:right="0"/>
              <w:jc w:val="left"/>
              <w:rPr>
                <w:rFonts w:ascii="宋体" w:hAnsi="宋体" w:cs="宋体" w:eastAsia="宋体" w:hint="default"/>
                <w:sz w:val="18"/>
                <w:szCs w:val="18"/>
              </w:rPr>
            </w:pPr>
            <w:r>
              <w:rPr>
                <w:rFonts w:ascii="宋体" w:hAnsi="宋体" w:cs="宋体" w:eastAsia="宋体" w:hint="default"/>
                <w:sz w:val="18"/>
                <w:szCs w:val="18"/>
              </w:rPr>
              <w:t>其他应收款性质</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15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62" w:right="0"/>
              <w:jc w:val="left"/>
              <w:rPr>
                <w:rFonts w:ascii="宋体" w:hAnsi="宋体" w:cs="宋体" w:eastAsia="宋体" w:hint="default"/>
                <w:sz w:val="18"/>
                <w:szCs w:val="18"/>
              </w:rPr>
            </w:pPr>
            <w:r>
              <w:rPr>
                <w:rFonts w:ascii="宋体" w:hAnsi="宋体" w:cs="宋体" w:eastAsia="宋体" w:hint="default"/>
                <w:sz w:val="18"/>
                <w:szCs w:val="18"/>
              </w:rPr>
              <w:t>履行的核销程序</w:t>
            </w:r>
          </w:p>
        </w:tc>
        <w:tc>
          <w:tcPr>
            <w:tcW w:w="15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432" w:right="161" w:hanging="270"/>
              <w:jc w:val="left"/>
              <w:rPr>
                <w:rFonts w:ascii="宋体" w:hAnsi="宋体" w:cs="宋体" w:eastAsia="宋体" w:hint="default"/>
                <w:sz w:val="18"/>
                <w:szCs w:val="18"/>
              </w:rPr>
            </w:pPr>
            <w:r>
              <w:rPr>
                <w:rFonts w:ascii="宋体" w:hAnsi="宋体" w:cs="宋体" w:eastAsia="宋体" w:hint="default"/>
                <w:sz w:val="18"/>
                <w:szCs w:val="18"/>
              </w:rPr>
              <w:t>款项是否由关联 交易产生</w:t>
            </w:r>
          </w:p>
        </w:tc>
      </w:tr>
    </w:tbl>
    <w:p>
      <w:pPr>
        <w:spacing w:after="0" w:line="316" w:lineRule="auto"/>
        <w:jc w:val="left"/>
        <w:rPr>
          <w:rFonts w:ascii="宋体" w:hAnsi="宋体" w:cs="宋体" w:eastAsia="宋体" w:hint="default"/>
          <w:sz w:val="18"/>
          <w:szCs w:val="18"/>
        </w:rPr>
        <w:sectPr>
          <w:pgSz w:w="11910" w:h="16840"/>
          <w:pgMar w:header="906" w:footer="1018" w:top="1100" w:bottom="1200" w:left="1020" w:right="0"/>
        </w:sectPr>
      </w:pPr>
    </w:p>
    <w:p>
      <w:pPr>
        <w:spacing w:line="240" w:lineRule="auto" w:before="11"/>
        <w:rPr>
          <w:rFonts w:ascii="宋体" w:hAnsi="宋体" w:cs="宋体" w:eastAsia="宋体" w:hint="default"/>
          <w:sz w:val="22"/>
          <w:szCs w:val="22"/>
        </w:rPr>
      </w:pPr>
    </w:p>
    <w:p>
      <w:pPr>
        <w:pStyle w:val="BodyText"/>
        <w:spacing w:line="240" w:lineRule="auto" w:before="44"/>
        <w:ind w:right="0"/>
        <w:jc w:val="left"/>
      </w:pPr>
      <w:r>
        <w:rPr/>
        <w:t>其他应收款核销说明：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5</w:t>
      </w:r>
      <w:r>
        <w:rPr/>
        <w:t>）按欠款方归集的期末余额前五名的其他应收款情况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594"/>
        <w:gridCol w:w="1594"/>
        <w:gridCol w:w="1594"/>
        <w:gridCol w:w="1594"/>
        <w:gridCol w:w="1595"/>
        <w:gridCol w:w="1595"/>
      </w:tblGrid>
      <w:tr>
        <w:trPr>
          <w:trHeight w:val="1026"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432"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342" w:right="0"/>
              <w:jc w:val="left"/>
              <w:rPr>
                <w:rFonts w:ascii="宋体" w:hAnsi="宋体" w:cs="宋体" w:eastAsia="宋体" w:hint="default"/>
                <w:sz w:val="18"/>
                <w:szCs w:val="18"/>
              </w:rPr>
            </w:pPr>
            <w:r>
              <w:rPr>
                <w:rFonts w:ascii="宋体" w:hAnsi="宋体" w:cs="宋体" w:eastAsia="宋体" w:hint="default"/>
                <w:sz w:val="18"/>
                <w:szCs w:val="18"/>
              </w:rPr>
              <w:t>款项的性质</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43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5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62" w:right="161"/>
              <w:jc w:val="center"/>
              <w:rPr>
                <w:rFonts w:ascii="宋体" w:hAnsi="宋体" w:cs="宋体" w:eastAsia="宋体" w:hint="default"/>
                <w:sz w:val="18"/>
                <w:szCs w:val="18"/>
              </w:rPr>
            </w:pPr>
            <w:r>
              <w:rPr>
                <w:rFonts w:ascii="宋体" w:hAnsi="宋体" w:cs="宋体" w:eastAsia="宋体" w:hint="default"/>
                <w:sz w:val="18"/>
                <w:szCs w:val="18"/>
              </w:rPr>
              <w:t>占其他应收款期 末余额合计数的 比例</w:t>
            </w:r>
          </w:p>
        </w:tc>
        <w:tc>
          <w:tcPr>
            <w:tcW w:w="15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319" w:lineRule="auto"/>
              <w:ind w:left="702" w:right="161" w:hanging="540"/>
              <w:jc w:val="left"/>
              <w:rPr>
                <w:rFonts w:ascii="宋体" w:hAnsi="宋体" w:cs="宋体" w:eastAsia="宋体" w:hint="default"/>
                <w:sz w:val="18"/>
                <w:szCs w:val="18"/>
              </w:rPr>
            </w:pPr>
            <w:r>
              <w:rPr>
                <w:rFonts w:ascii="宋体" w:hAnsi="宋体" w:cs="宋体" w:eastAsia="宋体" w:hint="default"/>
                <w:sz w:val="18"/>
                <w:szCs w:val="18"/>
              </w:rPr>
              <w:t>坏账准备期末余 额</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代垫款</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4,233,360.84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 </w:t>
            </w:r>
            <w:r>
              <w:rPr>
                <w:rFonts w:ascii="宋体" w:hAnsi="宋体" w:cs="宋体" w:eastAsia="宋体" w:hint="default"/>
                <w:sz w:val="18"/>
                <w:szCs w:val="18"/>
              </w:rPr>
              <w:t>年以上</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24.26%</w:t>
            </w:r>
            <w:r>
              <w:rPr>
                <w:rFonts w:ascii="Times New Roman"/>
                <w:sz w:val="18"/>
              </w:rPr>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4,233,360.84</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押金及保证金</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3,000,000.00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17.20%</w:t>
            </w:r>
            <w:r>
              <w:rPr>
                <w:rFonts w:ascii="Times New Roman"/>
                <w:sz w:val="18"/>
              </w:rPr>
            </w: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押金及保证金</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777,600.00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 </w:t>
            </w:r>
            <w:r>
              <w:rPr>
                <w:rFonts w:ascii="宋体" w:hAnsi="宋体" w:cs="宋体" w:eastAsia="宋体" w:hint="default"/>
                <w:sz w:val="18"/>
                <w:szCs w:val="18"/>
              </w:rPr>
              <w:t>年以上</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4.46%</w:t>
            </w:r>
            <w:r>
              <w:rPr>
                <w:rFonts w:ascii="Times New Roman"/>
                <w:sz w:val="18"/>
              </w:rPr>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777,600.00</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押金及保证金</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450,000.00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 </w:t>
            </w:r>
            <w:r>
              <w:rPr>
                <w:rFonts w:ascii="宋体" w:hAnsi="宋体" w:cs="宋体" w:eastAsia="宋体" w:hint="default"/>
                <w:sz w:val="18"/>
                <w:szCs w:val="18"/>
              </w:rPr>
              <w:t>年以上</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2.58%</w:t>
            </w:r>
            <w:r>
              <w:rPr>
                <w:rFonts w:ascii="Times New Roman"/>
                <w:sz w:val="18"/>
              </w:rPr>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450,000.00</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押金及保证金</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350,000.00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102" w:right="129"/>
              <w:jc w:val="left"/>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年以内、</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 上</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2.01%</w:t>
            </w:r>
            <w:r>
              <w:rPr>
                <w:rFonts w:ascii="Times New Roman"/>
                <w:sz w:val="18"/>
              </w:rPr>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102,500.00</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8,810,960.84</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50.51%</w:t>
            </w:r>
            <w:r>
              <w:rPr>
                <w:rFonts w:ascii="Times New Roman"/>
                <w:sz w:val="18"/>
              </w:rPr>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5,563,460.84</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r>
        <w:rPr>
          <w:rFonts w:ascii="Times New Roman" w:hAnsi="Times New Roman" w:cs="Times New Roman" w:eastAsia="Times New Roman" w:hint="default"/>
        </w:rPr>
        <w:t>6</w:t>
      </w:r>
      <w:r>
        <w:rPr/>
        <w:t>）涉及政府补助的应收款项</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4"/>
        <w:gridCol w:w="1914"/>
        <w:gridCol w:w="1914"/>
        <w:gridCol w:w="1916"/>
      </w:tblGrid>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2" w:right="0"/>
              <w:jc w:val="left"/>
              <w:rPr>
                <w:rFonts w:ascii="宋体" w:hAnsi="宋体" w:cs="宋体" w:eastAsia="宋体" w:hint="default"/>
                <w:sz w:val="18"/>
                <w:szCs w:val="18"/>
              </w:rPr>
            </w:pPr>
            <w:r>
              <w:rPr>
                <w:rFonts w:ascii="宋体" w:hAnsi="宋体" w:cs="宋体" w:eastAsia="宋体" w:hint="default"/>
                <w:sz w:val="18"/>
                <w:szCs w:val="18"/>
              </w:rPr>
              <w:t>政府补助项目名称</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期末账龄</w:t>
            </w:r>
          </w:p>
        </w:tc>
        <w:tc>
          <w:tcPr>
            <w:tcW w:w="1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49"/>
              <w:ind w:left="593" w:right="142" w:hanging="450"/>
              <w:jc w:val="left"/>
              <w:rPr>
                <w:rFonts w:ascii="宋体" w:hAnsi="宋体" w:cs="宋体" w:eastAsia="宋体" w:hint="default"/>
                <w:sz w:val="18"/>
                <w:szCs w:val="18"/>
              </w:rPr>
            </w:pPr>
            <w:r>
              <w:rPr>
                <w:rFonts w:ascii="宋体" w:hAnsi="宋体" w:cs="宋体" w:eastAsia="宋体" w:hint="default"/>
                <w:sz w:val="18"/>
                <w:szCs w:val="18"/>
              </w:rPr>
              <w:t>预计收取的时间、金 额及依据</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r>
        <w:rPr>
          <w:rFonts w:ascii="Times New Roman" w:hAnsi="Times New Roman" w:cs="Times New Roman" w:eastAsia="Times New Roman" w:hint="default"/>
        </w:rPr>
        <w:t>7</w:t>
      </w:r>
      <w:r>
        <w:rPr/>
        <w:t>）因金融资产转移而终止确认的其他应收款</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13"/>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8</w:t>
      </w:r>
      <w:r>
        <w:rPr/>
        <w:t>）转移其他应收款且继续涉入形成的资产、负债金额</w:t>
      </w:r>
      <w:r>
        <w:rPr>
          <w:b w:val="0"/>
          <w:bCs w:val="0"/>
        </w:rPr>
      </w:r>
    </w:p>
    <w:p>
      <w:pPr>
        <w:spacing w:line="240" w:lineRule="auto" w:before="7"/>
        <w:rPr>
          <w:rFonts w:ascii="宋体" w:hAnsi="宋体" w:cs="宋体" w:eastAsia="宋体" w:hint="default"/>
          <w:b/>
          <w:bCs/>
          <w:sz w:val="26"/>
          <w:szCs w:val="26"/>
        </w:rPr>
      </w:pPr>
    </w:p>
    <w:p>
      <w:pPr>
        <w:pStyle w:val="BodyText"/>
        <w:spacing w:line="357" w:lineRule="auto"/>
        <w:ind w:right="9852"/>
        <w:jc w:val="left"/>
      </w:pPr>
      <w:r>
        <w:rPr/>
        <w:t>无 其他说明：</w:t>
      </w:r>
    </w:p>
    <w:p>
      <w:pPr>
        <w:spacing w:line="240" w:lineRule="auto" w:before="3"/>
        <w:rPr>
          <w:rFonts w:ascii="宋体" w:hAnsi="宋体" w:cs="宋体" w:eastAsia="宋体" w:hint="default"/>
          <w:sz w:val="20"/>
          <w:szCs w:val="20"/>
        </w:rPr>
      </w:pPr>
    </w:p>
    <w:p>
      <w:pPr>
        <w:pStyle w:val="Heading3"/>
        <w:spacing w:line="240" w:lineRule="auto"/>
        <w:ind w:right="0"/>
        <w:jc w:val="left"/>
        <w:rPr>
          <w:b w:val="0"/>
          <w:bCs w:val="0"/>
        </w:rPr>
      </w:pPr>
      <w:r>
        <w:rPr>
          <w:rFonts w:ascii="Times New Roman" w:hAnsi="Times New Roman" w:cs="Times New Roman" w:eastAsia="Times New Roman" w:hint="default"/>
        </w:rPr>
        <w:t>9</w:t>
      </w:r>
      <w:r>
        <w:rPr/>
        <w:t>、存货</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是否已执行新收入准则</w:t>
      </w:r>
    </w:p>
    <w:p>
      <w:pPr>
        <w:pStyle w:val="BodyText"/>
        <w:spacing w:line="240" w:lineRule="auto" w:before="116"/>
        <w:ind w:right="0"/>
        <w:jc w:val="left"/>
      </w:pPr>
      <w:r>
        <w:rPr/>
        <w:t>□ 是 √ 否</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t>（</w:t>
      </w:r>
      <w:r>
        <w:rPr>
          <w:rFonts w:ascii="Times New Roman" w:hAnsi="Times New Roman" w:cs="Times New Roman" w:eastAsia="Times New Roman" w:hint="default"/>
        </w:rPr>
        <w:t>1</w:t>
      </w:r>
      <w:r>
        <w:rPr/>
        <w:t>）存货分类</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8"/>
        <w:gridCol w:w="1368"/>
        <w:gridCol w:w="1367"/>
        <w:gridCol w:w="1367"/>
        <w:gridCol w:w="1367"/>
        <w:gridCol w:w="1367"/>
        <w:gridCol w:w="1367"/>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1" w:type="dxa"/>
            <w:gridSpan w:val="3"/>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1368" w:type="dxa"/>
            <w:vMerge/>
            <w:tcBorders>
              <w:left w:val="single" w:sz="4" w:space="0" w:color="000000"/>
              <w:bottom w:val="single" w:sz="4" w:space="0" w:color="000000"/>
              <w:right w:val="single" w:sz="4" w:space="0" w:color="000000"/>
            </w:tcBorders>
            <w:shd w:val="clear" w:color="auto" w:fill="D3D3D3"/>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31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317"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31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31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318"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318"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spacing w:after="0" w:line="240" w:lineRule="auto"/>
        <w:jc w:val="left"/>
        <w:rPr>
          <w:rFonts w:ascii="宋体" w:hAnsi="宋体" w:cs="宋体" w:eastAsia="宋体" w:hint="default"/>
          <w:sz w:val="18"/>
          <w:szCs w:val="18"/>
        </w:rPr>
        <w:sectPr>
          <w:pgSz w:w="11910" w:h="16840"/>
          <w:pgMar w:header="906" w:footer="1018" w:top="1100" w:bottom="1200" w:left="1020" w:right="0"/>
        </w:sectPr>
      </w:pPr>
    </w:p>
    <w:p>
      <w:pPr>
        <w:spacing w:line="240" w:lineRule="auto" w:before="7"/>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368"/>
        <w:gridCol w:w="1368"/>
        <w:gridCol w:w="1367"/>
        <w:gridCol w:w="1367"/>
        <w:gridCol w:w="1367"/>
        <w:gridCol w:w="1367"/>
        <w:gridCol w:w="1367"/>
      </w:tblGrid>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29,052,240.78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5,537,315.03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23,514,925.75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25,049,668.83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2,149,898.49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22,899,770.34</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28,292,542.23</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28,292,542.23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29,189,343.44</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29,189,343.44</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151,621,882.45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1,985,697.73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149,636,184.72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148,622,000.22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4,954,416.26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143,667,583.96</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周转材料</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385,080.18</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385,080.18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396,037.55</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396,037.55</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209,351,745.64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7,523,012.76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201,828,732.88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203,257,050.04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7,104,314.75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196,152,735.29</w:t>
            </w:r>
          </w:p>
        </w:tc>
      </w:tr>
    </w:tbl>
    <w:p>
      <w:pPr>
        <w:spacing w:line="240" w:lineRule="auto" w:before="3"/>
        <w:rPr>
          <w:rFonts w:ascii="宋体" w:hAnsi="宋体" w:cs="宋体" w:eastAsia="宋体" w:hint="default"/>
          <w:sz w:val="19"/>
          <w:szCs w:val="19"/>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2</w:t>
      </w:r>
      <w:r>
        <w:rPr/>
        <w:t>）存货跌价准备</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8"/>
        <w:gridCol w:w="1368"/>
        <w:gridCol w:w="1367"/>
        <w:gridCol w:w="1367"/>
        <w:gridCol w:w="1367"/>
        <w:gridCol w:w="1367"/>
        <w:gridCol w:w="1367"/>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368"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18"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821"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822"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367"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18"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368" w:type="dxa"/>
            <w:vMerge/>
            <w:tcBorders>
              <w:left w:val="single" w:sz="4" w:space="0" w:color="000000"/>
              <w:bottom w:val="single" w:sz="4" w:space="0" w:color="000000"/>
              <w:right w:val="single" w:sz="4" w:space="0" w:color="000000"/>
            </w:tcBorders>
            <w:shd w:val="clear" w:color="auto" w:fill="D3D3D3"/>
          </w:tcPr>
          <w:p>
            <w:pPr/>
          </w:p>
        </w:tc>
        <w:tc>
          <w:tcPr>
            <w:tcW w:w="1368" w:type="dxa"/>
            <w:vMerge/>
            <w:tcBorders>
              <w:left w:val="single" w:sz="4" w:space="0" w:color="000000"/>
              <w:bottom w:val="single" w:sz="4" w:space="0" w:color="000000"/>
              <w:right w:val="single" w:sz="4" w:space="0" w:color="000000"/>
            </w:tcBorders>
            <w:shd w:val="clear" w:color="auto" w:fill="D3D3D3"/>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计提</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其他</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228" w:right="0"/>
              <w:jc w:val="left"/>
              <w:rPr>
                <w:rFonts w:ascii="宋体" w:hAnsi="宋体" w:cs="宋体" w:eastAsia="宋体" w:hint="default"/>
                <w:sz w:val="18"/>
                <w:szCs w:val="18"/>
              </w:rPr>
            </w:pPr>
            <w:r>
              <w:rPr>
                <w:rFonts w:ascii="宋体" w:hAnsi="宋体" w:cs="宋体" w:eastAsia="宋体" w:hint="default"/>
                <w:sz w:val="18"/>
                <w:szCs w:val="18"/>
              </w:rPr>
              <w:t>转回或转销</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其他</w:t>
            </w:r>
          </w:p>
        </w:tc>
        <w:tc>
          <w:tcPr>
            <w:tcW w:w="1367" w:type="dxa"/>
            <w:vMerge/>
            <w:tcBorders>
              <w:left w:val="single" w:sz="4" w:space="0" w:color="000000"/>
              <w:bottom w:val="single" w:sz="4" w:space="0" w:color="000000"/>
              <w:right w:val="single" w:sz="4" w:space="0" w:color="000000"/>
            </w:tcBorders>
            <w:shd w:val="clear" w:color="auto" w:fill="D3D3D3"/>
          </w:tcPr>
          <w:p>
            <w:pP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2,149,898.49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5,194,032.99</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1,806,616.45</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5,537,315.03</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4,954,416.26</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2,968,718.53</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1,985,697.73</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7,104,314.75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5,194,032.99</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4,775,334.98</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7,523,012.76</w:t>
            </w:r>
          </w:p>
        </w:tc>
      </w:tr>
    </w:tbl>
    <w:p>
      <w:pPr>
        <w:spacing w:line="240" w:lineRule="auto" w:before="3"/>
        <w:rPr>
          <w:rFonts w:ascii="宋体" w:hAnsi="宋体" w:cs="宋体" w:eastAsia="宋体" w:hint="default"/>
          <w:sz w:val="19"/>
          <w:szCs w:val="19"/>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3</w:t>
      </w:r>
      <w:r>
        <w:rPr/>
        <w:t>）存货期末余额含有借款费用资本化金额的说明</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t>（</w:t>
      </w:r>
      <w:r>
        <w:rPr>
          <w:rFonts w:ascii="Times New Roman" w:hAnsi="Times New Roman" w:cs="Times New Roman" w:eastAsia="Times New Roman" w:hint="default"/>
        </w:rPr>
        <w:t>4</w:t>
      </w:r>
      <w:r>
        <w:rPr/>
        <w:t>）期末建造合同形成的已完工未结算资产情况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11"/>
        <w:rPr>
          <w:rFonts w:ascii="宋体" w:hAnsi="宋体" w:cs="宋体" w:eastAsia="宋体" w:hint="default"/>
          <w:sz w:val="7"/>
          <w:szCs w:val="7"/>
        </w:rPr>
      </w:pPr>
    </w:p>
    <w:p>
      <w:pPr>
        <w:spacing w:line="416" w:lineRule="exact"/>
        <w:ind w:left="104"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9.35pt;height:20.85pt;mso-position-horizontal-relative:char;mso-position-vertical-relative:line" coordorigin="0,0" coordsize="9587,417">
            <v:group style="position:absolute;left:13;top:13;width:4775;height:393" coordorigin="13,13" coordsize="4775,393">
              <v:shape style="position:absolute;left:13;top:13;width:4775;height:393" coordorigin="13,13" coordsize="4775,393" path="m13,13l4787,13,4787,406,13,406,13,13xe" filled="true" fillcolor="#d3d3d3" stroked="false">
                <v:path arrowok="t"/>
                <v:fill type="solid"/>
              </v:shape>
            </v:group>
            <v:group style="position:absolute;left:4796;top:13;width:4776;height:393" coordorigin="4796,13" coordsize="4776,393">
              <v:shape style="position:absolute;left:4796;top:13;width:4776;height:393" coordorigin="4796,13" coordsize="4776,393" path="m4796,13l9572,13,9572,406,4796,406,4796,13xe" filled="true" fillcolor="#d3d3d3" stroked="false">
                <v:path arrowok="t"/>
                <v:fill type="solid"/>
              </v:shape>
            </v:group>
            <v:group style="position:absolute;left:5;top:10;width:9578;height:2" coordorigin="5,10" coordsize="9578,2">
              <v:shape style="position:absolute;left:5;top:10;width:9578;height:2" coordorigin="5,10" coordsize="9578,0" path="m5,10l9582,10e" filled="false" stroked="true" strokeweight=".48pt" strokecolor="#000000">
                <v:path arrowok="t"/>
              </v:shape>
            </v:group>
            <v:group style="position:absolute;left:5;top:412;width:9578;height:2" coordorigin="5,412" coordsize="9578,2">
              <v:shape style="position:absolute;left:5;top:412;width:9578;height:2" coordorigin="5,412" coordsize="9578,0" path="m5,412l9582,412e" filled="false" stroked="true" strokeweight=".48pt" strokecolor="#000000">
                <v:path arrowok="t"/>
              </v:shape>
            </v:group>
            <v:group style="position:absolute;left:10;top:5;width:2;height:402" coordorigin="10,5" coordsize="2,402">
              <v:shape style="position:absolute;left:10;top:5;width:2;height:402" coordorigin="10,5" coordsize="0,402" path="m10,5l10,407e" filled="false" stroked="true" strokeweight=".48pt" strokecolor="#000000">
                <v:path arrowok="t"/>
              </v:shape>
            </v:group>
            <v:group style="position:absolute;left:4792;top:5;width:2;height:402" coordorigin="4792,5" coordsize="2,402">
              <v:shape style="position:absolute;left:4792;top:5;width:2;height:402" coordorigin="4792,5" coordsize="0,402" path="m4792,5l4792,407e" filled="false" stroked="true" strokeweight=".48pt" strokecolor="#000000">
                <v:path arrowok="t"/>
              </v:shape>
            </v:group>
            <v:group style="position:absolute;left:9577;top:5;width:2;height:402" coordorigin="9577,5" coordsize="2,402">
              <v:shape style="position:absolute;left:9577;top:5;width:2;height:402" coordorigin="9577,5" coordsize="0,402" path="m9577,5l9577,407e" filled="false" stroked="true" strokeweight=".48pt" strokecolor="#000000">
                <v:path arrowok="t"/>
              </v:shape>
              <v:shape style="position:absolute;left:2220;top:11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7004;top:11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group>
          </v:group>
        </w:pict>
      </w:r>
      <w:r>
        <w:rPr>
          <w:rFonts w:ascii="宋体" w:hAnsi="宋体" w:cs="宋体" w:eastAsia="宋体" w:hint="default"/>
          <w:position w:val="-7"/>
          <w:sz w:val="20"/>
          <w:szCs w:val="20"/>
        </w:rPr>
      </w:r>
    </w:p>
    <w:p>
      <w:pPr>
        <w:pStyle w:val="BodyText"/>
        <w:spacing w:line="240" w:lineRule="auto" w:before="49"/>
        <w:ind w:right="0"/>
        <w:jc w:val="left"/>
      </w:pPr>
      <w:r>
        <w:rPr/>
        <w:t>其他说明：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10</w:t>
      </w:r>
      <w:r>
        <w:rPr/>
        <w:t>、合同资产</w:t>
      </w:r>
      <w:r>
        <w:rPr>
          <w:b w:val="0"/>
          <w:bCs w:val="0"/>
        </w:rPr>
      </w:r>
    </w:p>
    <w:p>
      <w:pPr>
        <w:spacing w:line="240" w:lineRule="auto" w:before="2"/>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132"/>
        <w:gridCol w:w="1196"/>
        <w:gridCol w:w="1329"/>
        <w:gridCol w:w="1195"/>
        <w:gridCol w:w="1196"/>
        <w:gridCol w:w="1196"/>
        <w:gridCol w:w="1324"/>
      </w:tblGrid>
      <w:tr>
        <w:trPr>
          <w:trHeight w:val="402" w:hRule="exact"/>
        </w:trPr>
        <w:tc>
          <w:tcPr>
            <w:tcW w:w="2132"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720" w:type="dxa"/>
            <w:gridSpan w:val="3"/>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716" w:type="dxa"/>
            <w:gridSpan w:val="3"/>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2132" w:type="dxa"/>
            <w:vMerge/>
            <w:tcBorders>
              <w:left w:val="single" w:sz="4" w:space="0" w:color="000000"/>
              <w:bottom w:val="single" w:sz="4" w:space="0" w:color="000000"/>
              <w:right w:val="single" w:sz="4" w:space="0" w:color="000000"/>
            </w:tcBorders>
            <w:shd w:val="clear" w:color="auto" w:fill="D3D3D3"/>
          </w:tcPr>
          <w:p>
            <w:pPr/>
          </w:p>
        </w:tc>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23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2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299"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1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232"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23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233"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2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297"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pStyle w:val="BodyText"/>
        <w:spacing w:line="240" w:lineRule="auto" w:before="50"/>
        <w:ind w:right="0"/>
        <w:jc w:val="left"/>
      </w:pPr>
      <w:r>
        <w:rPr/>
        <w:t>合同资产的账面价值在本期内发生的重大变动金额和原因：</w:t>
      </w:r>
    </w:p>
    <w:p>
      <w:pPr>
        <w:pStyle w:val="BodyText"/>
        <w:spacing w:line="240" w:lineRule="auto" w:before="116"/>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205"/>
        <w:gridCol w:w="2419"/>
        <w:gridCol w:w="4944"/>
      </w:tblGrid>
      <w:tr>
        <w:trPr>
          <w:trHeight w:val="402" w:hRule="exact"/>
        </w:trPr>
        <w:tc>
          <w:tcPr>
            <w:tcW w:w="220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41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变动金额</w:t>
            </w:r>
          </w:p>
        </w:tc>
        <w:tc>
          <w:tcPr>
            <w:tcW w:w="494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变动原因</w:t>
            </w:r>
          </w:p>
        </w:tc>
      </w:tr>
    </w:tbl>
    <w:p>
      <w:pPr>
        <w:pStyle w:val="BodyText"/>
        <w:spacing w:line="240" w:lineRule="auto" w:before="50"/>
        <w:ind w:right="0"/>
        <w:jc w:val="left"/>
      </w:pPr>
      <w:r>
        <w:rPr/>
        <w:t>如是按照预期信用损失一般模型计提合同资产坏账准备，请参照其他应收款的披露方式披露坏账准备的相关信息：</w:t>
      </w:r>
    </w:p>
    <w:p>
      <w:pPr>
        <w:pStyle w:val="BodyText"/>
        <w:spacing w:line="360" w:lineRule="auto" w:before="116"/>
        <w:ind w:right="8232"/>
        <w:jc w:val="left"/>
      </w:pPr>
      <w:r>
        <w:rPr/>
        <w:t>□ 适用 √ 不适用 本期合同资产计提减值准备情况</w:t>
      </w:r>
    </w:p>
    <w:p>
      <w:pPr>
        <w:pStyle w:val="BodyText"/>
        <w:spacing w:line="240" w:lineRule="auto" w:before="26"/>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3"/>
        <w:gridCol w:w="1915"/>
        <w:gridCol w:w="1914"/>
        <w:gridCol w:w="1914"/>
        <w:gridCol w:w="1914"/>
      </w:tblGrid>
      <w:tr>
        <w:trPr>
          <w:trHeight w:val="402" w:hRule="exact"/>
        </w:trPr>
        <w:tc>
          <w:tcPr>
            <w:tcW w:w="191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91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592" w:right="0"/>
              <w:jc w:val="left"/>
              <w:rPr>
                <w:rFonts w:ascii="宋体" w:hAnsi="宋体" w:cs="宋体" w:eastAsia="宋体" w:hint="default"/>
                <w:sz w:val="18"/>
                <w:szCs w:val="18"/>
              </w:rPr>
            </w:pPr>
            <w:r>
              <w:rPr>
                <w:rFonts w:ascii="宋体" w:hAnsi="宋体" w:cs="宋体" w:eastAsia="宋体" w:hint="default"/>
                <w:sz w:val="18"/>
                <w:szCs w:val="18"/>
              </w:rPr>
              <w:t>本期计提</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591" w:right="0"/>
              <w:jc w:val="left"/>
              <w:rPr>
                <w:rFonts w:ascii="宋体" w:hAnsi="宋体" w:cs="宋体" w:eastAsia="宋体" w:hint="default"/>
                <w:sz w:val="18"/>
                <w:szCs w:val="18"/>
              </w:rPr>
            </w:pPr>
            <w:r>
              <w:rPr>
                <w:rFonts w:ascii="宋体" w:hAnsi="宋体" w:cs="宋体" w:eastAsia="宋体" w:hint="default"/>
                <w:sz w:val="18"/>
                <w:szCs w:val="18"/>
              </w:rPr>
              <w:t>本期转回</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387" w:right="0"/>
              <w:jc w:val="left"/>
              <w:rPr>
                <w:rFonts w:ascii="宋体" w:hAnsi="宋体" w:cs="宋体" w:eastAsia="宋体" w:hint="default"/>
                <w:sz w:val="18"/>
                <w:szCs w:val="18"/>
              </w:rPr>
            </w:pPr>
            <w:r>
              <w:rPr>
                <w:rFonts w:ascii="宋体" w:hAnsi="宋体" w:cs="宋体" w:eastAsia="宋体" w:hint="default"/>
                <w:sz w:val="18"/>
                <w:szCs w:val="18"/>
              </w:rPr>
              <w:t>本期转销</w:t>
            </w:r>
            <w:r>
              <w:rPr>
                <w:rFonts w:ascii="Times New Roman" w:hAnsi="Times New Roman" w:cs="Times New Roman" w:eastAsia="Times New Roman" w:hint="default"/>
                <w:sz w:val="18"/>
                <w:szCs w:val="18"/>
              </w:rPr>
              <w:t>/</w:t>
            </w:r>
            <w:r>
              <w:rPr>
                <w:rFonts w:ascii="宋体" w:hAnsi="宋体" w:cs="宋体" w:eastAsia="宋体" w:hint="default"/>
                <w:sz w:val="18"/>
                <w:szCs w:val="18"/>
              </w:rPr>
              <w:t>核销</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原因</w:t>
            </w:r>
          </w:p>
        </w:tc>
      </w:tr>
    </w:tbl>
    <w:p>
      <w:pPr>
        <w:pStyle w:val="BodyText"/>
        <w:spacing w:line="240" w:lineRule="auto" w:before="50"/>
        <w:ind w:right="0"/>
        <w:jc w:val="left"/>
      </w:pPr>
      <w:r>
        <w:rPr/>
        <w:t>其他说明：</w:t>
      </w:r>
    </w:p>
    <w:p>
      <w:pPr>
        <w:spacing w:after="0" w:line="240" w:lineRule="auto"/>
        <w:jc w:val="left"/>
        <w:sectPr>
          <w:pgSz w:w="11910" w:h="16840"/>
          <w:pgMar w:header="906" w:footer="1018" w:top="1100" w:bottom="1200" w:left="1020" w:right="0"/>
        </w:sectPr>
      </w:pPr>
    </w:p>
    <w:p>
      <w:pPr>
        <w:spacing w:line="240" w:lineRule="auto" w:before="9"/>
        <w:rPr>
          <w:rFonts w:ascii="宋体" w:hAnsi="宋体" w:cs="宋体" w:eastAsia="宋体" w:hint="default"/>
          <w:sz w:val="21"/>
          <w:szCs w:val="21"/>
        </w:rPr>
      </w:pPr>
    </w:p>
    <w:p>
      <w:pPr>
        <w:pStyle w:val="Heading3"/>
        <w:spacing w:line="240" w:lineRule="auto" w:before="35"/>
        <w:ind w:right="0"/>
        <w:jc w:val="left"/>
        <w:rPr>
          <w:b w:val="0"/>
          <w:bCs w:val="0"/>
        </w:rPr>
      </w:pPr>
      <w:r>
        <w:rPr>
          <w:rFonts w:ascii="Times New Roman" w:hAnsi="Times New Roman" w:cs="Times New Roman" w:eastAsia="Times New Roman" w:hint="default"/>
        </w:rPr>
        <w:t>11</w:t>
      </w:r>
      <w:r>
        <w:rPr/>
        <w:t>、持有待售资产</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8"/>
        <w:gridCol w:w="1367"/>
        <w:gridCol w:w="1367"/>
        <w:gridCol w:w="1367"/>
        <w:gridCol w:w="1367"/>
        <w:gridCol w:w="1367"/>
        <w:gridCol w:w="1368"/>
      </w:tblGrid>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38" w:right="0"/>
              <w:jc w:val="left"/>
              <w:rPr>
                <w:rFonts w:ascii="宋体" w:hAnsi="宋体" w:cs="宋体" w:eastAsia="宋体" w:hint="default"/>
                <w:sz w:val="18"/>
                <w:szCs w:val="18"/>
              </w:rPr>
            </w:pPr>
            <w:r>
              <w:rPr>
                <w:rFonts w:ascii="宋体" w:hAnsi="宋体" w:cs="宋体" w:eastAsia="宋体" w:hint="default"/>
                <w:sz w:val="18"/>
                <w:szCs w:val="18"/>
              </w:rPr>
              <w:t>期末账面价值</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318" w:right="0"/>
              <w:jc w:val="left"/>
              <w:rPr>
                <w:rFonts w:ascii="宋体" w:hAnsi="宋体" w:cs="宋体" w:eastAsia="宋体" w:hint="default"/>
                <w:sz w:val="18"/>
                <w:szCs w:val="18"/>
              </w:rPr>
            </w:pPr>
            <w:r>
              <w:rPr>
                <w:rFonts w:ascii="宋体" w:hAnsi="宋体" w:cs="宋体" w:eastAsia="宋体" w:hint="default"/>
                <w:sz w:val="18"/>
                <w:szCs w:val="18"/>
              </w:rPr>
              <w:t>公允价值</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38" w:right="0"/>
              <w:jc w:val="left"/>
              <w:rPr>
                <w:rFonts w:ascii="宋体" w:hAnsi="宋体" w:cs="宋体" w:eastAsia="宋体" w:hint="default"/>
                <w:sz w:val="18"/>
                <w:szCs w:val="18"/>
              </w:rPr>
            </w:pPr>
            <w:r>
              <w:rPr>
                <w:rFonts w:ascii="宋体" w:hAnsi="宋体" w:cs="宋体" w:eastAsia="宋体" w:hint="default"/>
                <w:sz w:val="18"/>
                <w:szCs w:val="18"/>
              </w:rPr>
              <w:t>预计处置费用</w:t>
            </w:r>
          </w:p>
        </w:tc>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39" w:right="0"/>
              <w:jc w:val="left"/>
              <w:rPr>
                <w:rFonts w:ascii="宋体" w:hAnsi="宋体" w:cs="宋体" w:eastAsia="宋体" w:hint="default"/>
                <w:sz w:val="18"/>
                <w:szCs w:val="18"/>
              </w:rPr>
            </w:pPr>
            <w:r>
              <w:rPr>
                <w:rFonts w:ascii="宋体" w:hAnsi="宋体" w:cs="宋体" w:eastAsia="宋体" w:hint="default"/>
                <w:sz w:val="18"/>
                <w:szCs w:val="18"/>
              </w:rPr>
              <w:t>预计处置时间</w:t>
            </w:r>
          </w:p>
        </w:tc>
      </w:tr>
    </w:tbl>
    <w:p>
      <w:pPr>
        <w:pStyle w:val="BodyText"/>
        <w:spacing w:line="240" w:lineRule="auto" w:before="49"/>
        <w:ind w:right="0"/>
        <w:jc w:val="left"/>
      </w:pPr>
      <w:r>
        <w:rPr/>
        <w:t>其他说明：</w:t>
      </w:r>
    </w:p>
    <w:p>
      <w:pPr>
        <w:spacing w:line="240" w:lineRule="auto" w:before="13"/>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12</w:t>
      </w:r>
      <w:r>
        <w:rPr/>
        <w:t>、一年内到期的非流动资产</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1"/>
        <w:gridCol w:w="3191"/>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240" w:lineRule="auto" w:before="49"/>
        <w:ind w:right="0"/>
        <w:jc w:val="left"/>
      </w:pPr>
      <w:r>
        <w:rPr/>
        <w:t>重要的债权投资</w:t>
      </w:r>
      <w:r>
        <w:rPr>
          <w:rFonts w:ascii="Times New Roman" w:hAnsi="Times New Roman" w:cs="Times New Roman" w:eastAsia="Times New Roman" w:hint="default"/>
        </w:rPr>
        <w:t>/</w:t>
      </w:r>
      <w:r>
        <w:rPr/>
        <w:t>其他债权投资</w:t>
      </w:r>
    </w:p>
    <w:p>
      <w:pPr>
        <w:pStyle w:val="BodyText"/>
        <w:spacing w:line="240" w:lineRule="auto" w:before="103"/>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6"/>
        <w:gridCol w:w="957"/>
        <w:gridCol w:w="958"/>
        <w:gridCol w:w="956"/>
        <w:gridCol w:w="957"/>
        <w:gridCol w:w="956"/>
        <w:gridCol w:w="957"/>
        <w:gridCol w:w="956"/>
        <w:gridCol w:w="957"/>
      </w:tblGrid>
      <w:tr>
        <w:trPr>
          <w:trHeight w:val="402" w:hRule="exact"/>
        </w:trPr>
        <w:tc>
          <w:tcPr>
            <w:tcW w:w="1916"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债权项目</w:t>
            </w:r>
          </w:p>
        </w:tc>
        <w:tc>
          <w:tcPr>
            <w:tcW w:w="3828" w:type="dxa"/>
            <w:gridSpan w:val="4"/>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26" w:type="dxa"/>
            <w:gridSpan w:val="4"/>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1916" w:type="dxa"/>
            <w:vMerge/>
            <w:tcBorders>
              <w:left w:val="single" w:sz="4" w:space="0" w:color="000000"/>
              <w:bottom w:val="single" w:sz="4" w:space="0" w:color="000000"/>
              <w:right w:val="single" w:sz="4" w:space="0" w:color="000000"/>
            </w:tcBorders>
            <w:shd w:val="clear" w:color="auto" w:fill="D3D3D3"/>
          </w:tcPr>
          <w:p>
            <w:pPr/>
          </w:p>
        </w:tc>
        <w:tc>
          <w:tcPr>
            <w:tcW w:w="95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292" w:right="0"/>
              <w:jc w:val="left"/>
              <w:rPr>
                <w:rFonts w:ascii="宋体" w:hAnsi="宋体" w:cs="宋体" w:eastAsia="宋体" w:hint="default"/>
                <w:sz w:val="18"/>
                <w:szCs w:val="18"/>
              </w:rPr>
            </w:pPr>
            <w:r>
              <w:rPr>
                <w:rFonts w:ascii="宋体" w:hAnsi="宋体" w:cs="宋体" w:eastAsia="宋体" w:hint="default"/>
                <w:sz w:val="18"/>
                <w:szCs w:val="18"/>
              </w:rPr>
              <w:t>面值</w:t>
            </w:r>
          </w:p>
        </w:tc>
        <w:tc>
          <w:tcPr>
            <w:tcW w:w="95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14" w:right="0"/>
              <w:jc w:val="left"/>
              <w:rPr>
                <w:rFonts w:ascii="宋体" w:hAnsi="宋体" w:cs="宋体" w:eastAsia="宋体" w:hint="default"/>
                <w:sz w:val="18"/>
                <w:szCs w:val="18"/>
              </w:rPr>
            </w:pPr>
            <w:r>
              <w:rPr>
                <w:rFonts w:ascii="宋体" w:hAnsi="宋体" w:cs="宋体" w:eastAsia="宋体" w:hint="default"/>
                <w:sz w:val="18"/>
                <w:szCs w:val="18"/>
              </w:rPr>
              <w:t>票面利率</w:t>
            </w:r>
          </w:p>
        </w:tc>
        <w:tc>
          <w:tcPr>
            <w:tcW w:w="95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12" w:right="0"/>
              <w:jc w:val="left"/>
              <w:rPr>
                <w:rFonts w:ascii="宋体" w:hAnsi="宋体" w:cs="宋体" w:eastAsia="宋体" w:hint="default"/>
                <w:sz w:val="18"/>
                <w:szCs w:val="18"/>
              </w:rPr>
            </w:pPr>
            <w:r>
              <w:rPr>
                <w:rFonts w:ascii="宋体" w:hAnsi="宋体" w:cs="宋体" w:eastAsia="宋体" w:hint="default"/>
                <w:sz w:val="18"/>
                <w:szCs w:val="18"/>
              </w:rPr>
              <w:t>实际利率</w:t>
            </w:r>
          </w:p>
        </w:tc>
        <w:tc>
          <w:tcPr>
            <w:tcW w:w="95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202" w:right="0"/>
              <w:jc w:val="left"/>
              <w:rPr>
                <w:rFonts w:ascii="宋体" w:hAnsi="宋体" w:cs="宋体" w:eastAsia="宋体" w:hint="default"/>
                <w:sz w:val="18"/>
                <w:szCs w:val="18"/>
              </w:rPr>
            </w:pPr>
            <w:r>
              <w:rPr>
                <w:rFonts w:ascii="宋体" w:hAnsi="宋体" w:cs="宋体" w:eastAsia="宋体" w:hint="default"/>
                <w:sz w:val="18"/>
                <w:szCs w:val="18"/>
              </w:rPr>
              <w:t>到期日</w:t>
            </w:r>
          </w:p>
        </w:tc>
        <w:tc>
          <w:tcPr>
            <w:tcW w:w="95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292" w:right="0"/>
              <w:jc w:val="left"/>
              <w:rPr>
                <w:rFonts w:ascii="宋体" w:hAnsi="宋体" w:cs="宋体" w:eastAsia="宋体" w:hint="default"/>
                <w:sz w:val="18"/>
                <w:szCs w:val="18"/>
              </w:rPr>
            </w:pPr>
            <w:r>
              <w:rPr>
                <w:rFonts w:ascii="宋体" w:hAnsi="宋体" w:cs="宋体" w:eastAsia="宋体" w:hint="default"/>
                <w:sz w:val="18"/>
                <w:szCs w:val="18"/>
              </w:rPr>
              <w:t>面值</w:t>
            </w:r>
          </w:p>
        </w:tc>
        <w:tc>
          <w:tcPr>
            <w:tcW w:w="95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13" w:right="0"/>
              <w:jc w:val="left"/>
              <w:rPr>
                <w:rFonts w:ascii="宋体" w:hAnsi="宋体" w:cs="宋体" w:eastAsia="宋体" w:hint="default"/>
                <w:sz w:val="18"/>
                <w:szCs w:val="18"/>
              </w:rPr>
            </w:pPr>
            <w:r>
              <w:rPr>
                <w:rFonts w:ascii="宋体" w:hAnsi="宋体" w:cs="宋体" w:eastAsia="宋体" w:hint="default"/>
                <w:sz w:val="18"/>
                <w:szCs w:val="18"/>
              </w:rPr>
              <w:t>票面利率</w:t>
            </w:r>
          </w:p>
        </w:tc>
        <w:tc>
          <w:tcPr>
            <w:tcW w:w="95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13" w:right="0"/>
              <w:jc w:val="left"/>
              <w:rPr>
                <w:rFonts w:ascii="宋体" w:hAnsi="宋体" w:cs="宋体" w:eastAsia="宋体" w:hint="default"/>
                <w:sz w:val="18"/>
                <w:szCs w:val="18"/>
              </w:rPr>
            </w:pPr>
            <w:r>
              <w:rPr>
                <w:rFonts w:ascii="宋体" w:hAnsi="宋体" w:cs="宋体" w:eastAsia="宋体" w:hint="default"/>
                <w:sz w:val="18"/>
                <w:szCs w:val="18"/>
              </w:rPr>
              <w:t>实际利率</w:t>
            </w:r>
          </w:p>
        </w:tc>
        <w:tc>
          <w:tcPr>
            <w:tcW w:w="95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202" w:right="0"/>
              <w:jc w:val="left"/>
              <w:rPr>
                <w:rFonts w:ascii="宋体" w:hAnsi="宋体" w:cs="宋体" w:eastAsia="宋体" w:hint="default"/>
                <w:sz w:val="18"/>
                <w:szCs w:val="18"/>
              </w:rPr>
            </w:pPr>
            <w:r>
              <w:rPr>
                <w:rFonts w:ascii="宋体" w:hAnsi="宋体" w:cs="宋体" w:eastAsia="宋体" w:hint="default"/>
                <w:sz w:val="18"/>
                <w:szCs w:val="18"/>
              </w:rPr>
              <w:t>到期日</w:t>
            </w:r>
          </w:p>
        </w:tc>
      </w:tr>
    </w:tbl>
    <w:p>
      <w:pPr>
        <w:pStyle w:val="BodyText"/>
        <w:spacing w:line="240" w:lineRule="auto" w:before="49"/>
        <w:ind w:right="0"/>
        <w:jc w:val="left"/>
      </w:pPr>
      <w:r>
        <w:rPr/>
        <w:t>其他说明：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13</w:t>
      </w:r>
      <w:r>
        <w:rPr/>
        <w:t>、其他流动资产</w:t>
      </w:r>
      <w:r>
        <w:rPr>
          <w:b w:val="0"/>
          <w:bCs w:val="0"/>
        </w:rPr>
      </w:r>
    </w:p>
    <w:p>
      <w:pPr>
        <w:spacing w:line="240" w:lineRule="auto" w:before="1"/>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906" w:footer="1018" w:top="1100" w:bottom="1200" w:left="1020" w:right="0"/>
        </w:sectPr>
      </w:pPr>
    </w:p>
    <w:p>
      <w:pPr>
        <w:pStyle w:val="BodyText"/>
        <w:spacing w:line="240" w:lineRule="auto" w:before="44"/>
        <w:ind w:right="-20"/>
        <w:jc w:val="left"/>
      </w:pPr>
      <w:r>
        <w:rPr/>
        <w:t>是否已执行新收入准则</w:t>
      </w:r>
    </w:p>
    <w:p>
      <w:pPr>
        <w:pStyle w:val="BodyText"/>
        <w:spacing w:line="240" w:lineRule="auto" w:before="116"/>
        <w:ind w:right="-20"/>
        <w:jc w:val="left"/>
      </w:pPr>
      <w:r>
        <w:rPr/>
        <w:t>□ 是 √ 否</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pStyle w:val="BodyText"/>
        <w:spacing w:line="240" w:lineRule="auto"/>
        <w:ind w:right="0"/>
        <w:jc w:val="left"/>
      </w:pPr>
      <w:r>
        <w:rPr/>
        <w:t>单位：</w:t>
      </w:r>
      <w:r>
        <w:rPr>
          <w:spacing w:val="-1"/>
        </w:rPr>
        <w:t> </w:t>
      </w:r>
      <w:r>
        <w:rPr/>
        <w:t>元</w:t>
      </w:r>
    </w:p>
    <w:p>
      <w:pPr>
        <w:spacing w:after="0" w:line="240" w:lineRule="auto"/>
        <w:jc w:val="left"/>
        <w:sectPr>
          <w:type w:val="continuous"/>
          <w:pgSz w:w="11910" w:h="16840"/>
          <w:pgMar w:top="1100" w:bottom="1200" w:left="1020" w:right="0"/>
          <w:cols w:num="2" w:equalWidth="0">
            <w:col w:w="1914" w:space="6914"/>
            <w:col w:w="2062"/>
          </w:cols>
        </w:sectPr>
      </w:pP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1"/>
        <w:gridCol w:w="3191"/>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待抵扣增值税进项税额</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1,199,842.54</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490,316.98</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预缴企业所得税</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1,490,202.93</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121,593.74</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2,690,045.47</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611,910.72</w:t>
            </w:r>
          </w:p>
        </w:tc>
      </w:tr>
    </w:tbl>
    <w:p>
      <w:pPr>
        <w:pStyle w:val="BodyText"/>
        <w:spacing w:line="240" w:lineRule="auto" w:before="49"/>
        <w:ind w:right="0"/>
        <w:jc w:val="left"/>
      </w:pPr>
      <w:r>
        <w:rPr/>
        <w:t>其他说明：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14</w:t>
      </w:r>
      <w:r>
        <w:rPr/>
        <w:t>、债权投资</w:t>
      </w:r>
      <w:r>
        <w:rPr>
          <w:b w:val="0"/>
          <w:bCs w:val="0"/>
        </w:rPr>
      </w:r>
    </w:p>
    <w:p>
      <w:pPr>
        <w:spacing w:line="240" w:lineRule="auto" w:before="2"/>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8"/>
        <w:gridCol w:w="1368"/>
        <w:gridCol w:w="1367"/>
        <w:gridCol w:w="1367"/>
        <w:gridCol w:w="1367"/>
        <w:gridCol w:w="1367"/>
        <w:gridCol w:w="1367"/>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1" w:type="dxa"/>
            <w:gridSpan w:val="3"/>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368" w:type="dxa"/>
            <w:vMerge/>
            <w:tcBorders>
              <w:left w:val="single" w:sz="4" w:space="0" w:color="000000"/>
              <w:bottom w:val="single" w:sz="4" w:space="0" w:color="000000"/>
              <w:right w:val="single" w:sz="4" w:space="0" w:color="000000"/>
            </w:tcBorders>
            <w:shd w:val="clear" w:color="auto" w:fill="D3D3D3"/>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31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317"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31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31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318"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pStyle w:val="BodyText"/>
        <w:spacing w:line="240" w:lineRule="auto" w:before="50"/>
        <w:ind w:right="0"/>
        <w:jc w:val="left"/>
      </w:pPr>
      <w:r>
        <w:rPr/>
        <w:t>重要的债权投资</w:t>
      </w:r>
    </w:p>
    <w:p>
      <w:pPr>
        <w:pStyle w:val="BodyText"/>
        <w:spacing w:line="240" w:lineRule="auto" w:before="116"/>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6"/>
        <w:gridCol w:w="957"/>
        <w:gridCol w:w="958"/>
        <w:gridCol w:w="956"/>
        <w:gridCol w:w="957"/>
        <w:gridCol w:w="956"/>
        <w:gridCol w:w="957"/>
        <w:gridCol w:w="956"/>
        <w:gridCol w:w="957"/>
      </w:tblGrid>
      <w:tr>
        <w:trPr>
          <w:trHeight w:val="402" w:hRule="exact"/>
        </w:trPr>
        <w:tc>
          <w:tcPr>
            <w:tcW w:w="1916"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债权项目</w:t>
            </w:r>
          </w:p>
        </w:tc>
        <w:tc>
          <w:tcPr>
            <w:tcW w:w="3828" w:type="dxa"/>
            <w:gridSpan w:val="4"/>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26" w:type="dxa"/>
            <w:gridSpan w:val="4"/>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916" w:type="dxa"/>
            <w:vMerge/>
            <w:tcBorders>
              <w:left w:val="single" w:sz="4" w:space="0" w:color="000000"/>
              <w:bottom w:val="single" w:sz="4" w:space="0" w:color="000000"/>
              <w:right w:val="single" w:sz="4" w:space="0" w:color="000000"/>
            </w:tcBorders>
            <w:shd w:val="clear" w:color="auto" w:fill="D3D3D3"/>
          </w:tcPr>
          <w:p>
            <w:pPr/>
          </w:p>
        </w:tc>
        <w:tc>
          <w:tcPr>
            <w:tcW w:w="95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292" w:right="0"/>
              <w:jc w:val="left"/>
              <w:rPr>
                <w:rFonts w:ascii="宋体" w:hAnsi="宋体" w:cs="宋体" w:eastAsia="宋体" w:hint="default"/>
                <w:sz w:val="18"/>
                <w:szCs w:val="18"/>
              </w:rPr>
            </w:pPr>
            <w:r>
              <w:rPr>
                <w:rFonts w:ascii="宋体" w:hAnsi="宋体" w:cs="宋体" w:eastAsia="宋体" w:hint="default"/>
                <w:sz w:val="18"/>
                <w:szCs w:val="18"/>
              </w:rPr>
              <w:t>面值</w:t>
            </w:r>
          </w:p>
        </w:tc>
        <w:tc>
          <w:tcPr>
            <w:tcW w:w="95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14" w:right="0"/>
              <w:jc w:val="left"/>
              <w:rPr>
                <w:rFonts w:ascii="宋体" w:hAnsi="宋体" w:cs="宋体" w:eastAsia="宋体" w:hint="default"/>
                <w:sz w:val="18"/>
                <w:szCs w:val="18"/>
              </w:rPr>
            </w:pPr>
            <w:r>
              <w:rPr>
                <w:rFonts w:ascii="宋体" w:hAnsi="宋体" w:cs="宋体" w:eastAsia="宋体" w:hint="default"/>
                <w:sz w:val="18"/>
                <w:szCs w:val="18"/>
              </w:rPr>
              <w:t>票面利率</w:t>
            </w:r>
          </w:p>
        </w:tc>
        <w:tc>
          <w:tcPr>
            <w:tcW w:w="95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12" w:right="0"/>
              <w:jc w:val="left"/>
              <w:rPr>
                <w:rFonts w:ascii="宋体" w:hAnsi="宋体" w:cs="宋体" w:eastAsia="宋体" w:hint="default"/>
                <w:sz w:val="18"/>
                <w:szCs w:val="18"/>
              </w:rPr>
            </w:pPr>
            <w:r>
              <w:rPr>
                <w:rFonts w:ascii="宋体" w:hAnsi="宋体" w:cs="宋体" w:eastAsia="宋体" w:hint="default"/>
                <w:sz w:val="18"/>
                <w:szCs w:val="18"/>
              </w:rPr>
              <w:t>实际利率</w:t>
            </w:r>
          </w:p>
        </w:tc>
        <w:tc>
          <w:tcPr>
            <w:tcW w:w="95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202" w:right="0"/>
              <w:jc w:val="left"/>
              <w:rPr>
                <w:rFonts w:ascii="宋体" w:hAnsi="宋体" w:cs="宋体" w:eastAsia="宋体" w:hint="default"/>
                <w:sz w:val="18"/>
                <w:szCs w:val="18"/>
              </w:rPr>
            </w:pPr>
            <w:r>
              <w:rPr>
                <w:rFonts w:ascii="宋体" w:hAnsi="宋体" w:cs="宋体" w:eastAsia="宋体" w:hint="default"/>
                <w:sz w:val="18"/>
                <w:szCs w:val="18"/>
              </w:rPr>
              <w:t>到期日</w:t>
            </w:r>
          </w:p>
        </w:tc>
        <w:tc>
          <w:tcPr>
            <w:tcW w:w="95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292" w:right="0"/>
              <w:jc w:val="left"/>
              <w:rPr>
                <w:rFonts w:ascii="宋体" w:hAnsi="宋体" w:cs="宋体" w:eastAsia="宋体" w:hint="default"/>
                <w:sz w:val="18"/>
                <w:szCs w:val="18"/>
              </w:rPr>
            </w:pPr>
            <w:r>
              <w:rPr>
                <w:rFonts w:ascii="宋体" w:hAnsi="宋体" w:cs="宋体" w:eastAsia="宋体" w:hint="default"/>
                <w:sz w:val="18"/>
                <w:szCs w:val="18"/>
              </w:rPr>
              <w:t>面值</w:t>
            </w:r>
          </w:p>
        </w:tc>
        <w:tc>
          <w:tcPr>
            <w:tcW w:w="95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13" w:right="0"/>
              <w:jc w:val="left"/>
              <w:rPr>
                <w:rFonts w:ascii="宋体" w:hAnsi="宋体" w:cs="宋体" w:eastAsia="宋体" w:hint="default"/>
                <w:sz w:val="18"/>
                <w:szCs w:val="18"/>
              </w:rPr>
            </w:pPr>
            <w:r>
              <w:rPr>
                <w:rFonts w:ascii="宋体" w:hAnsi="宋体" w:cs="宋体" w:eastAsia="宋体" w:hint="default"/>
                <w:sz w:val="18"/>
                <w:szCs w:val="18"/>
              </w:rPr>
              <w:t>票面利率</w:t>
            </w:r>
          </w:p>
        </w:tc>
        <w:tc>
          <w:tcPr>
            <w:tcW w:w="95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13" w:right="0"/>
              <w:jc w:val="left"/>
              <w:rPr>
                <w:rFonts w:ascii="宋体" w:hAnsi="宋体" w:cs="宋体" w:eastAsia="宋体" w:hint="default"/>
                <w:sz w:val="18"/>
                <w:szCs w:val="18"/>
              </w:rPr>
            </w:pPr>
            <w:r>
              <w:rPr>
                <w:rFonts w:ascii="宋体" w:hAnsi="宋体" w:cs="宋体" w:eastAsia="宋体" w:hint="default"/>
                <w:sz w:val="18"/>
                <w:szCs w:val="18"/>
              </w:rPr>
              <w:t>实际利率</w:t>
            </w:r>
          </w:p>
        </w:tc>
        <w:tc>
          <w:tcPr>
            <w:tcW w:w="95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202" w:right="0"/>
              <w:jc w:val="left"/>
              <w:rPr>
                <w:rFonts w:ascii="宋体" w:hAnsi="宋体" w:cs="宋体" w:eastAsia="宋体" w:hint="default"/>
                <w:sz w:val="18"/>
                <w:szCs w:val="18"/>
              </w:rPr>
            </w:pPr>
            <w:r>
              <w:rPr>
                <w:rFonts w:ascii="宋体" w:hAnsi="宋体" w:cs="宋体" w:eastAsia="宋体" w:hint="default"/>
                <w:sz w:val="18"/>
                <w:szCs w:val="18"/>
              </w:rPr>
              <w:t>到期日</w:t>
            </w:r>
          </w:p>
        </w:tc>
      </w:tr>
    </w:tbl>
    <w:p>
      <w:pPr>
        <w:pStyle w:val="BodyText"/>
        <w:spacing w:line="240" w:lineRule="auto" w:before="50"/>
        <w:ind w:right="0"/>
        <w:jc w:val="left"/>
      </w:pPr>
      <w:r>
        <w:rPr/>
        <w:t>减值准备计提情况</w:t>
      </w:r>
    </w:p>
    <w:p>
      <w:pPr>
        <w:pStyle w:val="BodyText"/>
        <w:spacing w:line="240" w:lineRule="auto" w:before="116"/>
        <w:ind w:left="0" w:right="1131"/>
        <w:jc w:val="right"/>
      </w:pPr>
      <w:r>
        <w:rPr/>
        <w:t>单位：</w:t>
      </w:r>
      <w:r>
        <w:rPr>
          <w:spacing w:val="-1"/>
        </w:rPr>
        <w:t> </w:t>
      </w:r>
      <w:r>
        <w:rPr/>
        <w:t>元</w:t>
      </w:r>
    </w:p>
    <w:p>
      <w:pPr>
        <w:spacing w:after="0" w:line="240" w:lineRule="auto"/>
        <w:jc w:val="right"/>
        <w:sectPr>
          <w:type w:val="continuous"/>
          <w:pgSz w:w="11910" w:h="16840"/>
          <w:pgMar w:top="1100" w:bottom="1200" w:left="1020" w:right="0"/>
        </w:sectPr>
      </w:pPr>
    </w:p>
    <w:p>
      <w:pPr>
        <w:spacing w:line="240" w:lineRule="auto" w:before="7"/>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916"/>
        <w:gridCol w:w="1650"/>
        <w:gridCol w:w="2099"/>
        <w:gridCol w:w="2099"/>
        <w:gridCol w:w="1804"/>
      </w:tblGrid>
      <w:tr>
        <w:trPr>
          <w:trHeight w:val="402" w:hRule="exact"/>
        </w:trPr>
        <w:tc>
          <w:tcPr>
            <w:tcW w:w="1916"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65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第一阶段</w:t>
            </w:r>
          </w:p>
        </w:tc>
        <w:tc>
          <w:tcPr>
            <w:tcW w:w="209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第二阶段</w:t>
            </w:r>
          </w:p>
        </w:tc>
        <w:tc>
          <w:tcPr>
            <w:tcW w:w="209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第三阶段</w:t>
            </w:r>
          </w:p>
        </w:tc>
        <w:tc>
          <w:tcPr>
            <w:tcW w:w="1804"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714" w:hRule="exact"/>
        </w:trPr>
        <w:tc>
          <w:tcPr>
            <w:tcW w:w="1916" w:type="dxa"/>
            <w:vMerge/>
            <w:tcBorders>
              <w:left w:val="single" w:sz="4" w:space="0" w:color="000000"/>
              <w:bottom w:val="single" w:sz="4" w:space="0" w:color="000000"/>
              <w:right w:val="single" w:sz="4" w:space="0" w:color="000000"/>
            </w:tcBorders>
            <w:shd w:val="clear" w:color="auto" w:fill="D3D3D3"/>
          </w:tcPr>
          <w:p>
            <w:pPr/>
          </w:p>
        </w:tc>
        <w:tc>
          <w:tcPr>
            <w:tcW w:w="165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0"/>
              <w:ind w:left="460" w:right="143" w:hanging="315"/>
              <w:jc w:val="left"/>
              <w:rPr>
                <w:rFonts w:ascii="宋体" w:hAnsi="宋体" w:cs="宋体" w:eastAsia="宋体" w:hint="default"/>
                <w:sz w:val="18"/>
                <w:szCs w:val="18"/>
              </w:rPr>
            </w:pPr>
            <w:r>
              <w:rPr>
                <w:rFonts w:ascii="宋体" w:hAnsi="宋体" w:cs="宋体" w:eastAsia="宋体" w:hint="default"/>
                <w:sz w:val="18"/>
                <w:szCs w:val="18"/>
              </w:rPr>
              <w:t>未来</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个月预期 信用损失</w:t>
            </w:r>
          </w:p>
        </w:tc>
        <w:tc>
          <w:tcPr>
            <w:tcW w:w="209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265" w:right="143" w:hanging="122"/>
              <w:jc w:val="left"/>
              <w:rPr>
                <w:rFonts w:ascii="Times New Roman" w:hAnsi="Times New Roman" w:cs="Times New Roman" w:eastAsia="Times New Roman" w:hint="default"/>
                <w:sz w:val="18"/>
                <w:szCs w:val="18"/>
              </w:rPr>
            </w:pPr>
            <w:r>
              <w:rPr>
                <w:rFonts w:ascii="宋体" w:hAnsi="宋体" w:cs="宋体" w:eastAsia="宋体" w:hint="default"/>
                <w:sz w:val="18"/>
                <w:szCs w:val="18"/>
              </w:rPr>
              <w:t>整个存续期预期信用损 失</w:t>
            </w:r>
            <w:r>
              <w:rPr>
                <w:rFonts w:ascii="Times New Roman" w:hAnsi="Times New Roman" w:cs="Times New Roman" w:eastAsia="Times New Roman" w:hint="default"/>
                <w:sz w:val="18"/>
                <w:szCs w:val="18"/>
              </w:rPr>
              <w:t>(</w:t>
            </w:r>
            <w:r>
              <w:rPr>
                <w:rFonts w:ascii="宋体" w:hAnsi="宋体" w:cs="宋体" w:eastAsia="宋体" w:hint="default"/>
                <w:sz w:val="18"/>
                <w:szCs w:val="18"/>
              </w:rPr>
              <w:t>未发生信用减值</w:t>
            </w:r>
            <w:r>
              <w:rPr>
                <w:rFonts w:ascii="Times New Roman" w:hAnsi="Times New Roman" w:cs="Times New Roman" w:eastAsia="Times New Roman" w:hint="default"/>
                <w:sz w:val="18"/>
                <w:szCs w:val="18"/>
              </w:rPr>
              <w:t>)</w:t>
            </w:r>
          </w:p>
        </w:tc>
        <w:tc>
          <w:tcPr>
            <w:tcW w:w="209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265" w:right="143" w:hanging="122"/>
              <w:jc w:val="left"/>
              <w:rPr>
                <w:rFonts w:ascii="Times New Roman" w:hAnsi="Times New Roman" w:cs="Times New Roman" w:eastAsia="Times New Roman" w:hint="default"/>
                <w:sz w:val="18"/>
                <w:szCs w:val="18"/>
              </w:rPr>
            </w:pPr>
            <w:r>
              <w:rPr>
                <w:rFonts w:ascii="宋体" w:hAnsi="宋体" w:cs="宋体" w:eastAsia="宋体" w:hint="default"/>
                <w:sz w:val="18"/>
                <w:szCs w:val="18"/>
              </w:rPr>
              <w:t>整个存续期预期信用损 失</w:t>
            </w:r>
            <w:r>
              <w:rPr>
                <w:rFonts w:ascii="Times New Roman" w:hAnsi="Times New Roman" w:cs="Times New Roman" w:eastAsia="Times New Roman" w:hint="default"/>
                <w:sz w:val="18"/>
                <w:szCs w:val="18"/>
              </w:rPr>
              <w:t>(</w:t>
            </w:r>
            <w:r>
              <w:rPr>
                <w:rFonts w:ascii="宋体" w:hAnsi="宋体" w:cs="宋体" w:eastAsia="宋体" w:hint="default"/>
                <w:sz w:val="18"/>
                <w:szCs w:val="18"/>
              </w:rPr>
              <w:t>已发生信用减值</w:t>
            </w:r>
            <w:r>
              <w:rPr>
                <w:rFonts w:ascii="Times New Roman" w:hAnsi="Times New Roman" w:cs="Times New Roman" w:eastAsia="Times New Roman" w:hint="default"/>
                <w:sz w:val="18"/>
                <w:szCs w:val="18"/>
              </w:rPr>
              <w:t>)</w:t>
            </w:r>
          </w:p>
        </w:tc>
        <w:tc>
          <w:tcPr>
            <w:tcW w:w="1804" w:type="dxa"/>
            <w:vMerge/>
            <w:tcBorders>
              <w:left w:val="single" w:sz="4" w:space="0" w:color="000000"/>
              <w:bottom w:val="single" w:sz="4" w:space="0" w:color="000000"/>
              <w:right w:val="single" w:sz="4" w:space="0" w:color="000000"/>
            </w:tcBorders>
            <w:shd w:val="clear" w:color="auto" w:fill="D3D3D3"/>
          </w:tcPr>
          <w:p>
            <w:pPr/>
          </w:p>
        </w:tc>
      </w:tr>
      <w:tr>
        <w:trPr>
          <w:trHeight w:val="714" w:hRule="exact"/>
        </w:trPr>
        <w:tc>
          <w:tcPr>
            <w:tcW w:w="1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0"/>
              <w:ind w:left="102" w:right="136"/>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日余额 在本期</w:t>
            </w:r>
          </w:p>
        </w:tc>
        <w:tc>
          <w:tcPr>
            <w:tcW w:w="165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209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w:t>
            </w:r>
          </w:p>
        </w:tc>
        <w:tc>
          <w:tcPr>
            <w:tcW w:w="209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w:t>
            </w:r>
          </w:p>
        </w:tc>
        <w:tc>
          <w:tcPr>
            <w:tcW w:w="180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w:t>
            </w:r>
          </w:p>
        </w:tc>
      </w:tr>
    </w:tbl>
    <w:p>
      <w:pPr>
        <w:pStyle w:val="BodyText"/>
        <w:spacing w:line="240" w:lineRule="auto" w:before="50"/>
        <w:ind w:right="0"/>
        <w:jc w:val="left"/>
      </w:pPr>
      <w:r>
        <w:rPr/>
        <w:t>损失准备本期变动金额重大的账面余额变动情况</w:t>
      </w:r>
    </w:p>
    <w:p>
      <w:pPr>
        <w:pStyle w:val="BodyText"/>
        <w:spacing w:line="357" w:lineRule="auto" w:before="116"/>
        <w:ind w:right="9132"/>
        <w:jc w:val="left"/>
      </w:pPr>
      <w:r>
        <w:rPr/>
        <w:t>□ 适用 √ 不适用 其他说明：</w:t>
      </w:r>
    </w:p>
    <w:p>
      <w:pPr>
        <w:spacing w:line="240" w:lineRule="auto" w:before="3"/>
        <w:rPr>
          <w:rFonts w:ascii="宋体" w:hAnsi="宋体" w:cs="宋体" w:eastAsia="宋体" w:hint="default"/>
          <w:sz w:val="20"/>
          <w:szCs w:val="20"/>
        </w:rPr>
      </w:pPr>
    </w:p>
    <w:p>
      <w:pPr>
        <w:pStyle w:val="Heading3"/>
        <w:spacing w:line="240" w:lineRule="auto"/>
        <w:ind w:right="0"/>
        <w:jc w:val="left"/>
        <w:rPr>
          <w:b w:val="0"/>
          <w:bCs w:val="0"/>
        </w:rPr>
      </w:pPr>
      <w:r>
        <w:rPr>
          <w:rFonts w:ascii="Times New Roman" w:hAnsi="Times New Roman" w:cs="Times New Roman" w:eastAsia="Times New Roman" w:hint="default"/>
        </w:rPr>
        <w:t>15</w:t>
      </w:r>
      <w:r>
        <w:rPr/>
        <w:t>、其他债权投资</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296"/>
        <w:gridCol w:w="1035"/>
        <w:gridCol w:w="1034"/>
        <w:gridCol w:w="1034"/>
        <w:gridCol w:w="1034"/>
        <w:gridCol w:w="1034"/>
        <w:gridCol w:w="1034"/>
        <w:gridCol w:w="1034"/>
        <w:gridCol w:w="1035"/>
      </w:tblGrid>
      <w:tr>
        <w:trPr>
          <w:trHeight w:val="357" w:hRule="exact"/>
        </w:trPr>
        <w:tc>
          <w:tcPr>
            <w:tcW w:w="1296" w:type="dxa"/>
            <w:tcBorders>
              <w:top w:val="single" w:sz="4" w:space="0" w:color="000000"/>
              <w:left w:val="single" w:sz="4" w:space="0" w:color="000000"/>
              <w:bottom w:val="nil" w:sz="6" w:space="0" w:color="auto"/>
              <w:right w:val="single" w:sz="4" w:space="0" w:color="000000"/>
            </w:tcBorders>
            <w:shd w:val="clear" w:color="auto" w:fill="D3D3D3"/>
          </w:tcPr>
          <w:p>
            <w:pPr/>
          </w:p>
        </w:tc>
        <w:tc>
          <w:tcPr>
            <w:tcW w:w="1035" w:type="dxa"/>
            <w:tcBorders>
              <w:top w:val="single" w:sz="4" w:space="0" w:color="000000"/>
              <w:left w:val="single" w:sz="4" w:space="0" w:color="000000"/>
              <w:bottom w:val="nil" w:sz="6" w:space="0" w:color="auto"/>
              <w:right w:val="single" w:sz="4" w:space="0" w:color="000000"/>
            </w:tcBorders>
            <w:shd w:val="clear" w:color="auto" w:fill="D3D3D3"/>
          </w:tcPr>
          <w:p>
            <w:pPr/>
          </w:p>
        </w:tc>
        <w:tc>
          <w:tcPr>
            <w:tcW w:w="1034" w:type="dxa"/>
            <w:tcBorders>
              <w:top w:val="single" w:sz="4" w:space="0" w:color="000000"/>
              <w:left w:val="single" w:sz="4" w:space="0" w:color="000000"/>
              <w:bottom w:val="nil" w:sz="6" w:space="0" w:color="auto"/>
              <w:right w:val="single" w:sz="4" w:space="0" w:color="000000"/>
            </w:tcBorders>
            <w:shd w:val="clear" w:color="auto" w:fill="D3D3D3"/>
          </w:tcPr>
          <w:p>
            <w:pPr/>
          </w:p>
        </w:tc>
        <w:tc>
          <w:tcPr>
            <w:tcW w:w="1034" w:type="dxa"/>
            <w:tcBorders>
              <w:top w:val="single" w:sz="4" w:space="0" w:color="000000"/>
              <w:left w:val="single" w:sz="4" w:space="0" w:color="000000"/>
              <w:bottom w:val="nil" w:sz="6" w:space="0" w:color="auto"/>
              <w:right w:val="single" w:sz="4" w:space="0" w:color="000000"/>
            </w:tcBorders>
            <w:shd w:val="clear" w:color="auto" w:fill="D3D3D3"/>
          </w:tcPr>
          <w:p>
            <w:pPr/>
          </w:p>
        </w:tc>
        <w:tc>
          <w:tcPr>
            <w:tcW w:w="1034" w:type="dxa"/>
            <w:tcBorders>
              <w:top w:val="single" w:sz="4" w:space="0" w:color="000000"/>
              <w:left w:val="single" w:sz="4" w:space="0" w:color="000000"/>
              <w:bottom w:val="nil" w:sz="6" w:space="0" w:color="auto"/>
              <w:right w:val="single" w:sz="4" w:space="0" w:color="000000"/>
            </w:tcBorders>
            <w:shd w:val="clear" w:color="auto" w:fill="D3D3D3"/>
          </w:tcPr>
          <w:p>
            <w:pPr/>
          </w:p>
        </w:tc>
        <w:tc>
          <w:tcPr>
            <w:tcW w:w="1034" w:type="dxa"/>
            <w:tcBorders>
              <w:top w:val="single" w:sz="4" w:space="0" w:color="000000"/>
              <w:left w:val="single" w:sz="4" w:space="0" w:color="000000"/>
              <w:bottom w:val="nil" w:sz="6" w:space="0" w:color="auto"/>
              <w:right w:val="single" w:sz="4" w:space="0" w:color="000000"/>
            </w:tcBorders>
            <w:shd w:val="clear" w:color="auto" w:fill="D3D3D3"/>
          </w:tcPr>
          <w:p>
            <w:pPr/>
          </w:p>
        </w:tc>
        <w:tc>
          <w:tcPr>
            <w:tcW w:w="1034" w:type="dxa"/>
            <w:tcBorders>
              <w:top w:val="single" w:sz="4" w:space="0" w:color="000000"/>
              <w:left w:val="single" w:sz="4" w:space="0" w:color="000000"/>
              <w:bottom w:val="nil" w:sz="6" w:space="0" w:color="auto"/>
              <w:right w:val="single" w:sz="4" w:space="0" w:color="000000"/>
            </w:tcBorders>
            <w:shd w:val="clear" w:color="auto" w:fill="D3D3D3"/>
          </w:tcPr>
          <w:p>
            <w:pPr/>
          </w:p>
        </w:tc>
        <w:tc>
          <w:tcPr>
            <w:tcW w:w="1034" w:type="dxa"/>
            <w:tcBorders>
              <w:top w:val="single" w:sz="4" w:space="0" w:color="000000"/>
              <w:left w:val="single" w:sz="4" w:space="0" w:color="000000"/>
              <w:bottom w:val="nil" w:sz="6" w:space="0" w:color="auto"/>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累计在其</w:t>
            </w:r>
          </w:p>
        </w:tc>
        <w:tc>
          <w:tcPr>
            <w:tcW w:w="1035" w:type="dxa"/>
            <w:tcBorders>
              <w:top w:val="single" w:sz="4" w:space="0" w:color="000000"/>
              <w:left w:val="single" w:sz="4" w:space="0" w:color="000000"/>
              <w:bottom w:val="nil" w:sz="6" w:space="0" w:color="auto"/>
              <w:right w:val="single" w:sz="4" w:space="0" w:color="000000"/>
            </w:tcBorders>
            <w:shd w:val="clear" w:color="auto" w:fill="D3D3D3"/>
          </w:tcPr>
          <w:p>
            <w:pPr/>
          </w:p>
        </w:tc>
      </w:tr>
      <w:tr>
        <w:trPr>
          <w:trHeight w:val="936" w:hRule="exact"/>
        </w:trPr>
        <w:tc>
          <w:tcPr>
            <w:tcW w:w="1296"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035"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51"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034"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51" w:right="0"/>
              <w:jc w:val="left"/>
              <w:rPr>
                <w:rFonts w:ascii="宋体" w:hAnsi="宋体" w:cs="宋体" w:eastAsia="宋体" w:hint="default"/>
                <w:sz w:val="18"/>
                <w:szCs w:val="18"/>
              </w:rPr>
            </w:pPr>
            <w:r>
              <w:rPr>
                <w:rFonts w:ascii="宋体" w:hAnsi="宋体" w:cs="宋体" w:eastAsia="宋体" w:hint="default"/>
                <w:sz w:val="18"/>
                <w:szCs w:val="18"/>
              </w:rPr>
              <w:t>应计利息</w:t>
            </w:r>
          </w:p>
        </w:tc>
        <w:tc>
          <w:tcPr>
            <w:tcW w:w="1034"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2"/>
                <w:szCs w:val="12"/>
              </w:rPr>
            </w:pPr>
          </w:p>
          <w:p>
            <w:pPr>
              <w:pStyle w:val="TableParagraph"/>
              <w:spacing w:line="319" w:lineRule="auto"/>
              <w:ind w:left="151" w:right="150"/>
              <w:jc w:val="left"/>
              <w:rPr>
                <w:rFonts w:ascii="宋体" w:hAnsi="宋体" w:cs="宋体" w:eastAsia="宋体" w:hint="default"/>
                <w:sz w:val="18"/>
                <w:szCs w:val="18"/>
              </w:rPr>
            </w:pPr>
            <w:r>
              <w:rPr>
                <w:rFonts w:ascii="宋体" w:hAnsi="宋体" w:cs="宋体" w:eastAsia="宋体" w:hint="default"/>
                <w:sz w:val="18"/>
                <w:szCs w:val="18"/>
              </w:rPr>
              <w:t>本期公允 价值变动</w:t>
            </w:r>
          </w:p>
        </w:tc>
        <w:tc>
          <w:tcPr>
            <w:tcW w:w="1034"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5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034"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331" w:right="0"/>
              <w:jc w:val="left"/>
              <w:rPr>
                <w:rFonts w:ascii="宋体" w:hAnsi="宋体" w:cs="宋体" w:eastAsia="宋体" w:hint="default"/>
                <w:sz w:val="18"/>
                <w:szCs w:val="18"/>
              </w:rPr>
            </w:pPr>
            <w:r>
              <w:rPr>
                <w:rFonts w:ascii="宋体" w:hAnsi="宋体" w:cs="宋体" w:eastAsia="宋体" w:hint="default"/>
                <w:sz w:val="18"/>
                <w:szCs w:val="18"/>
              </w:rPr>
              <w:t>成本</w:t>
            </w:r>
          </w:p>
        </w:tc>
        <w:tc>
          <w:tcPr>
            <w:tcW w:w="1034"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2"/>
                <w:szCs w:val="12"/>
              </w:rPr>
            </w:pPr>
          </w:p>
          <w:p>
            <w:pPr>
              <w:pStyle w:val="TableParagraph"/>
              <w:spacing w:line="319" w:lineRule="auto"/>
              <w:ind w:left="151" w:right="150"/>
              <w:jc w:val="left"/>
              <w:rPr>
                <w:rFonts w:ascii="宋体" w:hAnsi="宋体" w:cs="宋体" w:eastAsia="宋体" w:hint="default"/>
                <w:sz w:val="18"/>
                <w:szCs w:val="18"/>
              </w:rPr>
            </w:pPr>
            <w:r>
              <w:rPr>
                <w:rFonts w:ascii="宋体" w:hAnsi="宋体" w:cs="宋体" w:eastAsia="宋体" w:hint="default"/>
                <w:sz w:val="18"/>
                <w:szCs w:val="18"/>
              </w:rPr>
              <w:t>累计公允 价值变动</w:t>
            </w:r>
          </w:p>
        </w:tc>
        <w:tc>
          <w:tcPr>
            <w:tcW w:w="1034"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316" w:lineRule="auto" w:before="10"/>
              <w:ind w:left="152" w:right="150"/>
              <w:jc w:val="both"/>
              <w:rPr>
                <w:rFonts w:ascii="宋体" w:hAnsi="宋体" w:cs="宋体" w:eastAsia="宋体" w:hint="default"/>
                <w:sz w:val="18"/>
                <w:szCs w:val="18"/>
              </w:rPr>
            </w:pPr>
            <w:r>
              <w:rPr>
                <w:rFonts w:ascii="宋体" w:hAnsi="宋体" w:cs="宋体" w:eastAsia="宋体" w:hint="default"/>
                <w:sz w:val="18"/>
                <w:szCs w:val="18"/>
              </w:rPr>
              <w:t>他综合收 益中确认 的损失准</w:t>
            </w:r>
          </w:p>
        </w:tc>
        <w:tc>
          <w:tcPr>
            <w:tcW w:w="1035"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331" w:right="0"/>
              <w:jc w:val="left"/>
              <w:rPr>
                <w:rFonts w:ascii="宋体" w:hAnsi="宋体" w:cs="宋体" w:eastAsia="宋体" w:hint="default"/>
                <w:sz w:val="18"/>
                <w:szCs w:val="18"/>
              </w:rPr>
            </w:pPr>
            <w:r>
              <w:rPr>
                <w:rFonts w:ascii="宋体" w:hAnsi="宋体" w:cs="宋体" w:eastAsia="宋体" w:hint="default"/>
                <w:sz w:val="18"/>
                <w:szCs w:val="18"/>
              </w:rPr>
              <w:t>备注</w:t>
            </w:r>
          </w:p>
        </w:tc>
      </w:tr>
      <w:tr>
        <w:trPr>
          <w:trHeight w:val="357" w:hRule="exact"/>
        </w:trPr>
        <w:tc>
          <w:tcPr>
            <w:tcW w:w="1296" w:type="dxa"/>
            <w:tcBorders>
              <w:top w:val="nil" w:sz="6" w:space="0" w:color="auto"/>
              <w:left w:val="single" w:sz="4" w:space="0" w:color="000000"/>
              <w:bottom w:val="single" w:sz="4" w:space="0" w:color="000000"/>
              <w:right w:val="single" w:sz="4" w:space="0" w:color="000000"/>
            </w:tcBorders>
            <w:shd w:val="clear" w:color="auto" w:fill="D3D3D3"/>
          </w:tcPr>
          <w:p>
            <w:pPr/>
          </w:p>
        </w:tc>
        <w:tc>
          <w:tcPr>
            <w:tcW w:w="1035" w:type="dxa"/>
            <w:tcBorders>
              <w:top w:val="nil" w:sz="6" w:space="0" w:color="auto"/>
              <w:left w:val="single" w:sz="4" w:space="0" w:color="000000"/>
              <w:bottom w:val="single" w:sz="4" w:space="0" w:color="000000"/>
              <w:right w:val="single" w:sz="4" w:space="0" w:color="000000"/>
            </w:tcBorders>
            <w:shd w:val="clear" w:color="auto" w:fill="D3D3D3"/>
          </w:tcPr>
          <w:p>
            <w:pPr/>
          </w:p>
        </w:tc>
        <w:tc>
          <w:tcPr>
            <w:tcW w:w="1034" w:type="dxa"/>
            <w:tcBorders>
              <w:top w:val="nil" w:sz="6" w:space="0" w:color="auto"/>
              <w:left w:val="single" w:sz="4" w:space="0" w:color="000000"/>
              <w:bottom w:val="single" w:sz="4" w:space="0" w:color="000000"/>
              <w:right w:val="single" w:sz="4" w:space="0" w:color="000000"/>
            </w:tcBorders>
            <w:shd w:val="clear" w:color="auto" w:fill="D3D3D3"/>
          </w:tcPr>
          <w:p>
            <w:pPr/>
          </w:p>
        </w:tc>
        <w:tc>
          <w:tcPr>
            <w:tcW w:w="1034" w:type="dxa"/>
            <w:tcBorders>
              <w:top w:val="nil" w:sz="6" w:space="0" w:color="auto"/>
              <w:left w:val="single" w:sz="4" w:space="0" w:color="000000"/>
              <w:bottom w:val="single" w:sz="4" w:space="0" w:color="000000"/>
              <w:right w:val="single" w:sz="4" w:space="0" w:color="000000"/>
            </w:tcBorders>
            <w:shd w:val="clear" w:color="auto" w:fill="D3D3D3"/>
          </w:tcPr>
          <w:p>
            <w:pPr/>
          </w:p>
        </w:tc>
        <w:tc>
          <w:tcPr>
            <w:tcW w:w="1034" w:type="dxa"/>
            <w:tcBorders>
              <w:top w:val="nil" w:sz="6" w:space="0" w:color="auto"/>
              <w:left w:val="single" w:sz="4" w:space="0" w:color="000000"/>
              <w:bottom w:val="single" w:sz="4" w:space="0" w:color="000000"/>
              <w:right w:val="single" w:sz="4" w:space="0" w:color="000000"/>
            </w:tcBorders>
            <w:shd w:val="clear" w:color="auto" w:fill="D3D3D3"/>
          </w:tcPr>
          <w:p>
            <w:pPr/>
          </w:p>
        </w:tc>
        <w:tc>
          <w:tcPr>
            <w:tcW w:w="1034" w:type="dxa"/>
            <w:tcBorders>
              <w:top w:val="nil" w:sz="6" w:space="0" w:color="auto"/>
              <w:left w:val="single" w:sz="4" w:space="0" w:color="000000"/>
              <w:bottom w:val="single" w:sz="4" w:space="0" w:color="000000"/>
              <w:right w:val="single" w:sz="4" w:space="0" w:color="000000"/>
            </w:tcBorders>
            <w:shd w:val="clear" w:color="auto" w:fill="D3D3D3"/>
          </w:tcPr>
          <w:p>
            <w:pPr/>
          </w:p>
        </w:tc>
        <w:tc>
          <w:tcPr>
            <w:tcW w:w="1034" w:type="dxa"/>
            <w:tcBorders>
              <w:top w:val="nil" w:sz="6" w:space="0" w:color="auto"/>
              <w:left w:val="single" w:sz="4" w:space="0" w:color="000000"/>
              <w:bottom w:val="single" w:sz="4" w:space="0" w:color="000000"/>
              <w:right w:val="single" w:sz="4" w:space="0" w:color="000000"/>
            </w:tcBorders>
            <w:shd w:val="clear" w:color="auto" w:fill="D3D3D3"/>
          </w:tcPr>
          <w:p>
            <w:pPr/>
          </w:p>
        </w:tc>
        <w:tc>
          <w:tcPr>
            <w:tcW w:w="1034" w:type="dxa"/>
            <w:tcBorders>
              <w:top w:val="nil" w:sz="6" w:space="0" w:color="auto"/>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备</w:t>
            </w:r>
          </w:p>
        </w:tc>
        <w:tc>
          <w:tcPr>
            <w:tcW w:w="1035" w:type="dxa"/>
            <w:tcBorders>
              <w:top w:val="nil" w:sz="6" w:space="0" w:color="auto"/>
              <w:left w:val="single" w:sz="4" w:space="0" w:color="000000"/>
              <w:bottom w:val="single" w:sz="4" w:space="0" w:color="000000"/>
              <w:right w:val="single" w:sz="4" w:space="0" w:color="000000"/>
            </w:tcBorders>
            <w:shd w:val="clear" w:color="auto" w:fill="D3D3D3"/>
          </w:tcPr>
          <w:p>
            <w:pPr/>
          </w:p>
        </w:tc>
      </w:tr>
    </w:tbl>
    <w:p>
      <w:pPr>
        <w:pStyle w:val="BodyText"/>
        <w:spacing w:line="240" w:lineRule="auto" w:before="50"/>
        <w:ind w:right="0"/>
        <w:jc w:val="left"/>
      </w:pPr>
      <w:r>
        <w:rPr/>
        <w:t>重要的其他债权投资</w:t>
      </w:r>
    </w:p>
    <w:p>
      <w:pPr>
        <w:pStyle w:val="BodyText"/>
        <w:spacing w:line="240" w:lineRule="auto" w:before="116"/>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6"/>
        <w:gridCol w:w="957"/>
        <w:gridCol w:w="958"/>
        <w:gridCol w:w="956"/>
        <w:gridCol w:w="957"/>
        <w:gridCol w:w="956"/>
        <w:gridCol w:w="957"/>
        <w:gridCol w:w="956"/>
        <w:gridCol w:w="957"/>
      </w:tblGrid>
      <w:tr>
        <w:trPr>
          <w:trHeight w:val="402" w:hRule="exact"/>
        </w:trPr>
        <w:tc>
          <w:tcPr>
            <w:tcW w:w="1916"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412" w:right="0"/>
              <w:jc w:val="left"/>
              <w:rPr>
                <w:rFonts w:ascii="宋体" w:hAnsi="宋体" w:cs="宋体" w:eastAsia="宋体" w:hint="default"/>
                <w:sz w:val="18"/>
                <w:szCs w:val="18"/>
              </w:rPr>
            </w:pPr>
            <w:r>
              <w:rPr>
                <w:rFonts w:ascii="宋体" w:hAnsi="宋体" w:cs="宋体" w:eastAsia="宋体" w:hint="default"/>
                <w:sz w:val="18"/>
                <w:szCs w:val="18"/>
              </w:rPr>
              <w:t>其他债权项目</w:t>
            </w:r>
          </w:p>
        </w:tc>
        <w:tc>
          <w:tcPr>
            <w:tcW w:w="3828" w:type="dxa"/>
            <w:gridSpan w:val="4"/>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26" w:type="dxa"/>
            <w:gridSpan w:val="4"/>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916" w:type="dxa"/>
            <w:vMerge/>
            <w:tcBorders>
              <w:left w:val="single" w:sz="4" w:space="0" w:color="000000"/>
              <w:bottom w:val="single" w:sz="4" w:space="0" w:color="000000"/>
              <w:right w:val="single" w:sz="4" w:space="0" w:color="000000"/>
            </w:tcBorders>
            <w:shd w:val="clear" w:color="auto" w:fill="D3D3D3"/>
          </w:tcPr>
          <w:p>
            <w:pPr/>
          </w:p>
        </w:tc>
        <w:tc>
          <w:tcPr>
            <w:tcW w:w="95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292" w:right="0"/>
              <w:jc w:val="left"/>
              <w:rPr>
                <w:rFonts w:ascii="宋体" w:hAnsi="宋体" w:cs="宋体" w:eastAsia="宋体" w:hint="default"/>
                <w:sz w:val="18"/>
                <w:szCs w:val="18"/>
              </w:rPr>
            </w:pPr>
            <w:r>
              <w:rPr>
                <w:rFonts w:ascii="宋体" w:hAnsi="宋体" w:cs="宋体" w:eastAsia="宋体" w:hint="default"/>
                <w:sz w:val="18"/>
                <w:szCs w:val="18"/>
              </w:rPr>
              <w:t>面值</w:t>
            </w:r>
          </w:p>
        </w:tc>
        <w:tc>
          <w:tcPr>
            <w:tcW w:w="95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14" w:right="0"/>
              <w:jc w:val="left"/>
              <w:rPr>
                <w:rFonts w:ascii="宋体" w:hAnsi="宋体" w:cs="宋体" w:eastAsia="宋体" w:hint="default"/>
                <w:sz w:val="18"/>
                <w:szCs w:val="18"/>
              </w:rPr>
            </w:pPr>
            <w:r>
              <w:rPr>
                <w:rFonts w:ascii="宋体" w:hAnsi="宋体" w:cs="宋体" w:eastAsia="宋体" w:hint="default"/>
                <w:sz w:val="18"/>
                <w:szCs w:val="18"/>
              </w:rPr>
              <w:t>票面利率</w:t>
            </w:r>
          </w:p>
        </w:tc>
        <w:tc>
          <w:tcPr>
            <w:tcW w:w="95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12" w:right="0"/>
              <w:jc w:val="left"/>
              <w:rPr>
                <w:rFonts w:ascii="宋体" w:hAnsi="宋体" w:cs="宋体" w:eastAsia="宋体" w:hint="default"/>
                <w:sz w:val="18"/>
                <w:szCs w:val="18"/>
              </w:rPr>
            </w:pPr>
            <w:r>
              <w:rPr>
                <w:rFonts w:ascii="宋体" w:hAnsi="宋体" w:cs="宋体" w:eastAsia="宋体" w:hint="default"/>
                <w:sz w:val="18"/>
                <w:szCs w:val="18"/>
              </w:rPr>
              <w:t>实际利率</w:t>
            </w:r>
          </w:p>
        </w:tc>
        <w:tc>
          <w:tcPr>
            <w:tcW w:w="95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202" w:right="0"/>
              <w:jc w:val="left"/>
              <w:rPr>
                <w:rFonts w:ascii="宋体" w:hAnsi="宋体" w:cs="宋体" w:eastAsia="宋体" w:hint="default"/>
                <w:sz w:val="18"/>
                <w:szCs w:val="18"/>
              </w:rPr>
            </w:pPr>
            <w:r>
              <w:rPr>
                <w:rFonts w:ascii="宋体" w:hAnsi="宋体" w:cs="宋体" w:eastAsia="宋体" w:hint="default"/>
                <w:sz w:val="18"/>
                <w:szCs w:val="18"/>
              </w:rPr>
              <w:t>到期日</w:t>
            </w:r>
          </w:p>
        </w:tc>
        <w:tc>
          <w:tcPr>
            <w:tcW w:w="95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292" w:right="0"/>
              <w:jc w:val="left"/>
              <w:rPr>
                <w:rFonts w:ascii="宋体" w:hAnsi="宋体" w:cs="宋体" w:eastAsia="宋体" w:hint="default"/>
                <w:sz w:val="18"/>
                <w:szCs w:val="18"/>
              </w:rPr>
            </w:pPr>
            <w:r>
              <w:rPr>
                <w:rFonts w:ascii="宋体" w:hAnsi="宋体" w:cs="宋体" w:eastAsia="宋体" w:hint="default"/>
                <w:sz w:val="18"/>
                <w:szCs w:val="18"/>
              </w:rPr>
              <w:t>面值</w:t>
            </w:r>
          </w:p>
        </w:tc>
        <w:tc>
          <w:tcPr>
            <w:tcW w:w="95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13" w:right="0"/>
              <w:jc w:val="left"/>
              <w:rPr>
                <w:rFonts w:ascii="宋体" w:hAnsi="宋体" w:cs="宋体" w:eastAsia="宋体" w:hint="default"/>
                <w:sz w:val="18"/>
                <w:szCs w:val="18"/>
              </w:rPr>
            </w:pPr>
            <w:r>
              <w:rPr>
                <w:rFonts w:ascii="宋体" w:hAnsi="宋体" w:cs="宋体" w:eastAsia="宋体" w:hint="default"/>
                <w:sz w:val="18"/>
                <w:szCs w:val="18"/>
              </w:rPr>
              <w:t>票面利率</w:t>
            </w:r>
          </w:p>
        </w:tc>
        <w:tc>
          <w:tcPr>
            <w:tcW w:w="95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13" w:right="0"/>
              <w:jc w:val="left"/>
              <w:rPr>
                <w:rFonts w:ascii="宋体" w:hAnsi="宋体" w:cs="宋体" w:eastAsia="宋体" w:hint="default"/>
                <w:sz w:val="18"/>
                <w:szCs w:val="18"/>
              </w:rPr>
            </w:pPr>
            <w:r>
              <w:rPr>
                <w:rFonts w:ascii="宋体" w:hAnsi="宋体" w:cs="宋体" w:eastAsia="宋体" w:hint="default"/>
                <w:sz w:val="18"/>
                <w:szCs w:val="18"/>
              </w:rPr>
              <w:t>实际利率</w:t>
            </w:r>
          </w:p>
        </w:tc>
        <w:tc>
          <w:tcPr>
            <w:tcW w:w="95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202" w:right="0"/>
              <w:jc w:val="left"/>
              <w:rPr>
                <w:rFonts w:ascii="宋体" w:hAnsi="宋体" w:cs="宋体" w:eastAsia="宋体" w:hint="default"/>
                <w:sz w:val="18"/>
                <w:szCs w:val="18"/>
              </w:rPr>
            </w:pPr>
            <w:r>
              <w:rPr>
                <w:rFonts w:ascii="宋体" w:hAnsi="宋体" w:cs="宋体" w:eastAsia="宋体" w:hint="default"/>
                <w:sz w:val="18"/>
                <w:szCs w:val="18"/>
              </w:rPr>
              <w:t>到期日</w:t>
            </w:r>
          </w:p>
        </w:tc>
      </w:tr>
    </w:tbl>
    <w:p>
      <w:pPr>
        <w:pStyle w:val="BodyText"/>
        <w:spacing w:line="240" w:lineRule="auto" w:before="50"/>
        <w:ind w:right="0"/>
        <w:jc w:val="left"/>
      </w:pPr>
      <w:r>
        <w:rPr/>
        <w:t>减值准备计提情况</w:t>
      </w:r>
    </w:p>
    <w:p>
      <w:pPr>
        <w:pStyle w:val="BodyText"/>
        <w:spacing w:line="240" w:lineRule="auto" w:before="116"/>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6"/>
        <w:gridCol w:w="1650"/>
        <w:gridCol w:w="2099"/>
        <w:gridCol w:w="2099"/>
        <w:gridCol w:w="1804"/>
      </w:tblGrid>
      <w:tr>
        <w:trPr>
          <w:trHeight w:val="402" w:hRule="exact"/>
        </w:trPr>
        <w:tc>
          <w:tcPr>
            <w:tcW w:w="1916"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65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第一阶段</w:t>
            </w:r>
          </w:p>
        </w:tc>
        <w:tc>
          <w:tcPr>
            <w:tcW w:w="209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第二阶段</w:t>
            </w:r>
          </w:p>
        </w:tc>
        <w:tc>
          <w:tcPr>
            <w:tcW w:w="209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第三阶段</w:t>
            </w:r>
          </w:p>
        </w:tc>
        <w:tc>
          <w:tcPr>
            <w:tcW w:w="1804"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714" w:hRule="exact"/>
        </w:trPr>
        <w:tc>
          <w:tcPr>
            <w:tcW w:w="1916" w:type="dxa"/>
            <w:vMerge/>
            <w:tcBorders>
              <w:left w:val="single" w:sz="4" w:space="0" w:color="000000"/>
              <w:bottom w:val="single" w:sz="4" w:space="0" w:color="000000"/>
              <w:right w:val="single" w:sz="4" w:space="0" w:color="000000"/>
            </w:tcBorders>
            <w:shd w:val="clear" w:color="auto" w:fill="D3D3D3"/>
          </w:tcPr>
          <w:p>
            <w:pPr/>
          </w:p>
        </w:tc>
        <w:tc>
          <w:tcPr>
            <w:tcW w:w="165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0"/>
              <w:ind w:left="460" w:right="143" w:hanging="315"/>
              <w:jc w:val="left"/>
              <w:rPr>
                <w:rFonts w:ascii="宋体" w:hAnsi="宋体" w:cs="宋体" w:eastAsia="宋体" w:hint="default"/>
                <w:sz w:val="18"/>
                <w:szCs w:val="18"/>
              </w:rPr>
            </w:pPr>
            <w:r>
              <w:rPr>
                <w:rFonts w:ascii="宋体" w:hAnsi="宋体" w:cs="宋体" w:eastAsia="宋体" w:hint="default"/>
                <w:sz w:val="18"/>
                <w:szCs w:val="18"/>
              </w:rPr>
              <w:t>未来</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个月预期 信用损失</w:t>
            </w:r>
          </w:p>
        </w:tc>
        <w:tc>
          <w:tcPr>
            <w:tcW w:w="209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265" w:right="143" w:hanging="122"/>
              <w:jc w:val="left"/>
              <w:rPr>
                <w:rFonts w:ascii="Times New Roman" w:hAnsi="Times New Roman" w:cs="Times New Roman" w:eastAsia="Times New Roman" w:hint="default"/>
                <w:sz w:val="18"/>
                <w:szCs w:val="18"/>
              </w:rPr>
            </w:pPr>
            <w:r>
              <w:rPr>
                <w:rFonts w:ascii="宋体" w:hAnsi="宋体" w:cs="宋体" w:eastAsia="宋体" w:hint="default"/>
                <w:sz w:val="18"/>
                <w:szCs w:val="18"/>
              </w:rPr>
              <w:t>整个存续期预期信用损 失</w:t>
            </w:r>
            <w:r>
              <w:rPr>
                <w:rFonts w:ascii="Times New Roman" w:hAnsi="Times New Roman" w:cs="Times New Roman" w:eastAsia="Times New Roman" w:hint="default"/>
                <w:sz w:val="18"/>
                <w:szCs w:val="18"/>
              </w:rPr>
              <w:t>(</w:t>
            </w:r>
            <w:r>
              <w:rPr>
                <w:rFonts w:ascii="宋体" w:hAnsi="宋体" w:cs="宋体" w:eastAsia="宋体" w:hint="default"/>
                <w:sz w:val="18"/>
                <w:szCs w:val="18"/>
              </w:rPr>
              <w:t>未发生信用减值</w:t>
            </w:r>
            <w:r>
              <w:rPr>
                <w:rFonts w:ascii="Times New Roman" w:hAnsi="Times New Roman" w:cs="Times New Roman" w:eastAsia="Times New Roman" w:hint="default"/>
                <w:sz w:val="18"/>
                <w:szCs w:val="18"/>
              </w:rPr>
              <w:t>)</w:t>
            </w:r>
          </w:p>
        </w:tc>
        <w:tc>
          <w:tcPr>
            <w:tcW w:w="209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265" w:right="143" w:hanging="122"/>
              <w:jc w:val="left"/>
              <w:rPr>
                <w:rFonts w:ascii="Times New Roman" w:hAnsi="Times New Roman" w:cs="Times New Roman" w:eastAsia="Times New Roman" w:hint="default"/>
                <w:sz w:val="18"/>
                <w:szCs w:val="18"/>
              </w:rPr>
            </w:pPr>
            <w:r>
              <w:rPr>
                <w:rFonts w:ascii="宋体" w:hAnsi="宋体" w:cs="宋体" w:eastAsia="宋体" w:hint="default"/>
                <w:sz w:val="18"/>
                <w:szCs w:val="18"/>
              </w:rPr>
              <w:t>整个存续期预期信用损 失</w:t>
            </w:r>
            <w:r>
              <w:rPr>
                <w:rFonts w:ascii="Times New Roman" w:hAnsi="Times New Roman" w:cs="Times New Roman" w:eastAsia="Times New Roman" w:hint="default"/>
                <w:sz w:val="18"/>
                <w:szCs w:val="18"/>
              </w:rPr>
              <w:t>(</w:t>
            </w:r>
            <w:r>
              <w:rPr>
                <w:rFonts w:ascii="宋体" w:hAnsi="宋体" w:cs="宋体" w:eastAsia="宋体" w:hint="default"/>
                <w:sz w:val="18"/>
                <w:szCs w:val="18"/>
              </w:rPr>
              <w:t>已发生信用减值</w:t>
            </w:r>
            <w:r>
              <w:rPr>
                <w:rFonts w:ascii="Times New Roman" w:hAnsi="Times New Roman" w:cs="Times New Roman" w:eastAsia="Times New Roman" w:hint="default"/>
                <w:sz w:val="18"/>
                <w:szCs w:val="18"/>
              </w:rPr>
              <w:t>)</w:t>
            </w:r>
          </w:p>
        </w:tc>
        <w:tc>
          <w:tcPr>
            <w:tcW w:w="1804" w:type="dxa"/>
            <w:vMerge/>
            <w:tcBorders>
              <w:left w:val="single" w:sz="4" w:space="0" w:color="000000"/>
              <w:bottom w:val="single" w:sz="4" w:space="0" w:color="000000"/>
              <w:right w:val="single" w:sz="4" w:space="0" w:color="000000"/>
            </w:tcBorders>
            <w:shd w:val="clear" w:color="auto" w:fill="D3D3D3"/>
          </w:tcPr>
          <w:p>
            <w:pPr/>
          </w:p>
        </w:tc>
      </w:tr>
      <w:tr>
        <w:trPr>
          <w:trHeight w:val="714" w:hRule="exact"/>
        </w:trPr>
        <w:tc>
          <w:tcPr>
            <w:tcW w:w="1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0"/>
              <w:ind w:left="102" w:right="136"/>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日余额 在本期</w:t>
            </w:r>
          </w:p>
        </w:tc>
        <w:tc>
          <w:tcPr>
            <w:tcW w:w="165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209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w:t>
            </w:r>
          </w:p>
        </w:tc>
        <w:tc>
          <w:tcPr>
            <w:tcW w:w="209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w:t>
            </w:r>
          </w:p>
        </w:tc>
        <w:tc>
          <w:tcPr>
            <w:tcW w:w="180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w:t>
            </w:r>
          </w:p>
        </w:tc>
      </w:tr>
    </w:tbl>
    <w:p>
      <w:pPr>
        <w:pStyle w:val="BodyText"/>
        <w:spacing w:line="240" w:lineRule="auto" w:before="49"/>
        <w:ind w:right="0"/>
        <w:jc w:val="left"/>
      </w:pPr>
      <w:r>
        <w:rPr/>
        <w:t>损失准备本期变动金额重大的账面余额变动情况</w:t>
      </w:r>
    </w:p>
    <w:p>
      <w:pPr>
        <w:pStyle w:val="BodyText"/>
        <w:spacing w:line="357" w:lineRule="auto" w:before="116"/>
        <w:ind w:right="9222"/>
        <w:jc w:val="left"/>
      </w:pPr>
      <w:r>
        <w:rPr/>
        <w:t>□ 适用 √ 不适用 其他说明：</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r>
        <w:rPr>
          <w:rFonts w:ascii="Times New Roman" w:hAnsi="Times New Roman" w:cs="Times New Roman" w:eastAsia="Times New Roman" w:hint="default"/>
        </w:rPr>
        <w:t>16</w:t>
      </w:r>
      <w:r>
        <w:rPr/>
        <w:t>、长期应收款</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t>（</w:t>
      </w:r>
      <w:r>
        <w:rPr>
          <w:rFonts w:ascii="Times New Roman" w:hAnsi="Times New Roman" w:cs="Times New Roman" w:eastAsia="Times New Roman" w:hint="default"/>
        </w:rPr>
        <w:t>1</w:t>
      </w:r>
      <w:r>
        <w:rPr/>
        <w:t>）长期应收款情况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403"/>
        <w:gridCol w:w="1167"/>
        <w:gridCol w:w="1167"/>
        <w:gridCol w:w="1167"/>
        <w:gridCol w:w="1167"/>
        <w:gridCol w:w="1168"/>
        <w:gridCol w:w="1165"/>
        <w:gridCol w:w="1165"/>
      </w:tblGrid>
      <w:tr>
        <w:trPr>
          <w:trHeight w:val="401" w:hRule="exact"/>
        </w:trPr>
        <w:tc>
          <w:tcPr>
            <w:tcW w:w="1403"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501" w:type="dxa"/>
            <w:gridSpan w:val="3"/>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500" w:type="dxa"/>
            <w:gridSpan w:val="3"/>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c>
          <w:tcPr>
            <w:tcW w:w="1165"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27" w:right="0"/>
              <w:jc w:val="left"/>
              <w:rPr>
                <w:rFonts w:ascii="宋体" w:hAnsi="宋体" w:cs="宋体" w:eastAsia="宋体" w:hint="default"/>
                <w:sz w:val="18"/>
                <w:szCs w:val="18"/>
              </w:rPr>
            </w:pPr>
            <w:r>
              <w:rPr>
                <w:rFonts w:ascii="宋体" w:hAnsi="宋体" w:cs="宋体" w:eastAsia="宋体" w:hint="default"/>
                <w:sz w:val="18"/>
                <w:szCs w:val="18"/>
              </w:rPr>
              <w:t>折现率区间</w:t>
            </w:r>
          </w:p>
        </w:tc>
      </w:tr>
      <w:tr>
        <w:trPr>
          <w:trHeight w:val="402" w:hRule="exact"/>
        </w:trPr>
        <w:tc>
          <w:tcPr>
            <w:tcW w:w="1403" w:type="dxa"/>
            <w:vMerge/>
            <w:tcBorders>
              <w:left w:val="single" w:sz="4" w:space="0" w:color="000000"/>
              <w:bottom w:val="single" w:sz="4" w:space="0" w:color="000000"/>
              <w:right w:val="single" w:sz="4" w:space="0" w:color="000000"/>
            </w:tcBorders>
            <w:shd w:val="clear" w:color="auto" w:fill="D3D3D3"/>
          </w:tcPr>
          <w:p>
            <w:pPr/>
          </w:p>
        </w:tc>
        <w:tc>
          <w:tcPr>
            <w:tcW w:w="11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21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21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1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217"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1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21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219"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16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216"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165" w:type="dxa"/>
            <w:vMerge/>
            <w:tcBorders>
              <w:left w:val="single" w:sz="4" w:space="0" w:color="000000"/>
              <w:bottom w:val="single" w:sz="4" w:space="0" w:color="000000"/>
              <w:right w:val="single" w:sz="4" w:space="0" w:color="000000"/>
            </w:tcBorders>
            <w:shd w:val="clear" w:color="auto" w:fill="D3D3D3"/>
          </w:tcPr>
          <w:p>
            <w:pPr/>
          </w:p>
        </w:tc>
      </w:tr>
    </w:tbl>
    <w:p>
      <w:pPr>
        <w:spacing w:after="0"/>
        <w:sectPr>
          <w:pgSz w:w="11910" w:h="16840"/>
          <w:pgMar w:header="906" w:footer="1018" w:top="1100" w:bottom="1200" w:left="1020" w:right="0"/>
        </w:sectPr>
      </w:pPr>
    </w:p>
    <w:p>
      <w:pPr>
        <w:spacing w:line="240" w:lineRule="auto" w:before="11"/>
        <w:rPr>
          <w:rFonts w:ascii="宋体" w:hAnsi="宋体" w:cs="宋体" w:eastAsia="宋体" w:hint="default"/>
          <w:sz w:val="22"/>
          <w:szCs w:val="22"/>
        </w:rPr>
      </w:pPr>
    </w:p>
    <w:p>
      <w:pPr>
        <w:pStyle w:val="BodyText"/>
        <w:spacing w:line="240" w:lineRule="auto" w:before="44"/>
        <w:ind w:right="0"/>
        <w:jc w:val="left"/>
      </w:pPr>
      <w:r>
        <w:rPr/>
        <w:t>坏账准备减值情况</w:t>
      </w:r>
    </w:p>
    <w:p>
      <w:pPr>
        <w:pStyle w:val="BodyText"/>
        <w:spacing w:line="240" w:lineRule="auto" w:before="116"/>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6"/>
        <w:gridCol w:w="1650"/>
        <w:gridCol w:w="2099"/>
        <w:gridCol w:w="2099"/>
        <w:gridCol w:w="1804"/>
      </w:tblGrid>
      <w:tr>
        <w:trPr>
          <w:trHeight w:val="402" w:hRule="exact"/>
        </w:trPr>
        <w:tc>
          <w:tcPr>
            <w:tcW w:w="1916"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65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第一阶段</w:t>
            </w:r>
          </w:p>
        </w:tc>
        <w:tc>
          <w:tcPr>
            <w:tcW w:w="209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第二阶段</w:t>
            </w:r>
          </w:p>
        </w:tc>
        <w:tc>
          <w:tcPr>
            <w:tcW w:w="209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第三阶段</w:t>
            </w:r>
          </w:p>
        </w:tc>
        <w:tc>
          <w:tcPr>
            <w:tcW w:w="1804"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714" w:hRule="exact"/>
        </w:trPr>
        <w:tc>
          <w:tcPr>
            <w:tcW w:w="1916" w:type="dxa"/>
            <w:vMerge/>
            <w:tcBorders>
              <w:left w:val="single" w:sz="4" w:space="0" w:color="000000"/>
              <w:bottom w:val="single" w:sz="4" w:space="0" w:color="000000"/>
              <w:right w:val="single" w:sz="4" w:space="0" w:color="000000"/>
            </w:tcBorders>
            <w:shd w:val="clear" w:color="auto" w:fill="D3D3D3"/>
          </w:tcPr>
          <w:p>
            <w:pPr/>
          </w:p>
        </w:tc>
        <w:tc>
          <w:tcPr>
            <w:tcW w:w="165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0"/>
              <w:ind w:left="460" w:right="143" w:hanging="315"/>
              <w:jc w:val="left"/>
              <w:rPr>
                <w:rFonts w:ascii="宋体" w:hAnsi="宋体" w:cs="宋体" w:eastAsia="宋体" w:hint="default"/>
                <w:sz w:val="18"/>
                <w:szCs w:val="18"/>
              </w:rPr>
            </w:pPr>
            <w:r>
              <w:rPr>
                <w:rFonts w:ascii="宋体" w:hAnsi="宋体" w:cs="宋体" w:eastAsia="宋体" w:hint="default"/>
                <w:sz w:val="18"/>
                <w:szCs w:val="18"/>
              </w:rPr>
              <w:t>未来</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个月预期 信用损失</w:t>
            </w:r>
          </w:p>
        </w:tc>
        <w:tc>
          <w:tcPr>
            <w:tcW w:w="209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265" w:right="143" w:hanging="122"/>
              <w:jc w:val="left"/>
              <w:rPr>
                <w:rFonts w:ascii="Times New Roman" w:hAnsi="Times New Roman" w:cs="Times New Roman" w:eastAsia="Times New Roman" w:hint="default"/>
                <w:sz w:val="18"/>
                <w:szCs w:val="18"/>
              </w:rPr>
            </w:pPr>
            <w:r>
              <w:rPr>
                <w:rFonts w:ascii="宋体" w:hAnsi="宋体" w:cs="宋体" w:eastAsia="宋体" w:hint="default"/>
                <w:sz w:val="18"/>
                <w:szCs w:val="18"/>
              </w:rPr>
              <w:t>整个存续期预期信用损 失</w:t>
            </w:r>
            <w:r>
              <w:rPr>
                <w:rFonts w:ascii="Times New Roman" w:hAnsi="Times New Roman" w:cs="Times New Roman" w:eastAsia="Times New Roman" w:hint="default"/>
                <w:sz w:val="18"/>
                <w:szCs w:val="18"/>
              </w:rPr>
              <w:t>(</w:t>
            </w:r>
            <w:r>
              <w:rPr>
                <w:rFonts w:ascii="宋体" w:hAnsi="宋体" w:cs="宋体" w:eastAsia="宋体" w:hint="default"/>
                <w:sz w:val="18"/>
                <w:szCs w:val="18"/>
              </w:rPr>
              <w:t>未发生信用减值</w:t>
            </w:r>
            <w:r>
              <w:rPr>
                <w:rFonts w:ascii="Times New Roman" w:hAnsi="Times New Roman" w:cs="Times New Roman" w:eastAsia="Times New Roman" w:hint="default"/>
                <w:sz w:val="18"/>
                <w:szCs w:val="18"/>
              </w:rPr>
              <w:t>)</w:t>
            </w:r>
          </w:p>
        </w:tc>
        <w:tc>
          <w:tcPr>
            <w:tcW w:w="209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265" w:right="143" w:hanging="122"/>
              <w:jc w:val="left"/>
              <w:rPr>
                <w:rFonts w:ascii="Times New Roman" w:hAnsi="Times New Roman" w:cs="Times New Roman" w:eastAsia="Times New Roman" w:hint="default"/>
                <w:sz w:val="18"/>
                <w:szCs w:val="18"/>
              </w:rPr>
            </w:pPr>
            <w:r>
              <w:rPr>
                <w:rFonts w:ascii="宋体" w:hAnsi="宋体" w:cs="宋体" w:eastAsia="宋体" w:hint="default"/>
                <w:sz w:val="18"/>
                <w:szCs w:val="18"/>
              </w:rPr>
              <w:t>整个存续期预期信用损 失</w:t>
            </w:r>
            <w:r>
              <w:rPr>
                <w:rFonts w:ascii="Times New Roman" w:hAnsi="Times New Roman" w:cs="Times New Roman" w:eastAsia="Times New Roman" w:hint="default"/>
                <w:sz w:val="18"/>
                <w:szCs w:val="18"/>
              </w:rPr>
              <w:t>(</w:t>
            </w:r>
            <w:r>
              <w:rPr>
                <w:rFonts w:ascii="宋体" w:hAnsi="宋体" w:cs="宋体" w:eastAsia="宋体" w:hint="default"/>
                <w:sz w:val="18"/>
                <w:szCs w:val="18"/>
              </w:rPr>
              <w:t>已发生信用减值</w:t>
            </w:r>
            <w:r>
              <w:rPr>
                <w:rFonts w:ascii="Times New Roman" w:hAnsi="Times New Roman" w:cs="Times New Roman" w:eastAsia="Times New Roman" w:hint="default"/>
                <w:sz w:val="18"/>
                <w:szCs w:val="18"/>
              </w:rPr>
              <w:t>)</w:t>
            </w:r>
          </w:p>
        </w:tc>
        <w:tc>
          <w:tcPr>
            <w:tcW w:w="1804" w:type="dxa"/>
            <w:vMerge/>
            <w:tcBorders>
              <w:left w:val="single" w:sz="4" w:space="0" w:color="000000"/>
              <w:bottom w:val="single" w:sz="4" w:space="0" w:color="000000"/>
              <w:right w:val="single" w:sz="4" w:space="0" w:color="000000"/>
            </w:tcBorders>
            <w:shd w:val="clear" w:color="auto" w:fill="D3D3D3"/>
          </w:tcPr>
          <w:p>
            <w:pPr/>
          </w:p>
        </w:tc>
      </w:tr>
      <w:tr>
        <w:trPr>
          <w:trHeight w:val="714" w:hRule="exact"/>
        </w:trPr>
        <w:tc>
          <w:tcPr>
            <w:tcW w:w="1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0"/>
              <w:ind w:left="102" w:right="136"/>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日余额 在本期</w:t>
            </w:r>
          </w:p>
        </w:tc>
        <w:tc>
          <w:tcPr>
            <w:tcW w:w="165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209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w:t>
            </w:r>
          </w:p>
        </w:tc>
        <w:tc>
          <w:tcPr>
            <w:tcW w:w="209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w:t>
            </w:r>
          </w:p>
        </w:tc>
        <w:tc>
          <w:tcPr>
            <w:tcW w:w="180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w:t>
            </w:r>
          </w:p>
        </w:tc>
      </w:tr>
    </w:tbl>
    <w:p>
      <w:pPr>
        <w:pStyle w:val="BodyText"/>
        <w:spacing w:line="240" w:lineRule="auto" w:before="49"/>
        <w:ind w:right="0"/>
        <w:jc w:val="left"/>
      </w:pPr>
      <w:r>
        <w:rPr/>
        <w:t>损失准备本期变动金额重大的账面余额变动情况</w:t>
      </w:r>
    </w:p>
    <w:p>
      <w:pPr>
        <w:pStyle w:val="BodyText"/>
        <w:spacing w:line="240" w:lineRule="auto" w:before="116"/>
        <w:ind w:right="0"/>
        <w:jc w:val="left"/>
      </w:pPr>
      <w:r>
        <w:rPr/>
        <w:t>□ 适用 √ 不适用</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t>（</w:t>
      </w:r>
      <w:r>
        <w:rPr>
          <w:rFonts w:ascii="Times New Roman" w:hAnsi="Times New Roman" w:cs="Times New Roman" w:eastAsia="Times New Roman" w:hint="default"/>
        </w:rPr>
        <w:t>2</w:t>
      </w:r>
      <w:r>
        <w:rPr/>
        <w:t>）因金融资产转移而终止确认的长期应收款</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t>（</w:t>
      </w:r>
      <w:r>
        <w:rPr>
          <w:rFonts w:ascii="Times New Roman" w:hAnsi="Times New Roman" w:cs="Times New Roman" w:eastAsia="Times New Roman" w:hint="default"/>
        </w:rPr>
        <w:t>3</w:t>
      </w:r>
      <w:r>
        <w:rPr/>
        <w:t>）转移长期应收款且继续涉入形成的资产、负债金额</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其他说明</w:t>
      </w:r>
    </w:p>
    <w:p>
      <w:pPr>
        <w:spacing w:line="240" w:lineRule="auto" w:before="13"/>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17</w:t>
      </w:r>
      <w:r>
        <w:rPr/>
        <w:t>、长期股权投资</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796"/>
        <w:gridCol w:w="797"/>
        <w:gridCol w:w="797"/>
        <w:gridCol w:w="798"/>
        <w:gridCol w:w="798"/>
        <w:gridCol w:w="798"/>
        <w:gridCol w:w="798"/>
        <w:gridCol w:w="798"/>
        <w:gridCol w:w="798"/>
        <w:gridCol w:w="798"/>
        <w:gridCol w:w="798"/>
        <w:gridCol w:w="798"/>
      </w:tblGrid>
      <w:tr>
        <w:trPr>
          <w:trHeight w:val="300" w:hRule="exact"/>
        </w:trPr>
        <w:tc>
          <w:tcPr>
            <w:tcW w:w="796" w:type="dxa"/>
            <w:tcBorders>
              <w:top w:val="single" w:sz="4" w:space="0" w:color="000000"/>
              <w:left w:val="single" w:sz="4" w:space="0" w:color="000000"/>
              <w:bottom w:val="nil" w:sz="6" w:space="0" w:color="auto"/>
              <w:right w:val="single" w:sz="4" w:space="0" w:color="000000"/>
            </w:tcBorders>
            <w:shd w:val="clear" w:color="auto" w:fill="D3D3D3"/>
          </w:tcPr>
          <w:p>
            <w:pPr/>
          </w:p>
        </w:tc>
        <w:tc>
          <w:tcPr>
            <w:tcW w:w="797" w:type="dxa"/>
            <w:tcBorders>
              <w:top w:val="single" w:sz="4" w:space="0" w:color="000000"/>
              <w:left w:val="single" w:sz="4" w:space="0" w:color="000000"/>
              <w:bottom w:val="nil" w:sz="6" w:space="0" w:color="auto"/>
              <w:right w:val="single" w:sz="4" w:space="0" w:color="000000"/>
            </w:tcBorders>
            <w:shd w:val="clear" w:color="auto" w:fill="D3D3D3"/>
          </w:tcPr>
          <w:p>
            <w:pPr/>
          </w:p>
        </w:tc>
        <w:tc>
          <w:tcPr>
            <w:tcW w:w="6383" w:type="dxa"/>
            <w:gridSpan w:val="8"/>
            <w:tcBorders>
              <w:top w:val="single" w:sz="4" w:space="0" w:color="000000"/>
              <w:left w:val="single" w:sz="4" w:space="0" w:color="000000"/>
              <w:bottom w:val="nil" w:sz="6" w:space="0" w:color="auto"/>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798" w:type="dxa"/>
            <w:tcBorders>
              <w:top w:val="single" w:sz="4" w:space="0" w:color="000000"/>
              <w:left w:val="single" w:sz="4" w:space="0" w:color="000000"/>
              <w:bottom w:val="nil" w:sz="6" w:space="0" w:color="auto"/>
              <w:right w:val="single" w:sz="4" w:space="0" w:color="000000"/>
            </w:tcBorders>
            <w:shd w:val="clear" w:color="auto" w:fill="D3D3D3"/>
          </w:tcPr>
          <w:p>
            <w:pPr/>
          </w:p>
        </w:tc>
        <w:tc>
          <w:tcPr>
            <w:tcW w:w="798" w:type="dxa"/>
            <w:tcBorders>
              <w:top w:val="single" w:sz="4" w:space="0" w:color="000000"/>
              <w:left w:val="single" w:sz="4" w:space="0" w:color="000000"/>
              <w:bottom w:val="nil" w:sz="6" w:space="0" w:color="auto"/>
              <w:right w:val="single" w:sz="4" w:space="0" w:color="000000"/>
            </w:tcBorders>
            <w:shd w:val="clear" w:color="auto" w:fill="D3D3D3"/>
          </w:tcPr>
          <w:p>
            <w:pPr/>
          </w:p>
        </w:tc>
      </w:tr>
      <w:tr>
        <w:trPr>
          <w:trHeight w:val="102" w:hRule="exact"/>
        </w:trPr>
        <w:tc>
          <w:tcPr>
            <w:tcW w:w="796" w:type="dxa"/>
            <w:vMerge w:val="restart"/>
            <w:tcBorders>
              <w:top w:val="nil" w:sz="6" w:space="0" w:color="auto"/>
              <w:left w:val="single" w:sz="4" w:space="0" w:color="000000"/>
              <w:right w:val="single" w:sz="4" w:space="0" w:color="000000"/>
            </w:tcBorders>
            <w:shd w:val="clear" w:color="auto" w:fill="D3D3D3"/>
          </w:tcPr>
          <w:p>
            <w:pPr>
              <w:pStyle w:val="TableParagraph"/>
              <w:spacing w:line="240" w:lineRule="auto" w:before="5"/>
              <w:ind w:right="0"/>
              <w:jc w:val="left"/>
              <w:rPr>
                <w:rFonts w:ascii="宋体" w:hAnsi="宋体" w:cs="宋体" w:eastAsia="宋体" w:hint="default"/>
                <w:sz w:val="20"/>
                <w:szCs w:val="20"/>
              </w:rPr>
            </w:pPr>
          </w:p>
          <w:p>
            <w:pPr>
              <w:pStyle w:val="TableParagraph"/>
              <w:spacing w:line="316" w:lineRule="auto"/>
              <w:ind w:left="213" w:right="122" w:hanging="90"/>
              <w:jc w:val="left"/>
              <w:rPr>
                <w:rFonts w:ascii="宋体" w:hAnsi="宋体" w:cs="宋体" w:eastAsia="宋体" w:hint="default"/>
                <w:sz w:val="18"/>
                <w:szCs w:val="18"/>
              </w:rPr>
            </w:pPr>
            <w:r>
              <w:rPr>
                <w:rFonts w:ascii="宋体" w:hAnsi="宋体" w:cs="宋体" w:eastAsia="宋体" w:hint="default"/>
                <w:sz w:val="18"/>
                <w:szCs w:val="18"/>
              </w:rPr>
              <w:t>被投资 单位</w:t>
            </w:r>
          </w:p>
        </w:tc>
        <w:tc>
          <w:tcPr>
            <w:tcW w:w="797" w:type="dxa"/>
            <w:vMerge w:val="restart"/>
            <w:tcBorders>
              <w:top w:val="nil" w:sz="6" w:space="0" w:color="auto"/>
              <w:left w:val="single" w:sz="4" w:space="0" w:color="000000"/>
              <w:right w:val="single" w:sz="4" w:space="0" w:color="000000"/>
            </w:tcBorders>
            <w:shd w:val="clear" w:color="auto" w:fill="D3D3D3"/>
          </w:tcPr>
          <w:p>
            <w:pPr>
              <w:pStyle w:val="TableParagraph"/>
              <w:spacing w:line="191" w:lineRule="exact"/>
              <w:ind w:left="184" w:right="0" w:hanging="62"/>
              <w:jc w:val="both"/>
              <w:rPr>
                <w:rFonts w:ascii="宋体" w:hAnsi="宋体" w:cs="宋体" w:eastAsia="宋体" w:hint="default"/>
                <w:sz w:val="18"/>
                <w:szCs w:val="18"/>
              </w:rPr>
            </w:pPr>
            <w:r>
              <w:rPr>
                <w:rFonts w:ascii="宋体" w:hAnsi="宋体" w:cs="宋体" w:eastAsia="宋体" w:hint="default"/>
                <w:sz w:val="18"/>
                <w:szCs w:val="18"/>
              </w:rPr>
              <w:t>期初余</w:t>
            </w:r>
          </w:p>
          <w:p>
            <w:pPr>
              <w:pStyle w:val="TableParagraph"/>
              <w:spacing w:line="309" w:lineRule="auto" w:before="76"/>
              <w:ind w:left="213" w:right="182" w:hanging="29"/>
              <w:jc w:val="both"/>
              <w:rPr>
                <w:rFonts w:ascii="Times New Roman" w:hAnsi="Times New Roman" w:cs="Times New Roman" w:eastAsia="Times New Roman" w:hint="default"/>
                <w:sz w:val="18"/>
                <w:szCs w:val="18"/>
              </w:rPr>
            </w:pPr>
            <w:r>
              <w:rPr>
                <w:rFonts w:ascii="宋体" w:hAnsi="宋体" w:cs="宋体" w:eastAsia="宋体" w:hint="default"/>
                <w:sz w:val="18"/>
                <w:szCs w:val="18"/>
              </w:rPr>
              <w:t>额</w:t>
            </w:r>
            <w:r>
              <w:rPr>
                <w:rFonts w:ascii="Times New Roman" w:hAnsi="Times New Roman" w:cs="Times New Roman" w:eastAsia="Times New Roman" w:hint="default"/>
                <w:sz w:val="18"/>
                <w:szCs w:val="18"/>
              </w:rPr>
              <w:t>(</w:t>
            </w:r>
            <w:r>
              <w:rPr>
                <w:rFonts w:ascii="宋体" w:hAnsi="宋体" w:cs="宋体" w:eastAsia="宋体" w:hint="default"/>
                <w:sz w:val="18"/>
                <w:szCs w:val="18"/>
              </w:rPr>
              <w:t>账 面价 值</w:t>
            </w:r>
            <w:r>
              <w:rPr>
                <w:rFonts w:ascii="Times New Roman" w:hAnsi="Times New Roman" w:cs="Times New Roman" w:eastAsia="Times New Roman" w:hint="default"/>
                <w:sz w:val="18"/>
                <w:szCs w:val="18"/>
              </w:rPr>
              <w:t>)</w:t>
            </w:r>
          </w:p>
        </w:tc>
        <w:tc>
          <w:tcPr>
            <w:tcW w:w="6383" w:type="dxa"/>
            <w:gridSpan w:val="8"/>
            <w:tcBorders>
              <w:top w:val="nil" w:sz="6" w:space="0" w:color="auto"/>
              <w:left w:val="single" w:sz="4" w:space="0" w:color="000000"/>
              <w:bottom w:val="single" w:sz="4" w:space="0" w:color="000000"/>
              <w:right w:val="single" w:sz="4" w:space="0" w:color="000000"/>
            </w:tcBorders>
            <w:shd w:val="clear" w:color="auto" w:fill="D3D3D3"/>
          </w:tcPr>
          <w:p>
            <w:pPr/>
          </w:p>
        </w:tc>
        <w:tc>
          <w:tcPr>
            <w:tcW w:w="798" w:type="dxa"/>
            <w:vMerge w:val="restart"/>
            <w:tcBorders>
              <w:top w:val="nil" w:sz="6" w:space="0" w:color="auto"/>
              <w:left w:val="single" w:sz="4" w:space="0" w:color="000000"/>
              <w:right w:val="single" w:sz="4" w:space="0" w:color="000000"/>
            </w:tcBorders>
            <w:shd w:val="clear" w:color="auto" w:fill="D3D3D3"/>
          </w:tcPr>
          <w:p>
            <w:pPr>
              <w:pStyle w:val="TableParagraph"/>
              <w:spacing w:line="191" w:lineRule="exact"/>
              <w:ind w:left="184" w:right="0" w:hanging="60"/>
              <w:jc w:val="both"/>
              <w:rPr>
                <w:rFonts w:ascii="宋体" w:hAnsi="宋体" w:cs="宋体" w:eastAsia="宋体" w:hint="default"/>
                <w:sz w:val="18"/>
                <w:szCs w:val="18"/>
              </w:rPr>
            </w:pPr>
            <w:r>
              <w:rPr>
                <w:rFonts w:ascii="宋体" w:hAnsi="宋体" w:cs="宋体" w:eastAsia="宋体" w:hint="default"/>
                <w:sz w:val="18"/>
                <w:szCs w:val="18"/>
              </w:rPr>
              <w:t>期末余</w:t>
            </w:r>
          </w:p>
          <w:p>
            <w:pPr>
              <w:pStyle w:val="TableParagraph"/>
              <w:spacing w:line="309" w:lineRule="auto" w:before="76"/>
              <w:ind w:left="214" w:right="183" w:hanging="31"/>
              <w:jc w:val="both"/>
              <w:rPr>
                <w:rFonts w:ascii="Times New Roman" w:hAnsi="Times New Roman" w:cs="Times New Roman" w:eastAsia="Times New Roman" w:hint="default"/>
                <w:sz w:val="18"/>
                <w:szCs w:val="18"/>
              </w:rPr>
            </w:pPr>
            <w:r>
              <w:rPr>
                <w:rFonts w:ascii="宋体" w:hAnsi="宋体" w:cs="宋体" w:eastAsia="宋体" w:hint="default"/>
                <w:sz w:val="18"/>
                <w:szCs w:val="18"/>
              </w:rPr>
              <w:t>额</w:t>
            </w:r>
            <w:r>
              <w:rPr>
                <w:rFonts w:ascii="Times New Roman" w:hAnsi="Times New Roman" w:cs="Times New Roman" w:eastAsia="Times New Roman" w:hint="default"/>
                <w:sz w:val="18"/>
                <w:szCs w:val="18"/>
              </w:rPr>
              <w:t>(</w:t>
            </w:r>
            <w:r>
              <w:rPr>
                <w:rFonts w:ascii="宋体" w:hAnsi="宋体" w:cs="宋体" w:eastAsia="宋体" w:hint="default"/>
                <w:sz w:val="18"/>
                <w:szCs w:val="18"/>
              </w:rPr>
              <w:t>账 面价 值</w:t>
            </w:r>
            <w:r>
              <w:rPr>
                <w:rFonts w:ascii="Times New Roman" w:hAnsi="Times New Roman" w:cs="Times New Roman" w:eastAsia="Times New Roman" w:hint="default"/>
                <w:sz w:val="18"/>
                <w:szCs w:val="18"/>
              </w:rPr>
              <w:t>)</w:t>
            </w:r>
          </w:p>
        </w:tc>
        <w:tc>
          <w:tcPr>
            <w:tcW w:w="798" w:type="dxa"/>
            <w:vMerge w:val="restart"/>
            <w:tcBorders>
              <w:top w:val="nil" w:sz="6" w:space="0" w:color="auto"/>
              <w:left w:val="single" w:sz="4" w:space="0" w:color="000000"/>
              <w:right w:val="single" w:sz="4" w:space="0" w:color="000000"/>
            </w:tcBorders>
            <w:shd w:val="clear" w:color="auto" w:fill="D3D3D3"/>
          </w:tcPr>
          <w:p>
            <w:pPr>
              <w:pStyle w:val="TableParagraph"/>
              <w:spacing w:line="316" w:lineRule="auto" w:before="111"/>
              <w:ind w:left="124" w:right="122"/>
              <w:jc w:val="both"/>
              <w:rPr>
                <w:rFonts w:ascii="宋体" w:hAnsi="宋体" w:cs="宋体" w:eastAsia="宋体" w:hint="default"/>
                <w:sz w:val="18"/>
                <w:szCs w:val="18"/>
              </w:rPr>
            </w:pPr>
            <w:r>
              <w:rPr>
                <w:rFonts w:ascii="宋体" w:hAnsi="宋体" w:cs="宋体" w:eastAsia="宋体" w:hint="default"/>
                <w:sz w:val="18"/>
                <w:szCs w:val="18"/>
              </w:rPr>
              <w:t>减值准 备期末 余额</w:t>
            </w:r>
          </w:p>
        </w:tc>
      </w:tr>
      <w:tr>
        <w:trPr>
          <w:trHeight w:val="1337" w:hRule="exact"/>
        </w:trPr>
        <w:tc>
          <w:tcPr>
            <w:tcW w:w="796" w:type="dxa"/>
            <w:vMerge/>
            <w:tcBorders>
              <w:left w:val="single" w:sz="4" w:space="0" w:color="000000"/>
              <w:bottom w:val="single" w:sz="4" w:space="0" w:color="000000"/>
              <w:right w:val="single" w:sz="4" w:space="0" w:color="000000"/>
            </w:tcBorders>
            <w:shd w:val="clear" w:color="auto" w:fill="D3D3D3"/>
          </w:tcPr>
          <w:p>
            <w:pPr/>
          </w:p>
        </w:tc>
        <w:tc>
          <w:tcPr>
            <w:tcW w:w="797" w:type="dxa"/>
            <w:vMerge/>
            <w:tcBorders>
              <w:left w:val="single" w:sz="4" w:space="0" w:color="000000"/>
              <w:bottom w:val="single" w:sz="4" w:space="0" w:color="000000"/>
              <w:right w:val="single" w:sz="4" w:space="0" w:color="000000"/>
            </w:tcBorders>
            <w:shd w:val="clear" w:color="auto" w:fill="D3D3D3"/>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303" w:right="122" w:hanging="180"/>
              <w:jc w:val="left"/>
              <w:rPr>
                <w:rFonts w:ascii="宋体" w:hAnsi="宋体" w:cs="宋体" w:eastAsia="宋体" w:hint="default"/>
                <w:sz w:val="18"/>
                <w:szCs w:val="18"/>
              </w:rPr>
            </w:pPr>
            <w:r>
              <w:rPr>
                <w:rFonts w:ascii="宋体" w:hAnsi="宋体" w:cs="宋体" w:eastAsia="宋体" w:hint="default"/>
                <w:sz w:val="18"/>
                <w:szCs w:val="18"/>
              </w:rPr>
              <w:t>追加投 资</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304" w:right="122" w:hanging="180"/>
              <w:jc w:val="left"/>
              <w:rPr>
                <w:rFonts w:ascii="宋体" w:hAnsi="宋体" w:cs="宋体" w:eastAsia="宋体" w:hint="default"/>
                <w:sz w:val="18"/>
                <w:szCs w:val="18"/>
              </w:rPr>
            </w:pPr>
            <w:r>
              <w:rPr>
                <w:rFonts w:ascii="宋体" w:hAnsi="宋体" w:cs="宋体" w:eastAsia="宋体" w:hint="default"/>
                <w:sz w:val="18"/>
                <w:szCs w:val="18"/>
              </w:rPr>
              <w:t>减少投 资</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24" w:right="122"/>
              <w:jc w:val="both"/>
              <w:rPr>
                <w:rFonts w:ascii="宋体" w:hAnsi="宋体" w:cs="宋体" w:eastAsia="宋体" w:hint="default"/>
                <w:sz w:val="18"/>
                <w:szCs w:val="18"/>
              </w:rPr>
            </w:pPr>
            <w:r>
              <w:rPr>
                <w:rFonts w:ascii="宋体" w:hAnsi="宋体" w:cs="宋体" w:eastAsia="宋体" w:hint="default"/>
                <w:sz w:val="18"/>
                <w:szCs w:val="18"/>
              </w:rPr>
              <w:t>权益法 下确认 的投资 损益</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24" w:right="122"/>
              <w:jc w:val="both"/>
              <w:rPr>
                <w:rFonts w:ascii="宋体" w:hAnsi="宋体" w:cs="宋体" w:eastAsia="宋体" w:hint="default"/>
                <w:sz w:val="18"/>
                <w:szCs w:val="18"/>
              </w:rPr>
            </w:pPr>
            <w:r>
              <w:rPr>
                <w:rFonts w:ascii="宋体" w:hAnsi="宋体" w:cs="宋体" w:eastAsia="宋体" w:hint="default"/>
                <w:sz w:val="18"/>
                <w:szCs w:val="18"/>
              </w:rPr>
              <w:t>其他综 合收益 调整</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124" w:right="122"/>
              <w:jc w:val="left"/>
              <w:rPr>
                <w:rFonts w:ascii="宋体" w:hAnsi="宋体" w:cs="宋体" w:eastAsia="宋体" w:hint="default"/>
                <w:sz w:val="18"/>
                <w:szCs w:val="18"/>
              </w:rPr>
            </w:pPr>
            <w:r>
              <w:rPr>
                <w:rFonts w:ascii="宋体" w:hAnsi="宋体" w:cs="宋体" w:eastAsia="宋体" w:hint="default"/>
                <w:sz w:val="18"/>
                <w:szCs w:val="18"/>
              </w:rPr>
              <w:t>其他权 益变动</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24" w:right="122"/>
              <w:jc w:val="both"/>
              <w:rPr>
                <w:rFonts w:ascii="宋体" w:hAnsi="宋体" w:cs="宋体" w:eastAsia="宋体" w:hint="default"/>
                <w:sz w:val="18"/>
                <w:szCs w:val="18"/>
              </w:rPr>
            </w:pPr>
            <w:r>
              <w:rPr>
                <w:rFonts w:ascii="宋体" w:hAnsi="宋体" w:cs="宋体" w:eastAsia="宋体" w:hint="default"/>
                <w:sz w:val="18"/>
                <w:szCs w:val="18"/>
              </w:rPr>
              <w:t>宣告发 放现金 股利或 利润</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124" w:right="122"/>
              <w:jc w:val="left"/>
              <w:rPr>
                <w:rFonts w:ascii="宋体" w:hAnsi="宋体" w:cs="宋体" w:eastAsia="宋体" w:hint="default"/>
                <w:sz w:val="18"/>
                <w:szCs w:val="18"/>
              </w:rPr>
            </w:pPr>
            <w:r>
              <w:rPr>
                <w:rFonts w:ascii="宋体" w:hAnsi="宋体" w:cs="宋体" w:eastAsia="宋体" w:hint="default"/>
                <w:sz w:val="18"/>
                <w:szCs w:val="18"/>
              </w:rPr>
              <w:t>计提减 值准备</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1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8" w:type="dxa"/>
            <w:vMerge/>
            <w:tcBorders>
              <w:left w:val="single" w:sz="4" w:space="0" w:color="000000"/>
              <w:bottom w:val="single" w:sz="4" w:space="0" w:color="000000"/>
              <w:right w:val="single" w:sz="4" w:space="0" w:color="000000"/>
            </w:tcBorders>
            <w:shd w:val="clear" w:color="auto" w:fill="D3D3D3"/>
          </w:tcPr>
          <w:p>
            <w:pPr/>
          </w:p>
        </w:tc>
        <w:tc>
          <w:tcPr>
            <w:tcW w:w="798" w:type="dxa"/>
            <w:vMerge/>
            <w:tcBorders>
              <w:left w:val="single" w:sz="4" w:space="0" w:color="000000"/>
              <w:bottom w:val="single" w:sz="4" w:space="0" w:color="000000"/>
              <w:right w:val="single" w:sz="4" w:space="0" w:color="000000"/>
            </w:tcBorders>
            <w:shd w:val="clear" w:color="auto" w:fill="D3D3D3"/>
          </w:tcPr>
          <w:p>
            <w:pPr/>
          </w:p>
        </w:tc>
      </w:tr>
      <w:tr>
        <w:trPr>
          <w:trHeight w:val="403" w:hRule="exact"/>
        </w:trPr>
        <w:tc>
          <w:tcPr>
            <w:tcW w:w="9572" w:type="dxa"/>
            <w:gridSpan w:val="1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一、合营企业</w:t>
            </w:r>
          </w:p>
        </w:tc>
      </w:tr>
      <w:tr>
        <w:trPr>
          <w:trHeight w:val="401" w:hRule="exact"/>
        </w:trPr>
        <w:tc>
          <w:tcPr>
            <w:tcW w:w="9572" w:type="dxa"/>
            <w:gridSpan w:val="1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二、联营企业</w:t>
            </w:r>
          </w:p>
        </w:tc>
      </w:tr>
      <w:tr>
        <w:trPr>
          <w:trHeight w:val="356" w:hRule="exact"/>
        </w:trPr>
        <w:tc>
          <w:tcPr>
            <w:tcW w:w="79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上海恒</w:t>
            </w: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r>
      <w:tr>
        <w:trPr>
          <w:trHeight w:val="940"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2" w:right="141"/>
              <w:jc w:val="left"/>
              <w:rPr>
                <w:rFonts w:ascii="宋体" w:hAnsi="宋体" w:cs="宋体" w:eastAsia="宋体" w:hint="default"/>
                <w:sz w:val="18"/>
                <w:szCs w:val="18"/>
              </w:rPr>
            </w:pPr>
            <w:r>
              <w:rPr>
                <w:rFonts w:ascii="宋体" w:hAnsi="宋体" w:cs="宋体" w:eastAsia="宋体" w:hint="default"/>
                <w:sz w:val="18"/>
                <w:szCs w:val="18"/>
              </w:rPr>
              <w:t>毓投资 中心</w:t>
            </w:r>
          </w:p>
          <w:p>
            <w:pPr>
              <w:pStyle w:val="TableParagraph"/>
              <w:spacing w:line="240" w:lineRule="auto" w:before="18"/>
              <w:ind w:left="102" w:right="0"/>
              <w:jc w:val="left"/>
              <w:rPr>
                <w:rFonts w:ascii="宋体" w:hAnsi="宋体" w:cs="宋体" w:eastAsia="宋体" w:hint="default"/>
                <w:sz w:val="18"/>
                <w:szCs w:val="18"/>
              </w:rPr>
            </w:pPr>
            <w:r>
              <w:rPr>
                <w:rFonts w:ascii="宋体" w:hAnsi="宋体" w:cs="宋体" w:eastAsia="宋体" w:hint="default"/>
                <w:sz w:val="18"/>
                <w:szCs w:val="18"/>
              </w:rPr>
              <w:t>（有限</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209,43</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5,048.8</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1</w:t>
            </w: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1" w:right="0"/>
              <w:jc w:val="center"/>
              <w:rPr>
                <w:rFonts w:ascii="Times New Roman" w:hAnsi="Times New Roman" w:cs="Times New Roman" w:eastAsia="Times New Roman" w:hint="default"/>
                <w:sz w:val="18"/>
                <w:szCs w:val="18"/>
              </w:rPr>
            </w:pPr>
            <w:r>
              <w:rPr>
                <w:rFonts w:ascii="Times New Roman"/>
                <w:sz w:val="18"/>
              </w:rPr>
              <w:t>1,195,5</w:t>
            </w:r>
          </w:p>
          <w:p>
            <w:pPr>
              <w:pStyle w:val="TableParagraph"/>
              <w:spacing w:line="240" w:lineRule="auto" w:before="105"/>
              <w:ind w:left="176" w:right="0"/>
              <w:jc w:val="center"/>
              <w:rPr>
                <w:rFonts w:ascii="Times New Roman" w:hAnsi="Times New Roman" w:cs="Times New Roman" w:eastAsia="Times New Roman" w:hint="default"/>
                <w:sz w:val="18"/>
                <w:szCs w:val="18"/>
              </w:rPr>
            </w:pPr>
            <w:r>
              <w:rPr>
                <w:rFonts w:ascii="Times New Roman"/>
                <w:sz w:val="18"/>
              </w:rPr>
              <w:t>49.74</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210,63</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0,598.5</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5</w:t>
            </w:r>
          </w:p>
        </w:tc>
        <w:tc>
          <w:tcPr>
            <w:tcW w:w="798" w:type="dxa"/>
            <w:vMerge/>
            <w:tcBorders>
              <w:left w:val="single" w:sz="4" w:space="0" w:color="000000"/>
              <w:right w:val="single" w:sz="4" w:space="0" w:color="000000"/>
            </w:tcBorders>
          </w:tcPr>
          <w:p>
            <w:pPr/>
          </w:p>
        </w:tc>
      </w:tr>
      <w:tr>
        <w:trPr>
          <w:trHeight w:val="354" w:hRule="exact"/>
        </w:trPr>
        <w:tc>
          <w:tcPr>
            <w:tcW w:w="79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合伙）</w:t>
            </w: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r>
      <w:tr>
        <w:trPr>
          <w:trHeight w:val="1026" w:hRule="exact"/>
        </w:trPr>
        <w:tc>
          <w:tcPr>
            <w:tcW w:w="7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02"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209,43</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5,048.8</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1</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41" w:right="0"/>
              <w:jc w:val="center"/>
              <w:rPr>
                <w:rFonts w:ascii="Times New Roman" w:hAnsi="Times New Roman" w:cs="Times New Roman" w:eastAsia="Times New Roman" w:hint="default"/>
                <w:sz w:val="18"/>
                <w:szCs w:val="18"/>
              </w:rPr>
            </w:pPr>
            <w:r>
              <w:rPr>
                <w:rFonts w:ascii="Times New Roman"/>
                <w:sz w:val="18"/>
              </w:rPr>
              <w:t>1,195,5</w:t>
            </w:r>
          </w:p>
          <w:p>
            <w:pPr>
              <w:pStyle w:val="TableParagraph"/>
              <w:spacing w:line="240" w:lineRule="auto" w:before="105"/>
              <w:ind w:left="176" w:right="0"/>
              <w:jc w:val="center"/>
              <w:rPr>
                <w:rFonts w:ascii="Times New Roman" w:hAnsi="Times New Roman" w:cs="Times New Roman" w:eastAsia="Times New Roman" w:hint="default"/>
                <w:sz w:val="18"/>
                <w:szCs w:val="18"/>
              </w:rPr>
            </w:pPr>
            <w:r>
              <w:rPr>
                <w:rFonts w:ascii="Times New Roman"/>
                <w:sz w:val="18"/>
              </w:rPr>
              <w:t>49.74</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210,63</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0,598.5</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5</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7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209,43</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5,048.8</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1</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41" w:right="0"/>
              <w:jc w:val="center"/>
              <w:rPr>
                <w:rFonts w:ascii="Times New Roman" w:hAnsi="Times New Roman" w:cs="Times New Roman" w:eastAsia="Times New Roman" w:hint="default"/>
                <w:sz w:val="18"/>
                <w:szCs w:val="18"/>
              </w:rPr>
            </w:pPr>
            <w:r>
              <w:rPr>
                <w:rFonts w:ascii="Times New Roman"/>
                <w:sz w:val="18"/>
              </w:rPr>
              <w:t>1,195,5</w:t>
            </w:r>
          </w:p>
          <w:p>
            <w:pPr>
              <w:pStyle w:val="TableParagraph"/>
              <w:spacing w:line="240" w:lineRule="auto" w:before="105"/>
              <w:ind w:left="176" w:right="0"/>
              <w:jc w:val="center"/>
              <w:rPr>
                <w:rFonts w:ascii="Times New Roman" w:hAnsi="Times New Roman" w:cs="Times New Roman" w:eastAsia="Times New Roman" w:hint="default"/>
                <w:sz w:val="18"/>
                <w:szCs w:val="18"/>
              </w:rPr>
            </w:pPr>
            <w:r>
              <w:rPr>
                <w:rFonts w:ascii="Times New Roman"/>
                <w:sz w:val="18"/>
              </w:rPr>
              <w:t>49.74</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210,63</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0,598.5</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5</w:t>
            </w:r>
          </w:p>
        </w:tc>
        <w:tc>
          <w:tcPr>
            <w:tcW w:w="798"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49"/>
        <w:ind w:right="0"/>
        <w:jc w:val="left"/>
      </w:pPr>
      <w:r>
        <w:rPr/>
        <w:t>其他说明</w:t>
      </w:r>
    </w:p>
    <w:p>
      <w:pPr>
        <w:spacing w:after="0" w:line="240" w:lineRule="auto"/>
        <w:jc w:val="left"/>
        <w:sectPr>
          <w:pgSz w:w="11910" w:h="16840"/>
          <w:pgMar w:header="906" w:footer="1018" w:top="1100" w:bottom="1200" w:left="1020" w:right="0"/>
        </w:sectPr>
      </w:pPr>
    </w:p>
    <w:p>
      <w:pPr>
        <w:spacing w:line="240" w:lineRule="auto" w:before="9"/>
        <w:rPr>
          <w:rFonts w:ascii="宋体" w:hAnsi="宋体" w:cs="宋体" w:eastAsia="宋体" w:hint="default"/>
          <w:sz w:val="21"/>
          <w:szCs w:val="21"/>
        </w:rPr>
      </w:pPr>
    </w:p>
    <w:p>
      <w:pPr>
        <w:pStyle w:val="Heading3"/>
        <w:spacing w:line="240" w:lineRule="auto" w:before="35"/>
        <w:ind w:right="0"/>
        <w:jc w:val="left"/>
        <w:rPr>
          <w:b w:val="0"/>
          <w:bCs w:val="0"/>
        </w:rPr>
      </w:pPr>
      <w:r>
        <w:rPr>
          <w:rFonts w:ascii="Times New Roman" w:hAnsi="Times New Roman" w:cs="Times New Roman" w:eastAsia="Times New Roman" w:hint="default"/>
        </w:rPr>
        <w:t>18</w:t>
      </w:r>
      <w:r>
        <w:rPr/>
        <w:t>、其他权益工具投资</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1"/>
        <w:gridCol w:w="3191"/>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714"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2" w:right="193"/>
              <w:jc w:val="left"/>
              <w:rPr>
                <w:rFonts w:ascii="宋体" w:hAnsi="宋体" w:cs="宋体" w:eastAsia="宋体" w:hint="default"/>
                <w:sz w:val="18"/>
                <w:szCs w:val="18"/>
              </w:rPr>
            </w:pPr>
            <w:r>
              <w:rPr>
                <w:rFonts w:ascii="宋体" w:hAnsi="宋体" w:cs="宋体" w:eastAsia="宋体" w:hint="default"/>
                <w:sz w:val="18"/>
                <w:szCs w:val="18"/>
              </w:rPr>
              <w:t>南京盛宇涌鑫股权投资中心（有限合 伙）</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18,000,000.00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18,000,000.00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江苏丹阳农村商业银行股份有限公司</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3,000,000.00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3,000,000.00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耐思生活环保科技（北京）有限公司</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30,000.00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30,000.00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21,030,000.00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21,030,000.00</w:t>
            </w:r>
          </w:p>
        </w:tc>
      </w:tr>
    </w:tbl>
    <w:p>
      <w:pPr>
        <w:pStyle w:val="BodyText"/>
        <w:spacing w:line="240" w:lineRule="auto" w:before="49"/>
        <w:ind w:right="0"/>
        <w:jc w:val="left"/>
      </w:pPr>
      <w:r>
        <w:rPr/>
        <w:t>分项披露本期非交易性权益工具投资</w:t>
      </w:r>
    </w:p>
    <w:p>
      <w:pPr>
        <w:pStyle w:val="BodyText"/>
        <w:spacing w:line="240" w:lineRule="auto" w:before="116"/>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9"/>
        <w:gridCol w:w="1367"/>
        <w:gridCol w:w="1367"/>
        <w:gridCol w:w="1367"/>
        <w:gridCol w:w="1367"/>
        <w:gridCol w:w="1367"/>
        <w:gridCol w:w="1367"/>
      </w:tblGrid>
      <w:tr>
        <w:trPr>
          <w:trHeight w:val="357" w:hRule="exact"/>
        </w:trPr>
        <w:tc>
          <w:tcPr>
            <w:tcW w:w="1369" w:type="dxa"/>
            <w:tcBorders>
              <w:top w:val="single" w:sz="4" w:space="0" w:color="000000"/>
              <w:left w:val="single" w:sz="4" w:space="0" w:color="000000"/>
              <w:bottom w:val="nil" w:sz="6" w:space="0" w:color="auto"/>
              <w:right w:val="single" w:sz="4" w:space="0" w:color="000000"/>
            </w:tcBorders>
            <w:shd w:val="clear" w:color="auto" w:fill="D3D3D3"/>
          </w:tcPr>
          <w:p>
            <w:pPr/>
          </w:p>
        </w:tc>
        <w:tc>
          <w:tcPr>
            <w:tcW w:w="1367" w:type="dxa"/>
            <w:tcBorders>
              <w:top w:val="single" w:sz="4" w:space="0" w:color="000000"/>
              <w:left w:val="single" w:sz="4" w:space="0" w:color="000000"/>
              <w:bottom w:val="nil" w:sz="6" w:space="0" w:color="auto"/>
              <w:right w:val="single" w:sz="4" w:space="0" w:color="000000"/>
            </w:tcBorders>
            <w:shd w:val="clear" w:color="auto" w:fill="D3D3D3"/>
          </w:tcPr>
          <w:p>
            <w:pPr/>
          </w:p>
        </w:tc>
        <w:tc>
          <w:tcPr>
            <w:tcW w:w="1367" w:type="dxa"/>
            <w:tcBorders>
              <w:top w:val="single" w:sz="4" w:space="0" w:color="000000"/>
              <w:left w:val="single" w:sz="4" w:space="0" w:color="000000"/>
              <w:bottom w:val="nil" w:sz="6" w:space="0" w:color="auto"/>
              <w:right w:val="single" w:sz="4" w:space="0" w:color="000000"/>
            </w:tcBorders>
            <w:shd w:val="clear" w:color="auto" w:fill="D3D3D3"/>
          </w:tcPr>
          <w:p>
            <w:pPr/>
          </w:p>
        </w:tc>
        <w:tc>
          <w:tcPr>
            <w:tcW w:w="1367" w:type="dxa"/>
            <w:tcBorders>
              <w:top w:val="single" w:sz="4" w:space="0" w:color="000000"/>
              <w:left w:val="single" w:sz="4" w:space="0" w:color="000000"/>
              <w:bottom w:val="nil" w:sz="6" w:space="0" w:color="auto"/>
              <w:right w:val="single" w:sz="4" w:space="0" w:color="000000"/>
            </w:tcBorders>
            <w:shd w:val="clear" w:color="auto" w:fill="D3D3D3"/>
          </w:tcPr>
          <w:p>
            <w:pPr/>
          </w:p>
        </w:tc>
        <w:tc>
          <w:tcPr>
            <w:tcW w:w="1367" w:type="dxa"/>
            <w:tcBorders>
              <w:top w:val="single" w:sz="4" w:space="0" w:color="000000"/>
              <w:left w:val="single" w:sz="4" w:space="0" w:color="000000"/>
              <w:bottom w:val="nil" w:sz="6" w:space="0" w:color="auto"/>
              <w:right w:val="single" w:sz="4" w:space="0" w:color="000000"/>
            </w:tcBorders>
            <w:shd w:val="clear" w:color="auto" w:fill="D3D3D3"/>
          </w:tcPr>
          <w:p>
            <w:pPr/>
          </w:p>
        </w:tc>
        <w:tc>
          <w:tcPr>
            <w:tcW w:w="1367" w:type="dxa"/>
            <w:tcBorders>
              <w:top w:val="single" w:sz="4" w:space="0" w:color="000000"/>
              <w:left w:val="single" w:sz="4" w:space="0" w:color="000000"/>
              <w:bottom w:val="nil" w:sz="6" w:space="0" w:color="auto"/>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指定为以公允</w:t>
            </w:r>
          </w:p>
        </w:tc>
        <w:tc>
          <w:tcPr>
            <w:tcW w:w="1367" w:type="dxa"/>
            <w:tcBorders>
              <w:top w:val="single" w:sz="4" w:space="0" w:color="000000"/>
              <w:left w:val="single" w:sz="4" w:space="0" w:color="000000"/>
              <w:bottom w:val="nil" w:sz="6" w:space="0" w:color="auto"/>
              <w:right w:val="single" w:sz="4" w:space="0" w:color="000000"/>
            </w:tcBorders>
            <w:shd w:val="clear" w:color="auto" w:fill="D3D3D3"/>
          </w:tcPr>
          <w:p>
            <w:pPr/>
          </w:p>
        </w:tc>
      </w:tr>
      <w:tr>
        <w:trPr>
          <w:trHeight w:val="936" w:hRule="exact"/>
        </w:trPr>
        <w:tc>
          <w:tcPr>
            <w:tcW w:w="1369"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318"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1367"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588" w:right="137" w:hanging="450"/>
              <w:jc w:val="left"/>
              <w:rPr>
                <w:rFonts w:ascii="宋体" w:hAnsi="宋体" w:cs="宋体" w:eastAsia="宋体" w:hint="default"/>
                <w:sz w:val="18"/>
                <w:szCs w:val="18"/>
              </w:rPr>
            </w:pPr>
            <w:r>
              <w:rPr>
                <w:rFonts w:ascii="宋体" w:hAnsi="宋体" w:cs="宋体" w:eastAsia="宋体" w:hint="default"/>
                <w:sz w:val="18"/>
                <w:szCs w:val="18"/>
              </w:rPr>
              <w:t>确认的股利收 入</w:t>
            </w:r>
          </w:p>
        </w:tc>
        <w:tc>
          <w:tcPr>
            <w:tcW w:w="1367"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累计利得</w:t>
            </w:r>
          </w:p>
        </w:tc>
        <w:tc>
          <w:tcPr>
            <w:tcW w:w="1367"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318" w:right="0"/>
              <w:jc w:val="left"/>
              <w:rPr>
                <w:rFonts w:ascii="宋体" w:hAnsi="宋体" w:cs="宋体" w:eastAsia="宋体" w:hint="default"/>
                <w:sz w:val="18"/>
                <w:szCs w:val="18"/>
              </w:rPr>
            </w:pPr>
            <w:r>
              <w:rPr>
                <w:rFonts w:ascii="宋体" w:hAnsi="宋体" w:cs="宋体" w:eastAsia="宋体" w:hint="default"/>
                <w:sz w:val="18"/>
                <w:szCs w:val="18"/>
              </w:rPr>
              <w:t>累计损失</w:t>
            </w:r>
          </w:p>
        </w:tc>
        <w:tc>
          <w:tcPr>
            <w:tcW w:w="1367"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316" w:lineRule="auto" w:before="10"/>
              <w:ind w:left="138" w:right="137"/>
              <w:jc w:val="center"/>
              <w:rPr>
                <w:rFonts w:ascii="宋体" w:hAnsi="宋体" w:cs="宋体" w:eastAsia="宋体" w:hint="default"/>
                <w:sz w:val="18"/>
                <w:szCs w:val="18"/>
              </w:rPr>
            </w:pPr>
            <w:r>
              <w:rPr>
                <w:rFonts w:ascii="宋体" w:hAnsi="宋体" w:cs="宋体" w:eastAsia="宋体" w:hint="default"/>
                <w:sz w:val="18"/>
                <w:szCs w:val="18"/>
              </w:rPr>
              <w:t>其他综合收益 转入留存收益 的金额</w:t>
            </w:r>
          </w:p>
        </w:tc>
        <w:tc>
          <w:tcPr>
            <w:tcW w:w="1367"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316" w:lineRule="auto" w:before="10"/>
              <w:ind w:left="138" w:right="137"/>
              <w:jc w:val="both"/>
              <w:rPr>
                <w:rFonts w:ascii="宋体" w:hAnsi="宋体" w:cs="宋体" w:eastAsia="宋体" w:hint="default"/>
                <w:sz w:val="18"/>
                <w:szCs w:val="18"/>
              </w:rPr>
            </w:pPr>
            <w:r>
              <w:rPr>
                <w:rFonts w:ascii="宋体" w:hAnsi="宋体" w:cs="宋体" w:eastAsia="宋体" w:hint="default"/>
                <w:sz w:val="18"/>
                <w:szCs w:val="18"/>
              </w:rPr>
              <w:t>价值计量且其 变动计入其他 综合收益的原</w:t>
            </w:r>
          </w:p>
        </w:tc>
        <w:tc>
          <w:tcPr>
            <w:tcW w:w="1367"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316" w:lineRule="auto" w:before="10"/>
              <w:ind w:left="138" w:right="137"/>
              <w:jc w:val="center"/>
              <w:rPr>
                <w:rFonts w:ascii="宋体" w:hAnsi="宋体" w:cs="宋体" w:eastAsia="宋体" w:hint="default"/>
                <w:sz w:val="18"/>
                <w:szCs w:val="18"/>
              </w:rPr>
            </w:pPr>
            <w:r>
              <w:rPr>
                <w:rFonts w:ascii="宋体" w:hAnsi="宋体" w:cs="宋体" w:eastAsia="宋体" w:hint="default"/>
                <w:sz w:val="18"/>
                <w:szCs w:val="18"/>
              </w:rPr>
              <w:t>其他综合收益 转入留存收益 的原因</w:t>
            </w:r>
          </w:p>
        </w:tc>
      </w:tr>
      <w:tr>
        <w:trPr>
          <w:trHeight w:val="357" w:hRule="exact"/>
        </w:trPr>
        <w:tc>
          <w:tcPr>
            <w:tcW w:w="1369" w:type="dxa"/>
            <w:tcBorders>
              <w:top w:val="nil" w:sz="6" w:space="0" w:color="auto"/>
              <w:left w:val="single" w:sz="4" w:space="0" w:color="000000"/>
              <w:bottom w:val="single" w:sz="4" w:space="0" w:color="000000"/>
              <w:right w:val="single" w:sz="4" w:space="0" w:color="000000"/>
            </w:tcBorders>
            <w:shd w:val="clear" w:color="auto" w:fill="D3D3D3"/>
          </w:tcPr>
          <w:p>
            <w:pPr/>
          </w:p>
        </w:tc>
        <w:tc>
          <w:tcPr>
            <w:tcW w:w="1367" w:type="dxa"/>
            <w:tcBorders>
              <w:top w:val="nil" w:sz="6" w:space="0" w:color="auto"/>
              <w:left w:val="single" w:sz="4" w:space="0" w:color="000000"/>
              <w:bottom w:val="single" w:sz="4" w:space="0" w:color="000000"/>
              <w:right w:val="single" w:sz="4" w:space="0" w:color="000000"/>
            </w:tcBorders>
            <w:shd w:val="clear" w:color="auto" w:fill="D3D3D3"/>
          </w:tcPr>
          <w:p>
            <w:pPr/>
          </w:p>
        </w:tc>
        <w:tc>
          <w:tcPr>
            <w:tcW w:w="1367" w:type="dxa"/>
            <w:tcBorders>
              <w:top w:val="nil" w:sz="6" w:space="0" w:color="auto"/>
              <w:left w:val="single" w:sz="4" w:space="0" w:color="000000"/>
              <w:bottom w:val="single" w:sz="4" w:space="0" w:color="000000"/>
              <w:right w:val="single" w:sz="4" w:space="0" w:color="000000"/>
            </w:tcBorders>
            <w:shd w:val="clear" w:color="auto" w:fill="D3D3D3"/>
          </w:tcPr>
          <w:p>
            <w:pPr/>
          </w:p>
        </w:tc>
        <w:tc>
          <w:tcPr>
            <w:tcW w:w="1367" w:type="dxa"/>
            <w:tcBorders>
              <w:top w:val="nil" w:sz="6" w:space="0" w:color="auto"/>
              <w:left w:val="single" w:sz="4" w:space="0" w:color="000000"/>
              <w:bottom w:val="single" w:sz="4" w:space="0" w:color="000000"/>
              <w:right w:val="single" w:sz="4" w:space="0" w:color="000000"/>
            </w:tcBorders>
            <w:shd w:val="clear" w:color="auto" w:fill="D3D3D3"/>
          </w:tcPr>
          <w:p>
            <w:pPr/>
          </w:p>
        </w:tc>
        <w:tc>
          <w:tcPr>
            <w:tcW w:w="1367" w:type="dxa"/>
            <w:tcBorders>
              <w:top w:val="nil" w:sz="6" w:space="0" w:color="auto"/>
              <w:left w:val="single" w:sz="4" w:space="0" w:color="000000"/>
              <w:bottom w:val="single" w:sz="4" w:space="0" w:color="000000"/>
              <w:right w:val="single" w:sz="4" w:space="0" w:color="000000"/>
            </w:tcBorders>
            <w:shd w:val="clear" w:color="auto" w:fill="D3D3D3"/>
          </w:tcPr>
          <w:p>
            <w:pPr/>
          </w:p>
        </w:tc>
        <w:tc>
          <w:tcPr>
            <w:tcW w:w="1367" w:type="dxa"/>
            <w:tcBorders>
              <w:top w:val="nil" w:sz="6" w:space="0" w:color="auto"/>
              <w:left w:val="single" w:sz="4" w:space="0" w:color="000000"/>
              <w:bottom w:val="single" w:sz="4" w:space="0" w:color="000000"/>
              <w:right w:val="single" w:sz="4" w:space="0" w:color="000000"/>
            </w:tcBorders>
            <w:shd w:val="clear" w:color="auto" w:fill="D3D3D3"/>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因</w:t>
            </w:r>
          </w:p>
        </w:tc>
        <w:tc>
          <w:tcPr>
            <w:tcW w:w="1367" w:type="dxa"/>
            <w:tcBorders>
              <w:top w:val="nil" w:sz="6" w:space="0" w:color="auto"/>
              <w:left w:val="single" w:sz="4" w:space="0" w:color="000000"/>
              <w:bottom w:val="single" w:sz="4" w:space="0" w:color="000000"/>
              <w:right w:val="single" w:sz="4" w:space="0" w:color="000000"/>
            </w:tcBorders>
            <w:shd w:val="clear" w:color="auto" w:fill="D3D3D3"/>
          </w:tcPr>
          <w:p>
            <w:pPr/>
          </w:p>
        </w:tc>
      </w:tr>
    </w:tbl>
    <w:p>
      <w:pPr>
        <w:pStyle w:val="BodyText"/>
        <w:spacing w:line="240" w:lineRule="auto" w:before="50"/>
        <w:ind w:right="0"/>
        <w:jc w:val="left"/>
      </w:pPr>
      <w:r>
        <w:rPr/>
        <w:t>其他说明：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19</w:t>
      </w:r>
      <w:r>
        <w:rPr/>
        <w:t>、其他非流动金融资产</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1"/>
        <w:gridCol w:w="3191"/>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240" w:lineRule="auto" w:before="49"/>
        <w:ind w:right="0"/>
        <w:jc w:val="left"/>
      </w:pPr>
      <w:r>
        <w:rPr/>
        <w:t>其他说明：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20</w:t>
      </w:r>
      <w:r>
        <w:rPr/>
        <w:t>、投资性房地产</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t>（</w:t>
      </w:r>
      <w:r>
        <w:rPr>
          <w:rFonts w:ascii="Times New Roman" w:hAnsi="Times New Roman" w:cs="Times New Roman" w:eastAsia="Times New Roman" w:hint="default"/>
        </w:rPr>
        <w:t>1</w:t>
      </w:r>
      <w:r>
        <w:rPr/>
        <w:t>）采用成本计量模式的投资性房地产</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t>（</w:t>
      </w:r>
      <w:r>
        <w:rPr>
          <w:rFonts w:ascii="Times New Roman" w:hAnsi="Times New Roman" w:cs="Times New Roman" w:eastAsia="Times New Roman" w:hint="default"/>
        </w:rPr>
        <w:t>2</w:t>
      </w:r>
      <w:r>
        <w:rPr/>
        <w:t>）采用公允价值计量模式的投资性房地产</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3"/>
        <w:rPr>
          <w:rFonts w:ascii="宋体" w:hAnsi="宋体" w:cs="宋体" w:eastAsia="宋体" w:hint="default"/>
          <w:sz w:val="26"/>
          <w:szCs w:val="26"/>
        </w:rPr>
      </w:pPr>
    </w:p>
    <w:p>
      <w:pPr>
        <w:pStyle w:val="Heading3"/>
        <w:spacing w:line="240" w:lineRule="auto"/>
        <w:ind w:right="0"/>
        <w:jc w:val="left"/>
        <w:rPr>
          <w:b w:val="0"/>
          <w:bCs w:val="0"/>
        </w:rPr>
      </w:pPr>
      <w:r>
        <w:rPr/>
        <w:t>（</w:t>
      </w:r>
      <w:r>
        <w:rPr>
          <w:rFonts w:ascii="Times New Roman" w:hAnsi="Times New Roman" w:cs="Times New Roman" w:eastAsia="Times New Roman" w:hint="default"/>
        </w:rPr>
        <w:t>3</w:t>
      </w:r>
      <w:r>
        <w:rPr/>
        <w:t>）未办妥产权证书的投资性房地产情况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1"/>
        <w:gridCol w:w="3191"/>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31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779" w:right="0"/>
              <w:jc w:val="left"/>
              <w:rPr>
                <w:rFonts w:ascii="宋体" w:hAnsi="宋体" w:cs="宋体" w:eastAsia="宋体" w:hint="default"/>
                <w:sz w:val="18"/>
                <w:szCs w:val="18"/>
              </w:rPr>
            </w:pPr>
            <w:r>
              <w:rPr>
                <w:rFonts w:ascii="宋体" w:hAnsi="宋体" w:cs="宋体" w:eastAsia="宋体" w:hint="default"/>
                <w:sz w:val="18"/>
                <w:szCs w:val="18"/>
              </w:rPr>
              <w:t>未办妥产权证书原因</w:t>
            </w:r>
          </w:p>
        </w:tc>
      </w:tr>
    </w:tbl>
    <w:p>
      <w:pPr>
        <w:pStyle w:val="BodyText"/>
        <w:spacing w:line="240" w:lineRule="auto" w:before="49"/>
        <w:ind w:right="0"/>
        <w:jc w:val="left"/>
      </w:pPr>
      <w:r>
        <w:rPr/>
        <w:t>其他说明</w:t>
      </w:r>
    </w:p>
    <w:p>
      <w:pPr>
        <w:spacing w:after="0" w:line="240" w:lineRule="auto"/>
        <w:jc w:val="left"/>
        <w:sectPr>
          <w:pgSz w:w="11910" w:h="16840"/>
          <w:pgMar w:header="906" w:footer="1018" w:top="1100" w:bottom="1200" w:left="1020" w:right="0"/>
        </w:sectPr>
      </w:pPr>
    </w:p>
    <w:p>
      <w:pPr>
        <w:spacing w:line="240" w:lineRule="auto" w:before="9"/>
        <w:rPr>
          <w:rFonts w:ascii="宋体" w:hAnsi="宋体" w:cs="宋体" w:eastAsia="宋体" w:hint="default"/>
          <w:sz w:val="21"/>
          <w:szCs w:val="21"/>
        </w:rPr>
      </w:pPr>
    </w:p>
    <w:p>
      <w:pPr>
        <w:pStyle w:val="Heading3"/>
        <w:spacing w:line="240" w:lineRule="auto" w:before="35"/>
        <w:ind w:right="0"/>
        <w:jc w:val="left"/>
        <w:rPr>
          <w:b w:val="0"/>
          <w:bCs w:val="0"/>
        </w:rPr>
      </w:pPr>
      <w:r>
        <w:rPr>
          <w:rFonts w:ascii="Times New Roman" w:hAnsi="Times New Roman" w:cs="Times New Roman" w:eastAsia="Times New Roman" w:hint="default"/>
        </w:rPr>
        <w:t>21</w:t>
      </w:r>
      <w:r>
        <w:rPr/>
        <w:t>、固定资产</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177,832,871.02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194,067,865.01</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177,832,871.02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194,067,865.01</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1</w:t>
      </w:r>
      <w:r>
        <w:rPr/>
        <w:t>）固定资产情况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594"/>
        <w:gridCol w:w="1594"/>
        <w:gridCol w:w="1594"/>
        <w:gridCol w:w="1594"/>
        <w:gridCol w:w="1594"/>
        <w:gridCol w:w="1594"/>
      </w:tblGrid>
      <w:tr>
        <w:trPr>
          <w:trHeight w:val="401"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252"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32" w:right="0"/>
              <w:jc w:val="left"/>
              <w:rPr>
                <w:rFonts w:ascii="宋体" w:hAnsi="宋体" w:cs="宋体" w:eastAsia="宋体" w:hint="default"/>
                <w:sz w:val="18"/>
                <w:szCs w:val="18"/>
              </w:rPr>
            </w:pPr>
            <w:r>
              <w:rPr>
                <w:rFonts w:ascii="宋体" w:hAnsi="宋体" w:cs="宋体" w:eastAsia="宋体" w:hint="default"/>
                <w:sz w:val="18"/>
                <w:szCs w:val="18"/>
              </w:rPr>
              <w:t>专用设备</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31"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32" w:right="0"/>
              <w:jc w:val="left"/>
              <w:rPr>
                <w:rFonts w:ascii="宋体" w:hAnsi="宋体" w:cs="宋体" w:eastAsia="宋体" w:hint="default"/>
                <w:sz w:val="18"/>
                <w:szCs w:val="18"/>
              </w:rPr>
            </w:pPr>
            <w:r>
              <w:rPr>
                <w:rFonts w:ascii="宋体" w:hAnsi="宋体" w:cs="宋体" w:eastAsia="宋体" w:hint="default"/>
                <w:sz w:val="18"/>
                <w:szCs w:val="18"/>
              </w:rPr>
              <w:t>通用设备</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2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172,118,452.43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373,422,368.01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6,312,403.05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26,330,894.67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578,184,118.16</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49"/>
              <w:ind w:left="102" w:right="264"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 额</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2,129,516.24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21,859,210.10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240,712.51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3,574,237.24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27,803,676.09</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）购置</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2,129,516.24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6,189,652.17</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1,765,546.17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10,084,714.58</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49"/>
              <w:ind w:left="102" w:right="129" w:firstLine="36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）在建工 程转入</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49"/>
              <w:ind w:left="102" w:right="129" w:firstLine="36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）企业合 并增加</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15,669,557.93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240,712.51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1,808,691.07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17,718,961.51</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49"/>
              <w:ind w:left="102" w:right="264"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 额</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2,216,217.14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2,130,741.70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107,244.00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554,268.52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5,008,471.36</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49"/>
              <w:ind w:left="102" w:right="129" w:firstLine="36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）处置或 报废</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2,216,217.14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2,130,741.70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107,244.00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554,268.52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5,008,471.36</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2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172,031,751.53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393,150,836.41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6,445,871.56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29,350,863.39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600,979,322.89</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二、累计折旧</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2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81,460,033.75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276,210,994.59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3,931,679.06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22,513,545.75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384,116,253.15</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49"/>
              <w:ind w:left="102" w:right="264"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 额</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7,335,567.08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31,033,609.40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1,016,347.63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2,605,270.71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41,990,794.82</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7,335,567.08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18,299,076.90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783,892.13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1,009,768.67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27,428,304.78</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49"/>
              <w:ind w:left="102" w:right="129"/>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）企业合并增 加</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12,734,532.50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232,455.50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1,595,502.04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14,562,490.04</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49"/>
              <w:ind w:left="102" w:right="264"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 额</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1,821,853.17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517,873.12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101,881.80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518,988.01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2,960,596.10</w:t>
            </w:r>
          </w:p>
        </w:tc>
      </w:tr>
      <w:tr>
        <w:trPr>
          <w:trHeight w:val="713"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49"/>
              <w:ind w:left="102" w:right="129" w:firstLine="36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）处置或 报废</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1,821,853.17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517,873.12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101,881.80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518,988.01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2,960,596.10</w:t>
            </w:r>
          </w:p>
        </w:tc>
      </w:tr>
    </w:tbl>
    <w:p>
      <w:pPr>
        <w:spacing w:after="0" w:line="240" w:lineRule="auto"/>
        <w:jc w:val="right"/>
        <w:rPr>
          <w:rFonts w:ascii="Times New Roman" w:hAnsi="Times New Roman" w:cs="Times New Roman" w:eastAsia="Times New Roman" w:hint="default"/>
          <w:sz w:val="18"/>
          <w:szCs w:val="18"/>
        </w:rPr>
        <w:sectPr>
          <w:pgSz w:w="11910" w:h="16840"/>
          <w:pgMar w:header="906" w:footer="1018" w:top="1100" w:bottom="1200" w:left="1020" w:right="0"/>
        </w:sectPr>
      </w:pPr>
    </w:p>
    <w:p>
      <w:pPr>
        <w:spacing w:line="240" w:lineRule="auto" w:before="7"/>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594"/>
        <w:gridCol w:w="1594"/>
        <w:gridCol w:w="1594"/>
        <w:gridCol w:w="1594"/>
        <w:gridCol w:w="1594"/>
        <w:gridCol w:w="1594"/>
      </w:tblGrid>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2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86,973,747.66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306,726,730.87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4,846,144.89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24,599,828.45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423,146,451.87</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2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0"/>
              <w:ind w:left="102" w:right="264"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 额</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0"/>
              <w:ind w:left="102" w:right="264"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 额</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0"/>
              <w:ind w:left="102" w:right="129" w:firstLine="36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）处置或 报废</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2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0"/>
              <w:ind w:left="102" w:right="264"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期末账面价 值</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85,058,003.87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86,424,105.54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1,599,726.67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4,751,034.94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177,832,871.02</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0"/>
              <w:ind w:left="102" w:right="264"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期初账面价 值</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90,658,418.68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97,211,373.42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2,380,723.99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3,817,348.92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194,067,865.01</w:t>
            </w:r>
          </w:p>
        </w:tc>
      </w:tr>
    </w:tbl>
    <w:p>
      <w:pPr>
        <w:spacing w:line="240" w:lineRule="auto" w:before="3"/>
        <w:rPr>
          <w:rFonts w:ascii="宋体" w:hAnsi="宋体" w:cs="宋体" w:eastAsia="宋体" w:hint="default"/>
          <w:sz w:val="19"/>
          <w:szCs w:val="19"/>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2</w:t>
      </w:r>
      <w:r>
        <w:rPr/>
        <w:t>）暂时闲置的固定资产情况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594"/>
        <w:gridCol w:w="1596"/>
        <w:gridCol w:w="1594"/>
        <w:gridCol w:w="1594"/>
        <w:gridCol w:w="1594"/>
        <w:gridCol w:w="1594"/>
      </w:tblGrid>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33" w:right="0"/>
              <w:jc w:val="left"/>
              <w:rPr>
                <w:rFonts w:ascii="宋体" w:hAnsi="宋体" w:cs="宋体" w:eastAsia="宋体" w:hint="default"/>
                <w:sz w:val="18"/>
                <w:szCs w:val="18"/>
              </w:rPr>
            </w:pPr>
            <w:r>
              <w:rPr>
                <w:rFonts w:ascii="宋体" w:hAnsi="宋体" w:cs="宋体" w:eastAsia="宋体" w:hint="default"/>
                <w:sz w:val="18"/>
                <w:szCs w:val="18"/>
              </w:rPr>
              <w:t>账面原值</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32" w:right="0"/>
              <w:jc w:val="left"/>
              <w:rPr>
                <w:rFonts w:ascii="宋体" w:hAnsi="宋体" w:cs="宋体" w:eastAsia="宋体" w:hint="default"/>
                <w:sz w:val="18"/>
                <w:szCs w:val="18"/>
              </w:rPr>
            </w:pPr>
            <w:r>
              <w:rPr>
                <w:rFonts w:ascii="宋体" w:hAnsi="宋体" w:cs="宋体" w:eastAsia="宋体" w:hint="default"/>
                <w:sz w:val="18"/>
                <w:szCs w:val="18"/>
              </w:rPr>
              <w:t>累计折旧</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31"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32"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备注</w:t>
            </w:r>
          </w:p>
        </w:tc>
      </w:tr>
    </w:tbl>
    <w:p>
      <w:pPr>
        <w:spacing w:line="240" w:lineRule="auto" w:before="3"/>
        <w:rPr>
          <w:rFonts w:ascii="宋体" w:hAnsi="宋体" w:cs="宋体" w:eastAsia="宋体" w:hint="default"/>
          <w:sz w:val="19"/>
          <w:szCs w:val="19"/>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3</w:t>
      </w:r>
      <w:r>
        <w:rPr/>
        <w:t>）通过融资租赁租入的固定资产情况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1"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593" w:right="0"/>
              <w:jc w:val="left"/>
              <w:rPr>
                <w:rFonts w:ascii="宋体" w:hAnsi="宋体" w:cs="宋体" w:eastAsia="宋体" w:hint="default"/>
                <w:sz w:val="18"/>
                <w:szCs w:val="18"/>
              </w:rPr>
            </w:pPr>
            <w:r>
              <w:rPr>
                <w:rFonts w:ascii="宋体" w:hAnsi="宋体" w:cs="宋体" w:eastAsia="宋体" w:hint="default"/>
                <w:sz w:val="18"/>
                <w:szCs w:val="18"/>
              </w:rPr>
              <w:t>账面原值</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591" w:right="0"/>
              <w:jc w:val="left"/>
              <w:rPr>
                <w:rFonts w:ascii="宋体" w:hAnsi="宋体" w:cs="宋体" w:eastAsia="宋体" w:hint="default"/>
                <w:sz w:val="18"/>
                <w:szCs w:val="18"/>
              </w:rPr>
            </w:pPr>
            <w:r>
              <w:rPr>
                <w:rFonts w:ascii="宋体" w:hAnsi="宋体" w:cs="宋体" w:eastAsia="宋体" w:hint="default"/>
                <w:sz w:val="18"/>
                <w:szCs w:val="18"/>
              </w:rPr>
              <w:t>累计折旧</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591"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591"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4</w:t>
      </w:r>
      <w:r>
        <w:rPr/>
        <w:t>）通过经营租赁租出的固定资产</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12"/>
        <w:rPr>
          <w:rFonts w:ascii="宋体" w:hAnsi="宋体" w:cs="宋体" w:eastAsia="宋体" w:hint="default"/>
          <w:sz w:val="7"/>
          <w:szCs w:val="7"/>
        </w:rPr>
      </w:pPr>
    </w:p>
    <w:p>
      <w:pPr>
        <w:spacing w:line="416" w:lineRule="exact"/>
        <w:ind w:left="104"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9.35pt;height:20.85pt;mso-position-horizontal-relative:char;mso-position-vertical-relative:line" coordorigin="0,0" coordsize="9587,417">
            <v:group style="position:absolute;left:13;top:13;width:4772;height:393" coordorigin="13,13" coordsize="4772,393">
              <v:shape style="position:absolute;left:13;top:13;width:4772;height:393" coordorigin="13,13" coordsize="4772,393" path="m13,13l4784,13,4784,406,13,406,13,13xe" filled="true" fillcolor="#d3d3d3" stroked="false">
                <v:path arrowok="t"/>
                <v:fill type="solid"/>
              </v:shape>
            </v:group>
            <v:group style="position:absolute;left:4793;top:13;width:4779;height:393" coordorigin="4793,13" coordsize="4779,393">
              <v:shape style="position:absolute;left:4793;top:13;width:4779;height:393" coordorigin="4793,13" coordsize="4779,393" path="m4793,13l9572,13,9572,406,4793,406,4793,13xe" filled="true" fillcolor="#d3d3d3" stroked="false">
                <v:path arrowok="t"/>
                <v:fill type="solid"/>
              </v:shape>
            </v:group>
            <v:group style="position:absolute;left:5;top:10;width:9578;height:2" coordorigin="5,10" coordsize="9578,2">
              <v:shape style="position:absolute;left:5;top:10;width:9578;height:2" coordorigin="5,10" coordsize="9578,0" path="m5,10l9582,10e" filled="false" stroked="true" strokeweight=".48pt" strokecolor="#000000">
                <v:path arrowok="t"/>
              </v:shape>
            </v:group>
            <v:group style="position:absolute;left:5;top:412;width:9578;height:2" coordorigin="5,412" coordsize="9578,2">
              <v:shape style="position:absolute;left:5;top:412;width:9578;height:2" coordorigin="5,412" coordsize="9578,0" path="m5,412l9582,412e" filled="false" stroked="true" strokeweight=".48pt" strokecolor="#000000">
                <v:path arrowok="t"/>
              </v:shape>
            </v:group>
            <v:group style="position:absolute;left:10;top:5;width:2;height:402" coordorigin="10,5" coordsize="2,402">
              <v:shape style="position:absolute;left:10;top:5;width:2;height:402" coordorigin="10,5" coordsize="0,402" path="m10,5l10,407e" filled="false" stroked="true" strokeweight=".48pt" strokecolor="#000000">
                <v:path arrowok="t"/>
              </v:shape>
            </v:group>
            <v:group style="position:absolute;left:4789;top:5;width:2;height:402" coordorigin="4789,5" coordsize="2,402">
              <v:shape style="position:absolute;left:4789;top:5;width:2;height:402" coordorigin="4789,5" coordsize="0,402" path="m4789,5l4789,407e" filled="false" stroked="true" strokeweight=".48pt" strokecolor="#000000">
                <v:path arrowok="t"/>
              </v:shape>
            </v:group>
            <v:group style="position:absolute;left:9577;top:5;width:2;height:402" coordorigin="9577,5" coordsize="2,402">
              <v:shape style="position:absolute;left:9577;top:5;width:2;height:402" coordorigin="9577,5" coordsize="0,402" path="m9577,5l9577,407e" filled="false" stroked="true" strokeweight=".48pt" strokecolor="#000000">
                <v:path arrowok="t"/>
              </v:shape>
              <v:shape style="position:absolute;left:2219;top:11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4789;top:10;width:4788;height:402" type="#_x0000_t202" filled="false" stroked="false">
                <v:textbox inset="0,0,0,0">
                  <w:txbxContent>
                    <w:p>
                      <w:pPr>
                        <w:spacing w:before="54"/>
                        <w:ind w:left="0" w:right="0" w:firstLine="0"/>
                        <w:jc w:val="center"/>
                        <w:rPr>
                          <w:rFonts w:ascii="宋体" w:hAnsi="宋体" w:cs="宋体" w:eastAsia="宋体" w:hint="default"/>
                          <w:sz w:val="18"/>
                          <w:szCs w:val="18"/>
                        </w:rPr>
                      </w:pPr>
                      <w:r>
                        <w:rPr>
                          <w:rFonts w:ascii="宋体" w:hAnsi="宋体" w:cs="宋体" w:eastAsia="宋体" w:hint="default"/>
                          <w:sz w:val="18"/>
                          <w:szCs w:val="18"/>
                        </w:rPr>
                        <w:t>期末账面价值</w:t>
                      </w:r>
                    </w:p>
                  </w:txbxContent>
                </v:textbox>
                <w10:wrap type="none"/>
              </v:shape>
            </v:group>
          </v:group>
        </w:pict>
      </w:r>
      <w:r>
        <w:rPr>
          <w:rFonts w:ascii="宋体" w:hAnsi="宋体" w:cs="宋体" w:eastAsia="宋体" w:hint="default"/>
          <w:position w:val="-7"/>
          <w:sz w:val="20"/>
          <w:szCs w:val="20"/>
        </w:rPr>
      </w:r>
    </w:p>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5</w:t>
      </w:r>
      <w:r>
        <w:rPr/>
        <w:t>）未办妥产权证书的固定资产情况</w:t>
      </w:r>
      <w:r>
        <w:rPr>
          <w:b w:val="0"/>
          <w:bCs w:val="0"/>
        </w:rPr>
      </w:r>
    </w:p>
    <w:p>
      <w:pPr>
        <w:spacing w:line="240" w:lineRule="auto" w:before="2"/>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688" w:right="0"/>
              <w:jc w:val="left"/>
              <w:rPr>
                <w:rFonts w:ascii="宋体" w:hAnsi="宋体" w:cs="宋体" w:eastAsia="宋体" w:hint="default"/>
                <w:sz w:val="18"/>
                <w:szCs w:val="18"/>
              </w:rPr>
            </w:pPr>
            <w:r>
              <w:rPr>
                <w:rFonts w:ascii="宋体" w:hAnsi="宋体" w:cs="宋体" w:eastAsia="宋体" w:hint="default"/>
                <w:sz w:val="18"/>
                <w:szCs w:val="18"/>
              </w:rPr>
              <w:t>未办妥产权证书的原因</w:t>
            </w:r>
          </w:p>
        </w:tc>
      </w:tr>
    </w:tbl>
    <w:p>
      <w:pPr>
        <w:spacing w:after="0" w:line="240" w:lineRule="auto"/>
        <w:jc w:val="left"/>
        <w:rPr>
          <w:rFonts w:ascii="宋体" w:hAnsi="宋体" w:cs="宋体" w:eastAsia="宋体" w:hint="default"/>
          <w:sz w:val="18"/>
          <w:szCs w:val="18"/>
        </w:rPr>
        <w:sectPr>
          <w:pgSz w:w="11910" w:h="16840"/>
          <w:pgMar w:header="906" w:footer="1018" w:top="1100" w:bottom="1200" w:left="1020" w:right="0"/>
        </w:sectPr>
      </w:pPr>
    </w:p>
    <w:p>
      <w:pPr>
        <w:spacing w:line="240" w:lineRule="auto" w:before="11"/>
        <w:rPr>
          <w:rFonts w:ascii="宋体" w:hAnsi="宋体" w:cs="宋体" w:eastAsia="宋体" w:hint="default"/>
          <w:sz w:val="22"/>
          <w:szCs w:val="22"/>
        </w:rPr>
      </w:pPr>
    </w:p>
    <w:p>
      <w:pPr>
        <w:pStyle w:val="BodyText"/>
        <w:spacing w:line="240" w:lineRule="auto" w:before="44"/>
        <w:ind w:right="0"/>
        <w:jc w:val="left"/>
      </w:pPr>
      <w:r>
        <w:rPr/>
        <w:t>其他说明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t>（</w:t>
      </w:r>
      <w:r>
        <w:rPr>
          <w:rFonts w:ascii="Times New Roman" w:hAnsi="Times New Roman" w:cs="Times New Roman" w:eastAsia="Times New Roman" w:hint="default"/>
        </w:rPr>
        <w:t>6</w:t>
      </w:r>
      <w:r>
        <w:rPr/>
        <w:t>）固定资产清理</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8"/>
        <w:gridCol w:w="3191"/>
        <w:gridCol w:w="3190"/>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240" w:lineRule="auto" w:before="49"/>
        <w:ind w:right="0"/>
        <w:jc w:val="left"/>
      </w:pPr>
      <w:r>
        <w:rPr/>
        <w:t>其他说明</w:t>
      </w:r>
    </w:p>
    <w:p>
      <w:pPr>
        <w:spacing w:line="240" w:lineRule="auto" w:before="13"/>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22</w:t>
      </w:r>
      <w:r>
        <w:rPr/>
        <w:t>、在建工程</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23,124,534.68</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23,124,534.68</w:t>
            </w:r>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
        <w:rPr>
          <w:rFonts w:ascii="宋体" w:hAnsi="宋体" w:cs="宋体" w:eastAsia="宋体" w:hint="default"/>
          <w:sz w:val="19"/>
          <w:szCs w:val="19"/>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1</w:t>
      </w:r>
      <w:r>
        <w:rPr/>
        <w:t>）在建工程情况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8"/>
        <w:gridCol w:w="1368"/>
        <w:gridCol w:w="1367"/>
        <w:gridCol w:w="1367"/>
        <w:gridCol w:w="1367"/>
        <w:gridCol w:w="1367"/>
        <w:gridCol w:w="1367"/>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1" w:type="dxa"/>
            <w:gridSpan w:val="3"/>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1368" w:type="dxa"/>
            <w:vMerge/>
            <w:tcBorders>
              <w:left w:val="single" w:sz="4" w:space="0" w:color="000000"/>
              <w:bottom w:val="single" w:sz="4" w:space="0" w:color="000000"/>
              <w:right w:val="single" w:sz="4" w:space="0" w:color="000000"/>
            </w:tcBorders>
            <w:shd w:val="clear" w:color="auto" w:fill="D3D3D3"/>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31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317"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31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31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318"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2" w:right="173"/>
              <w:jc w:val="left"/>
              <w:rPr>
                <w:rFonts w:ascii="宋体" w:hAnsi="宋体" w:cs="宋体" w:eastAsia="宋体" w:hint="default"/>
                <w:sz w:val="18"/>
                <w:szCs w:val="18"/>
              </w:rPr>
            </w:pPr>
            <w:r>
              <w:rPr>
                <w:rFonts w:ascii="宋体" w:hAnsi="宋体" w:cs="宋体" w:eastAsia="宋体" w:hint="default"/>
                <w:sz w:val="18"/>
                <w:szCs w:val="18"/>
              </w:rPr>
              <w:t>恒宝智能南京 办公楼项目</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23,124,534.68</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23,124,534.68</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23,124,534.68</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23,124,534.68</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
        <w:rPr>
          <w:rFonts w:ascii="宋体" w:hAnsi="宋体" w:cs="宋体" w:eastAsia="宋体" w:hint="default"/>
          <w:sz w:val="19"/>
          <w:szCs w:val="19"/>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2</w:t>
      </w:r>
      <w:r>
        <w:rPr/>
        <w:t>）重要在建工程项目本期变动情况</w:t>
      </w:r>
      <w:r>
        <w:rPr>
          <w:b w:val="0"/>
          <w:bCs w:val="0"/>
        </w:rPr>
      </w:r>
    </w:p>
    <w:p>
      <w:pPr>
        <w:spacing w:line="240" w:lineRule="auto" w:before="2"/>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732"/>
        <w:gridCol w:w="736"/>
        <w:gridCol w:w="736"/>
        <w:gridCol w:w="736"/>
        <w:gridCol w:w="736"/>
        <w:gridCol w:w="736"/>
        <w:gridCol w:w="736"/>
        <w:gridCol w:w="736"/>
        <w:gridCol w:w="736"/>
        <w:gridCol w:w="736"/>
        <w:gridCol w:w="736"/>
        <w:gridCol w:w="736"/>
        <w:gridCol w:w="736"/>
      </w:tblGrid>
      <w:tr>
        <w:trPr>
          <w:trHeight w:val="1962" w:hRule="exact"/>
        </w:trPr>
        <w:tc>
          <w:tcPr>
            <w:tcW w:w="73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316" w:lineRule="auto"/>
              <w:ind w:left="180" w:right="179"/>
              <w:jc w:val="left"/>
              <w:rPr>
                <w:rFonts w:ascii="宋体" w:hAnsi="宋体" w:cs="宋体" w:eastAsia="宋体" w:hint="default"/>
                <w:sz w:val="18"/>
                <w:szCs w:val="18"/>
              </w:rPr>
            </w:pPr>
            <w:r>
              <w:rPr>
                <w:rFonts w:ascii="宋体" w:hAnsi="宋体" w:cs="宋体" w:eastAsia="宋体" w:hint="default"/>
                <w:sz w:val="18"/>
                <w:szCs w:val="18"/>
              </w:rPr>
              <w:t>项目 名称</w:t>
            </w:r>
          </w:p>
        </w:tc>
        <w:tc>
          <w:tcPr>
            <w:tcW w:w="73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316" w:lineRule="auto"/>
              <w:ind w:left="273" w:right="182" w:hanging="90"/>
              <w:jc w:val="left"/>
              <w:rPr>
                <w:rFonts w:ascii="宋体" w:hAnsi="宋体" w:cs="宋体" w:eastAsia="宋体" w:hint="default"/>
                <w:sz w:val="18"/>
                <w:szCs w:val="18"/>
              </w:rPr>
            </w:pPr>
            <w:r>
              <w:rPr>
                <w:rFonts w:ascii="宋体" w:hAnsi="宋体" w:cs="宋体" w:eastAsia="宋体" w:hint="default"/>
                <w:sz w:val="18"/>
                <w:szCs w:val="18"/>
              </w:rPr>
              <w:t>预算 数</w:t>
            </w:r>
          </w:p>
        </w:tc>
        <w:tc>
          <w:tcPr>
            <w:tcW w:w="73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316" w:lineRule="auto"/>
              <w:ind w:left="183" w:right="181"/>
              <w:jc w:val="left"/>
              <w:rPr>
                <w:rFonts w:ascii="宋体" w:hAnsi="宋体" w:cs="宋体" w:eastAsia="宋体" w:hint="default"/>
                <w:sz w:val="18"/>
                <w:szCs w:val="18"/>
              </w:rPr>
            </w:pPr>
            <w:r>
              <w:rPr>
                <w:rFonts w:ascii="宋体" w:hAnsi="宋体" w:cs="宋体" w:eastAsia="宋体" w:hint="default"/>
                <w:sz w:val="18"/>
                <w:szCs w:val="18"/>
              </w:rPr>
              <w:t>期初 余额</w:t>
            </w:r>
          </w:p>
        </w:tc>
        <w:tc>
          <w:tcPr>
            <w:tcW w:w="73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316" w:lineRule="auto"/>
              <w:ind w:left="183" w:right="181"/>
              <w:jc w:val="both"/>
              <w:rPr>
                <w:rFonts w:ascii="宋体" w:hAnsi="宋体" w:cs="宋体" w:eastAsia="宋体" w:hint="default"/>
                <w:sz w:val="18"/>
                <w:szCs w:val="18"/>
              </w:rPr>
            </w:pPr>
            <w:r>
              <w:rPr>
                <w:rFonts w:ascii="宋体" w:hAnsi="宋体" w:cs="宋体" w:eastAsia="宋体" w:hint="default"/>
                <w:sz w:val="18"/>
                <w:szCs w:val="18"/>
              </w:rPr>
              <w:t>本期 增加 金额</w:t>
            </w:r>
          </w:p>
        </w:tc>
        <w:tc>
          <w:tcPr>
            <w:tcW w:w="73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183" w:right="180"/>
              <w:jc w:val="both"/>
              <w:rPr>
                <w:rFonts w:ascii="宋体" w:hAnsi="宋体" w:cs="宋体" w:eastAsia="宋体" w:hint="default"/>
                <w:sz w:val="18"/>
                <w:szCs w:val="18"/>
              </w:rPr>
            </w:pPr>
            <w:r>
              <w:rPr>
                <w:rFonts w:ascii="宋体" w:hAnsi="宋体" w:cs="宋体" w:eastAsia="宋体" w:hint="default"/>
                <w:sz w:val="18"/>
                <w:szCs w:val="18"/>
              </w:rPr>
              <w:t>本期 转入 固定 资产 金额</w:t>
            </w:r>
          </w:p>
        </w:tc>
        <w:tc>
          <w:tcPr>
            <w:tcW w:w="73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6"/>
              <w:ind w:left="182" w:right="181"/>
              <w:jc w:val="both"/>
              <w:rPr>
                <w:rFonts w:ascii="宋体" w:hAnsi="宋体" w:cs="宋体" w:eastAsia="宋体" w:hint="default"/>
                <w:sz w:val="18"/>
                <w:szCs w:val="18"/>
              </w:rPr>
            </w:pPr>
            <w:r>
              <w:rPr>
                <w:rFonts w:ascii="宋体" w:hAnsi="宋体" w:cs="宋体" w:eastAsia="宋体" w:hint="default"/>
                <w:sz w:val="18"/>
                <w:szCs w:val="18"/>
              </w:rPr>
              <w:t>本期 其他 减少 金额</w:t>
            </w:r>
          </w:p>
        </w:tc>
        <w:tc>
          <w:tcPr>
            <w:tcW w:w="73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316" w:lineRule="auto"/>
              <w:ind w:left="182" w:right="181"/>
              <w:jc w:val="left"/>
              <w:rPr>
                <w:rFonts w:ascii="宋体" w:hAnsi="宋体" w:cs="宋体" w:eastAsia="宋体" w:hint="default"/>
                <w:sz w:val="18"/>
                <w:szCs w:val="18"/>
              </w:rPr>
            </w:pPr>
            <w:r>
              <w:rPr>
                <w:rFonts w:ascii="宋体" w:hAnsi="宋体" w:cs="宋体" w:eastAsia="宋体" w:hint="default"/>
                <w:sz w:val="18"/>
                <w:szCs w:val="18"/>
              </w:rPr>
              <w:t>期末 余额</w:t>
            </w:r>
          </w:p>
        </w:tc>
        <w:tc>
          <w:tcPr>
            <w:tcW w:w="73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82" w:right="181"/>
              <w:jc w:val="both"/>
              <w:rPr>
                <w:rFonts w:ascii="宋体" w:hAnsi="宋体" w:cs="宋体" w:eastAsia="宋体" w:hint="default"/>
                <w:sz w:val="18"/>
                <w:szCs w:val="18"/>
              </w:rPr>
            </w:pPr>
            <w:r>
              <w:rPr>
                <w:rFonts w:ascii="宋体" w:hAnsi="宋体" w:cs="宋体" w:eastAsia="宋体" w:hint="default"/>
                <w:sz w:val="18"/>
                <w:szCs w:val="18"/>
              </w:rPr>
              <w:t>工程 累计 投入 占预 算比 例</w:t>
            </w:r>
          </w:p>
        </w:tc>
        <w:tc>
          <w:tcPr>
            <w:tcW w:w="73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316" w:lineRule="auto"/>
              <w:ind w:left="183" w:right="181"/>
              <w:jc w:val="left"/>
              <w:rPr>
                <w:rFonts w:ascii="宋体" w:hAnsi="宋体" w:cs="宋体" w:eastAsia="宋体" w:hint="default"/>
                <w:sz w:val="18"/>
                <w:szCs w:val="18"/>
              </w:rPr>
            </w:pPr>
            <w:r>
              <w:rPr>
                <w:rFonts w:ascii="宋体" w:hAnsi="宋体" w:cs="宋体" w:eastAsia="宋体" w:hint="default"/>
                <w:sz w:val="18"/>
                <w:szCs w:val="18"/>
              </w:rPr>
              <w:t>工程 进度</w:t>
            </w:r>
          </w:p>
        </w:tc>
        <w:tc>
          <w:tcPr>
            <w:tcW w:w="73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183" w:right="181"/>
              <w:jc w:val="both"/>
              <w:rPr>
                <w:rFonts w:ascii="宋体" w:hAnsi="宋体" w:cs="宋体" w:eastAsia="宋体" w:hint="default"/>
                <w:sz w:val="18"/>
                <w:szCs w:val="18"/>
              </w:rPr>
            </w:pPr>
            <w:r>
              <w:rPr>
                <w:rFonts w:ascii="宋体" w:hAnsi="宋体" w:cs="宋体" w:eastAsia="宋体" w:hint="default"/>
                <w:sz w:val="18"/>
                <w:szCs w:val="18"/>
              </w:rPr>
              <w:t>利息 资本 化累 计金 额</w:t>
            </w:r>
          </w:p>
        </w:tc>
        <w:tc>
          <w:tcPr>
            <w:tcW w:w="73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83" w:right="81" w:hanging="81"/>
              <w:jc w:val="left"/>
              <w:rPr>
                <w:rFonts w:ascii="宋体" w:hAnsi="宋体" w:cs="宋体" w:eastAsia="宋体" w:hint="default"/>
                <w:sz w:val="18"/>
                <w:szCs w:val="18"/>
              </w:rPr>
            </w:pPr>
            <w:r>
              <w:rPr>
                <w:rFonts w:ascii="宋体" w:hAnsi="宋体" w:cs="宋体" w:eastAsia="宋体" w:hint="default"/>
                <w:sz w:val="18"/>
                <w:szCs w:val="18"/>
              </w:rPr>
              <w:t>其中： 本期 利息 资本 化金 额</w:t>
            </w:r>
          </w:p>
        </w:tc>
        <w:tc>
          <w:tcPr>
            <w:tcW w:w="73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6"/>
              <w:ind w:left="183" w:right="181"/>
              <w:jc w:val="both"/>
              <w:rPr>
                <w:rFonts w:ascii="宋体" w:hAnsi="宋体" w:cs="宋体" w:eastAsia="宋体" w:hint="default"/>
                <w:sz w:val="18"/>
                <w:szCs w:val="18"/>
              </w:rPr>
            </w:pPr>
            <w:r>
              <w:rPr>
                <w:rFonts w:ascii="宋体" w:hAnsi="宋体" w:cs="宋体" w:eastAsia="宋体" w:hint="default"/>
                <w:sz w:val="18"/>
                <w:szCs w:val="18"/>
              </w:rPr>
              <w:t>本期 利息 资本 化率</w:t>
            </w:r>
          </w:p>
        </w:tc>
        <w:tc>
          <w:tcPr>
            <w:tcW w:w="73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316" w:lineRule="auto"/>
              <w:ind w:left="183" w:right="181"/>
              <w:jc w:val="left"/>
              <w:rPr>
                <w:rFonts w:ascii="宋体" w:hAnsi="宋体" w:cs="宋体" w:eastAsia="宋体" w:hint="default"/>
                <w:sz w:val="18"/>
                <w:szCs w:val="18"/>
              </w:rPr>
            </w:pPr>
            <w:r>
              <w:rPr>
                <w:rFonts w:ascii="宋体" w:hAnsi="宋体" w:cs="宋体" w:eastAsia="宋体" w:hint="default"/>
                <w:sz w:val="18"/>
                <w:szCs w:val="18"/>
              </w:rPr>
              <w:t>资金 来源</w:t>
            </w:r>
          </w:p>
        </w:tc>
      </w:tr>
      <w:tr>
        <w:trPr>
          <w:trHeight w:val="356" w:hRule="exact"/>
        </w:trPr>
        <w:tc>
          <w:tcPr>
            <w:tcW w:w="73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恒宝</w:t>
            </w:r>
          </w:p>
        </w:tc>
        <w:tc>
          <w:tcPr>
            <w:tcW w:w="736" w:type="dxa"/>
            <w:tcBorders>
              <w:top w:val="single" w:sz="4" w:space="0" w:color="000000"/>
              <w:left w:val="single" w:sz="4" w:space="0" w:color="000000"/>
              <w:bottom w:val="nil" w:sz="6" w:space="0" w:color="auto"/>
              <w:right w:val="single" w:sz="4" w:space="0" w:color="000000"/>
            </w:tcBorders>
          </w:tcPr>
          <w:p>
            <w:pPr/>
          </w:p>
        </w:tc>
        <w:tc>
          <w:tcPr>
            <w:tcW w:w="736" w:type="dxa"/>
            <w:vMerge w:val="restart"/>
            <w:tcBorders>
              <w:top w:val="single" w:sz="4" w:space="0" w:color="000000"/>
              <w:left w:val="single" w:sz="4" w:space="0" w:color="000000"/>
              <w:right w:val="single" w:sz="4" w:space="0" w:color="000000"/>
            </w:tcBorders>
          </w:tcPr>
          <w:p>
            <w:pPr/>
          </w:p>
        </w:tc>
        <w:tc>
          <w:tcPr>
            <w:tcW w:w="736" w:type="dxa"/>
            <w:tcBorders>
              <w:top w:val="single" w:sz="4" w:space="0" w:color="000000"/>
              <w:left w:val="single" w:sz="4" w:space="0" w:color="000000"/>
              <w:bottom w:val="nil" w:sz="6" w:space="0" w:color="auto"/>
              <w:right w:val="single" w:sz="4" w:space="0" w:color="000000"/>
            </w:tcBorders>
          </w:tcPr>
          <w:p>
            <w:pPr/>
          </w:p>
        </w:tc>
        <w:tc>
          <w:tcPr>
            <w:tcW w:w="736" w:type="dxa"/>
            <w:vMerge w:val="restart"/>
            <w:tcBorders>
              <w:top w:val="single" w:sz="4" w:space="0" w:color="000000"/>
              <w:left w:val="single" w:sz="4" w:space="0" w:color="000000"/>
              <w:right w:val="single" w:sz="4" w:space="0" w:color="000000"/>
            </w:tcBorders>
          </w:tcPr>
          <w:p>
            <w:pPr/>
          </w:p>
        </w:tc>
        <w:tc>
          <w:tcPr>
            <w:tcW w:w="736" w:type="dxa"/>
            <w:vMerge w:val="restart"/>
            <w:tcBorders>
              <w:top w:val="single" w:sz="4" w:space="0" w:color="000000"/>
              <w:left w:val="single" w:sz="4" w:space="0" w:color="000000"/>
              <w:right w:val="single" w:sz="4" w:space="0" w:color="000000"/>
            </w:tcBorders>
          </w:tcPr>
          <w:p>
            <w:pPr/>
          </w:p>
        </w:tc>
        <w:tc>
          <w:tcPr>
            <w:tcW w:w="736" w:type="dxa"/>
            <w:tcBorders>
              <w:top w:val="single" w:sz="4" w:space="0" w:color="000000"/>
              <w:left w:val="single" w:sz="4" w:space="0" w:color="000000"/>
              <w:bottom w:val="nil" w:sz="6" w:space="0" w:color="auto"/>
              <w:right w:val="single" w:sz="4" w:space="0" w:color="000000"/>
            </w:tcBorders>
          </w:tcPr>
          <w:p>
            <w:pPr/>
          </w:p>
        </w:tc>
        <w:tc>
          <w:tcPr>
            <w:tcW w:w="736" w:type="dxa"/>
            <w:tcBorders>
              <w:top w:val="single" w:sz="4" w:space="0" w:color="000000"/>
              <w:left w:val="single" w:sz="4" w:space="0" w:color="000000"/>
              <w:bottom w:val="nil" w:sz="6" w:space="0" w:color="auto"/>
              <w:right w:val="single" w:sz="4" w:space="0" w:color="000000"/>
            </w:tcBorders>
          </w:tcPr>
          <w:p>
            <w:pPr/>
          </w:p>
        </w:tc>
        <w:tc>
          <w:tcPr>
            <w:tcW w:w="736" w:type="dxa"/>
            <w:tcBorders>
              <w:top w:val="single" w:sz="4" w:space="0" w:color="000000"/>
              <w:left w:val="single" w:sz="4" w:space="0" w:color="000000"/>
              <w:bottom w:val="nil" w:sz="6" w:space="0" w:color="auto"/>
              <w:right w:val="single" w:sz="4" w:space="0" w:color="000000"/>
            </w:tcBorders>
          </w:tcPr>
          <w:p>
            <w:pPr/>
          </w:p>
        </w:tc>
        <w:tc>
          <w:tcPr>
            <w:tcW w:w="736" w:type="dxa"/>
            <w:vMerge w:val="restart"/>
            <w:tcBorders>
              <w:top w:val="single" w:sz="4" w:space="0" w:color="000000"/>
              <w:left w:val="single" w:sz="4" w:space="0" w:color="000000"/>
              <w:right w:val="single" w:sz="4" w:space="0" w:color="000000"/>
            </w:tcBorders>
          </w:tcPr>
          <w:p>
            <w:pPr/>
          </w:p>
        </w:tc>
        <w:tc>
          <w:tcPr>
            <w:tcW w:w="736" w:type="dxa"/>
            <w:vMerge w:val="restart"/>
            <w:tcBorders>
              <w:top w:val="single" w:sz="4" w:space="0" w:color="000000"/>
              <w:left w:val="single" w:sz="4" w:space="0" w:color="000000"/>
              <w:right w:val="single" w:sz="4" w:space="0" w:color="000000"/>
            </w:tcBorders>
          </w:tcPr>
          <w:p>
            <w:pPr/>
          </w:p>
        </w:tc>
        <w:tc>
          <w:tcPr>
            <w:tcW w:w="736" w:type="dxa"/>
            <w:vMerge w:val="restart"/>
            <w:tcBorders>
              <w:top w:val="single" w:sz="4" w:space="0" w:color="000000"/>
              <w:left w:val="single" w:sz="4" w:space="0" w:color="000000"/>
              <w:right w:val="single" w:sz="4" w:space="0" w:color="000000"/>
            </w:tcBorders>
          </w:tcPr>
          <w:p>
            <w:pPr/>
          </w:p>
        </w:tc>
        <w:tc>
          <w:tcPr>
            <w:tcW w:w="736" w:type="dxa"/>
            <w:tcBorders>
              <w:top w:val="single" w:sz="4" w:space="0" w:color="000000"/>
              <w:left w:val="single" w:sz="4" w:space="0" w:color="000000"/>
              <w:bottom w:val="nil" w:sz="6" w:space="0" w:color="auto"/>
              <w:right w:val="single" w:sz="4" w:space="0" w:color="000000"/>
            </w:tcBorders>
          </w:tcPr>
          <w:p>
            <w:pPr/>
          </w:p>
        </w:tc>
      </w:tr>
      <w:tr>
        <w:trPr>
          <w:trHeight w:val="1248" w:hRule="exact"/>
        </w:trPr>
        <w:tc>
          <w:tcPr>
            <w:tcW w:w="732"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2" w:right="257"/>
              <w:jc w:val="both"/>
              <w:rPr>
                <w:rFonts w:ascii="宋体" w:hAnsi="宋体" w:cs="宋体" w:eastAsia="宋体" w:hint="default"/>
                <w:sz w:val="18"/>
                <w:szCs w:val="18"/>
              </w:rPr>
            </w:pPr>
            <w:r>
              <w:rPr>
                <w:rFonts w:ascii="宋体" w:hAnsi="宋体" w:cs="宋体" w:eastAsia="宋体" w:hint="default"/>
                <w:sz w:val="18"/>
                <w:szCs w:val="18"/>
              </w:rPr>
              <w:t>智能 南京 办公 楼项</w:t>
            </w: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32,695</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,600.0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736" w:type="dxa"/>
            <w:vMerge/>
            <w:tcBorders>
              <w:left w:val="single" w:sz="4" w:space="0" w:color="000000"/>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23,124</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,534.6</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8</w:t>
            </w:r>
          </w:p>
        </w:tc>
        <w:tc>
          <w:tcPr>
            <w:tcW w:w="736" w:type="dxa"/>
            <w:vMerge/>
            <w:tcBorders>
              <w:left w:val="single" w:sz="4" w:space="0" w:color="000000"/>
              <w:right w:val="single" w:sz="4" w:space="0" w:color="000000"/>
            </w:tcBorders>
          </w:tcPr>
          <w:p>
            <w:pPr/>
          </w:p>
        </w:tc>
        <w:tc>
          <w:tcPr>
            <w:tcW w:w="736" w:type="dxa"/>
            <w:vMerge/>
            <w:tcBorders>
              <w:left w:val="single" w:sz="4" w:space="0" w:color="000000"/>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23,124</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,534.6</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8</w:t>
            </w: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17" w:right="0"/>
              <w:jc w:val="left"/>
              <w:rPr>
                <w:rFonts w:ascii="Times New Roman" w:hAnsi="Times New Roman" w:cs="Times New Roman" w:eastAsia="Times New Roman" w:hint="default"/>
                <w:sz w:val="18"/>
                <w:szCs w:val="18"/>
              </w:rPr>
            </w:pPr>
            <w:r>
              <w:rPr>
                <w:rFonts w:ascii="Times New Roman"/>
                <w:sz w:val="18"/>
              </w:rPr>
              <w:t>70.73</w:t>
            </w:r>
          </w:p>
          <w:p>
            <w:pPr>
              <w:pStyle w:val="TableParagraph"/>
              <w:spacing w:line="240" w:lineRule="auto" w:before="105"/>
              <w:ind w:left="474"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Times New Roman" w:hAnsi="Times New Roman" w:cs="Times New Roman" w:eastAsia="Times New Roman" w:hint="default"/>
                <w:sz w:val="18"/>
                <w:szCs w:val="18"/>
              </w:rPr>
            </w:pPr>
            <w:r>
              <w:rPr>
                <w:rFonts w:ascii="Times New Roman"/>
                <w:sz w:val="18"/>
              </w:rPr>
              <w:t>70.73</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36" w:type="dxa"/>
            <w:vMerge/>
            <w:tcBorders>
              <w:left w:val="single" w:sz="4" w:space="0" w:color="000000"/>
              <w:right w:val="single" w:sz="4" w:space="0" w:color="000000"/>
            </w:tcBorders>
          </w:tcPr>
          <w:p>
            <w:pPr/>
          </w:p>
        </w:tc>
        <w:tc>
          <w:tcPr>
            <w:tcW w:w="736" w:type="dxa"/>
            <w:vMerge/>
            <w:tcBorders>
              <w:left w:val="single" w:sz="4" w:space="0" w:color="000000"/>
              <w:right w:val="single" w:sz="4" w:space="0" w:color="000000"/>
            </w:tcBorders>
          </w:tcPr>
          <w:p>
            <w:pPr/>
          </w:p>
        </w:tc>
        <w:tc>
          <w:tcPr>
            <w:tcW w:w="736" w:type="dxa"/>
            <w:vMerge/>
            <w:tcBorders>
              <w:left w:val="single" w:sz="4" w:space="0" w:color="000000"/>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61"/>
              <w:jc w:val="right"/>
              <w:rPr>
                <w:rFonts w:ascii="宋体" w:hAnsi="宋体" w:cs="宋体" w:eastAsia="宋体" w:hint="default"/>
                <w:sz w:val="18"/>
                <w:szCs w:val="18"/>
              </w:rPr>
            </w:pPr>
            <w:r>
              <w:rPr>
                <w:rFonts w:ascii="宋体" w:hAnsi="宋体" w:cs="宋体" w:eastAsia="宋体" w:hint="default"/>
                <w:sz w:val="18"/>
                <w:szCs w:val="18"/>
              </w:rPr>
              <w:t>其他</w:t>
            </w:r>
          </w:p>
        </w:tc>
      </w:tr>
      <w:tr>
        <w:trPr>
          <w:trHeight w:val="357" w:hRule="exact"/>
        </w:trPr>
        <w:tc>
          <w:tcPr>
            <w:tcW w:w="73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目</w:t>
            </w:r>
          </w:p>
        </w:tc>
        <w:tc>
          <w:tcPr>
            <w:tcW w:w="736" w:type="dxa"/>
            <w:tcBorders>
              <w:top w:val="nil" w:sz="6" w:space="0" w:color="auto"/>
              <w:left w:val="single" w:sz="4" w:space="0" w:color="000000"/>
              <w:bottom w:val="single" w:sz="4" w:space="0" w:color="000000"/>
              <w:right w:val="single" w:sz="4" w:space="0" w:color="000000"/>
            </w:tcBorders>
          </w:tcPr>
          <w:p>
            <w:pPr/>
          </w:p>
        </w:tc>
        <w:tc>
          <w:tcPr>
            <w:tcW w:w="736" w:type="dxa"/>
            <w:vMerge/>
            <w:tcBorders>
              <w:left w:val="single" w:sz="4" w:space="0" w:color="000000"/>
              <w:bottom w:val="single" w:sz="4" w:space="0" w:color="000000"/>
              <w:right w:val="single" w:sz="4" w:space="0" w:color="000000"/>
            </w:tcBorders>
          </w:tcPr>
          <w:p>
            <w:pPr/>
          </w:p>
        </w:tc>
        <w:tc>
          <w:tcPr>
            <w:tcW w:w="736" w:type="dxa"/>
            <w:tcBorders>
              <w:top w:val="nil" w:sz="6" w:space="0" w:color="auto"/>
              <w:left w:val="single" w:sz="4" w:space="0" w:color="000000"/>
              <w:bottom w:val="single" w:sz="4" w:space="0" w:color="000000"/>
              <w:right w:val="single" w:sz="4" w:space="0" w:color="000000"/>
            </w:tcBorders>
          </w:tcPr>
          <w:p>
            <w:pPr/>
          </w:p>
        </w:tc>
        <w:tc>
          <w:tcPr>
            <w:tcW w:w="736" w:type="dxa"/>
            <w:vMerge/>
            <w:tcBorders>
              <w:left w:val="single" w:sz="4" w:space="0" w:color="000000"/>
              <w:bottom w:val="single" w:sz="4" w:space="0" w:color="000000"/>
              <w:right w:val="single" w:sz="4" w:space="0" w:color="000000"/>
            </w:tcBorders>
          </w:tcPr>
          <w:p>
            <w:pPr/>
          </w:p>
        </w:tc>
        <w:tc>
          <w:tcPr>
            <w:tcW w:w="736" w:type="dxa"/>
            <w:vMerge/>
            <w:tcBorders>
              <w:left w:val="single" w:sz="4" w:space="0" w:color="000000"/>
              <w:bottom w:val="single" w:sz="4" w:space="0" w:color="000000"/>
              <w:right w:val="single" w:sz="4" w:space="0" w:color="000000"/>
            </w:tcBorders>
          </w:tcPr>
          <w:p>
            <w:pPr/>
          </w:p>
        </w:tc>
        <w:tc>
          <w:tcPr>
            <w:tcW w:w="736" w:type="dxa"/>
            <w:tcBorders>
              <w:top w:val="nil" w:sz="6" w:space="0" w:color="auto"/>
              <w:left w:val="single" w:sz="4" w:space="0" w:color="000000"/>
              <w:bottom w:val="single" w:sz="4" w:space="0" w:color="000000"/>
              <w:right w:val="single" w:sz="4" w:space="0" w:color="000000"/>
            </w:tcBorders>
          </w:tcPr>
          <w:p>
            <w:pPr/>
          </w:p>
        </w:tc>
        <w:tc>
          <w:tcPr>
            <w:tcW w:w="736" w:type="dxa"/>
            <w:tcBorders>
              <w:top w:val="nil" w:sz="6" w:space="0" w:color="auto"/>
              <w:left w:val="single" w:sz="4" w:space="0" w:color="000000"/>
              <w:bottom w:val="single" w:sz="4" w:space="0" w:color="000000"/>
              <w:right w:val="single" w:sz="4" w:space="0" w:color="000000"/>
            </w:tcBorders>
          </w:tcPr>
          <w:p>
            <w:pPr/>
          </w:p>
        </w:tc>
        <w:tc>
          <w:tcPr>
            <w:tcW w:w="736" w:type="dxa"/>
            <w:tcBorders>
              <w:top w:val="nil" w:sz="6" w:space="0" w:color="auto"/>
              <w:left w:val="single" w:sz="4" w:space="0" w:color="000000"/>
              <w:bottom w:val="single" w:sz="4" w:space="0" w:color="000000"/>
              <w:right w:val="single" w:sz="4" w:space="0" w:color="000000"/>
            </w:tcBorders>
          </w:tcPr>
          <w:p>
            <w:pPr/>
          </w:p>
        </w:tc>
        <w:tc>
          <w:tcPr>
            <w:tcW w:w="736" w:type="dxa"/>
            <w:vMerge/>
            <w:tcBorders>
              <w:left w:val="single" w:sz="4" w:space="0" w:color="000000"/>
              <w:bottom w:val="single" w:sz="4" w:space="0" w:color="000000"/>
              <w:right w:val="single" w:sz="4" w:space="0" w:color="000000"/>
            </w:tcBorders>
          </w:tcPr>
          <w:p>
            <w:pPr/>
          </w:p>
        </w:tc>
        <w:tc>
          <w:tcPr>
            <w:tcW w:w="736" w:type="dxa"/>
            <w:vMerge/>
            <w:tcBorders>
              <w:left w:val="single" w:sz="4" w:space="0" w:color="000000"/>
              <w:bottom w:val="single" w:sz="4" w:space="0" w:color="000000"/>
              <w:right w:val="single" w:sz="4" w:space="0" w:color="000000"/>
            </w:tcBorders>
          </w:tcPr>
          <w:p>
            <w:pPr/>
          </w:p>
        </w:tc>
        <w:tc>
          <w:tcPr>
            <w:tcW w:w="736" w:type="dxa"/>
            <w:vMerge/>
            <w:tcBorders>
              <w:left w:val="single" w:sz="4" w:space="0" w:color="000000"/>
              <w:bottom w:val="single" w:sz="4" w:space="0" w:color="000000"/>
              <w:right w:val="single" w:sz="4" w:space="0" w:color="000000"/>
            </w:tcBorders>
          </w:tcPr>
          <w:p>
            <w:pPr/>
          </w:p>
        </w:tc>
        <w:tc>
          <w:tcPr>
            <w:tcW w:w="736" w:type="dxa"/>
            <w:tcBorders>
              <w:top w:val="nil" w:sz="6" w:space="0" w:color="auto"/>
              <w:left w:val="single" w:sz="4" w:space="0" w:color="000000"/>
              <w:bottom w:val="single" w:sz="4" w:space="0" w:color="000000"/>
              <w:right w:val="single" w:sz="4" w:space="0" w:color="000000"/>
            </w:tcBorders>
          </w:tcPr>
          <w:p>
            <w:pPr/>
          </w:p>
        </w:tc>
      </w:tr>
      <w:tr>
        <w:trPr>
          <w:trHeight w:val="683" w:hRule="exact"/>
        </w:trPr>
        <w:tc>
          <w:tcPr>
            <w:tcW w:w="73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7" w:right="0"/>
              <w:jc w:val="left"/>
              <w:rPr>
                <w:rFonts w:ascii="Times New Roman" w:hAnsi="Times New Roman" w:cs="Times New Roman" w:eastAsia="Times New Roman" w:hint="default"/>
                <w:sz w:val="18"/>
                <w:szCs w:val="18"/>
              </w:rPr>
            </w:pPr>
            <w:r>
              <w:rPr>
                <w:rFonts w:ascii="Times New Roman"/>
                <w:sz w:val="18"/>
              </w:rPr>
              <w:t>32,695</w:t>
            </w:r>
          </w:p>
          <w:p>
            <w:pPr>
              <w:pStyle w:val="TableParagraph"/>
              <w:spacing w:line="240" w:lineRule="auto" w:before="105"/>
              <w:ind w:left="172" w:right="0"/>
              <w:jc w:val="left"/>
              <w:rPr>
                <w:rFonts w:ascii="Times New Roman" w:hAnsi="Times New Roman" w:cs="Times New Roman" w:eastAsia="Times New Roman" w:hint="default"/>
                <w:sz w:val="18"/>
                <w:szCs w:val="18"/>
              </w:rPr>
            </w:pPr>
            <w:r>
              <w:rPr>
                <w:rFonts w:ascii="Times New Roman"/>
                <w:sz w:val="18"/>
              </w:rPr>
              <w:t>,600.0</w:t>
            </w: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7" w:right="0"/>
              <w:jc w:val="left"/>
              <w:rPr>
                <w:rFonts w:ascii="Times New Roman" w:hAnsi="Times New Roman" w:cs="Times New Roman" w:eastAsia="Times New Roman" w:hint="default"/>
                <w:sz w:val="18"/>
                <w:szCs w:val="18"/>
              </w:rPr>
            </w:pPr>
            <w:r>
              <w:rPr>
                <w:rFonts w:ascii="Times New Roman"/>
                <w:sz w:val="18"/>
              </w:rPr>
              <w:t>23,124</w:t>
            </w:r>
          </w:p>
          <w:p>
            <w:pPr>
              <w:pStyle w:val="TableParagraph"/>
              <w:spacing w:line="240" w:lineRule="auto" w:before="105"/>
              <w:ind w:left="172" w:right="0"/>
              <w:jc w:val="left"/>
              <w:rPr>
                <w:rFonts w:ascii="Times New Roman" w:hAnsi="Times New Roman" w:cs="Times New Roman" w:eastAsia="Times New Roman" w:hint="default"/>
                <w:sz w:val="18"/>
                <w:szCs w:val="18"/>
              </w:rPr>
            </w:pPr>
            <w:r>
              <w:rPr>
                <w:rFonts w:ascii="Times New Roman"/>
                <w:sz w:val="18"/>
              </w:rPr>
              <w:t>,534.6</w:t>
            </w: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7" w:right="0"/>
              <w:jc w:val="left"/>
              <w:rPr>
                <w:rFonts w:ascii="Times New Roman" w:hAnsi="Times New Roman" w:cs="Times New Roman" w:eastAsia="Times New Roman" w:hint="default"/>
                <w:sz w:val="18"/>
                <w:szCs w:val="18"/>
              </w:rPr>
            </w:pPr>
            <w:r>
              <w:rPr>
                <w:rFonts w:ascii="Times New Roman"/>
                <w:sz w:val="18"/>
              </w:rPr>
              <w:t>23,124</w:t>
            </w:r>
          </w:p>
          <w:p>
            <w:pPr>
              <w:pStyle w:val="TableParagraph"/>
              <w:spacing w:line="240" w:lineRule="auto" w:before="105"/>
              <w:ind w:left="172" w:right="0"/>
              <w:jc w:val="left"/>
              <w:rPr>
                <w:rFonts w:ascii="Times New Roman" w:hAnsi="Times New Roman" w:cs="Times New Roman" w:eastAsia="Times New Roman" w:hint="default"/>
                <w:sz w:val="18"/>
                <w:szCs w:val="18"/>
              </w:rPr>
            </w:pPr>
            <w:r>
              <w:rPr>
                <w:rFonts w:ascii="Times New Roman"/>
                <w:sz w:val="18"/>
              </w:rPr>
              <w:t>,534.6</w:t>
            </w:r>
          </w:p>
        </w:tc>
        <w:tc>
          <w:tcPr>
            <w:tcW w:w="73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3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w:t>
            </w: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300"/>
              <w:jc w:val="right"/>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right"/>
        <w:rPr>
          <w:rFonts w:ascii="Times New Roman" w:hAnsi="Times New Roman" w:cs="Times New Roman" w:eastAsia="Times New Roman" w:hint="default"/>
          <w:sz w:val="18"/>
          <w:szCs w:val="18"/>
        </w:rPr>
        <w:sectPr>
          <w:pgSz w:w="11910" w:h="16840"/>
          <w:pgMar w:header="906" w:footer="1018" w:top="1100" w:bottom="1200" w:left="1020" w:right="0"/>
        </w:sectPr>
      </w:pPr>
    </w:p>
    <w:p>
      <w:pPr>
        <w:spacing w:line="240" w:lineRule="auto" w:before="7"/>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732"/>
        <w:gridCol w:w="736"/>
        <w:gridCol w:w="736"/>
        <w:gridCol w:w="736"/>
        <w:gridCol w:w="736"/>
        <w:gridCol w:w="736"/>
        <w:gridCol w:w="736"/>
        <w:gridCol w:w="736"/>
        <w:gridCol w:w="736"/>
        <w:gridCol w:w="736"/>
        <w:gridCol w:w="736"/>
        <w:gridCol w:w="736"/>
        <w:gridCol w:w="736"/>
      </w:tblGrid>
      <w:tr>
        <w:trPr>
          <w:trHeight w:val="362" w:hRule="exact"/>
        </w:trPr>
        <w:tc>
          <w:tcPr>
            <w:tcW w:w="732"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0</w:t>
            </w: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8</w:t>
            </w: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8</w:t>
            </w:r>
          </w:p>
        </w:tc>
        <w:tc>
          <w:tcPr>
            <w:tcW w:w="736"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36"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shd w:val="clear" w:color="auto" w:fill="D3D3D3"/>
          </w:tcPr>
          <w:p>
            <w:pP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3</w:t>
      </w:r>
      <w:r>
        <w:rPr/>
        <w:t>）本期计提在建工程减值准备情况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8"/>
        <w:gridCol w:w="3191"/>
        <w:gridCol w:w="3190"/>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50" w:right="0"/>
              <w:jc w:val="left"/>
              <w:rPr>
                <w:rFonts w:ascii="宋体" w:hAnsi="宋体" w:cs="宋体" w:eastAsia="宋体" w:hint="default"/>
                <w:sz w:val="18"/>
                <w:szCs w:val="18"/>
              </w:rPr>
            </w:pPr>
            <w:r>
              <w:rPr>
                <w:rFonts w:ascii="宋体" w:hAnsi="宋体" w:cs="宋体" w:eastAsia="宋体" w:hint="default"/>
                <w:sz w:val="18"/>
                <w:szCs w:val="18"/>
              </w:rPr>
              <w:t>本期计提金额</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计提原因</w:t>
            </w:r>
          </w:p>
        </w:tc>
      </w:tr>
    </w:tbl>
    <w:p>
      <w:pPr>
        <w:pStyle w:val="BodyText"/>
        <w:spacing w:line="240" w:lineRule="auto" w:before="49"/>
        <w:ind w:right="0"/>
        <w:jc w:val="left"/>
      </w:pPr>
      <w:r>
        <w:rPr/>
        <w:t>其他说明</w:t>
      </w:r>
    </w:p>
    <w:p>
      <w:pPr>
        <w:spacing w:line="240" w:lineRule="auto" w:before="13"/>
        <w:rPr>
          <w:rFonts w:ascii="宋体" w:hAnsi="宋体" w:cs="宋体" w:eastAsia="宋体" w:hint="default"/>
          <w:sz w:val="26"/>
          <w:szCs w:val="26"/>
        </w:rPr>
      </w:pPr>
    </w:p>
    <w:p>
      <w:pPr>
        <w:pStyle w:val="Heading3"/>
        <w:spacing w:line="240" w:lineRule="auto"/>
        <w:ind w:right="0"/>
        <w:jc w:val="left"/>
        <w:rPr>
          <w:b w:val="0"/>
          <w:bCs w:val="0"/>
        </w:rPr>
      </w:pPr>
      <w:r>
        <w:rPr/>
        <w:t>（</w:t>
      </w:r>
      <w:r>
        <w:rPr>
          <w:rFonts w:ascii="Times New Roman" w:hAnsi="Times New Roman" w:cs="Times New Roman" w:eastAsia="Times New Roman" w:hint="default"/>
        </w:rPr>
        <w:t>4</w:t>
      </w:r>
      <w:r>
        <w:rPr/>
        <w:t>）工程物资</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132"/>
        <w:gridCol w:w="1329"/>
        <w:gridCol w:w="1328"/>
        <w:gridCol w:w="1196"/>
        <w:gridCol w:w="1196"/>
        <w:gridCol w:w="1196"/>
        <w:gridCol w:w="1191"/>
      </w:tblGrid>
      <w:tr>
        <w:trPr>
          <w:trHeight w:val="401" w:hRule="exact"/>
        </w:trPr>
        <w:tc>
          <w:tcPr>
            <w:tcW w:w="2132"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53" w:type="dxa"/>
            <w:gridSpan w:val="3"/>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583" w:type="dxa"/>
            <w:gridSpan w:val="3"/>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2132" w:type="dxa"/>
            <w:vMerge/>
            <w:tcBorders>
              <w:left w:val="single" w:sz="4" w:space="0" w:color="000000"/>
              <w:bottom w:val="single" w:sz="4" w:space="0" w:color="000000"/>
              <w:right w:val="single" w:sz="4" w:space="0" w:color="000000"/>
            </w:tcBorders>
            <w:shd w:val="clear" w:color="auto" w:fill="D3D3D3"/>
          </w:tcPr>
          <w:p>
            <w:pPr/>
          </w:p>
        </w:tc>
        <w:tc>
          <w:tcPr>
            <w:tcW w:w="132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29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29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233"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23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232"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1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230"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pStyle w:val="BodyText"/>
        <w:spacing w:line="240" w:lineRule="auto" w:before="49"/>
        <w:ind w:right="0"/>
        <w:jc w:val="left"/>
      </w:pPr>
      <w:r>
        <w:rPr/>
        <w:t>其他说明：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23</w:t>
      </w:r>
      <w:r>
        <w:rPr/>
        <w:t>、生产性生物资产</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t>（</w:t>
      </w:r>
      <w:r>
        <w:rPr>
          <w:rFonts w:ascii="Times New Roman" w:hAnsi="Times New Roman" w:cs="Times New Roman" w:eastAsia="Times New Roman" w:hint="default"/>
        </w:rPr>
        <w:t>1</w:t>
      </w:r>
      <w:r>
        <w:rPr/>
        <w:t>）采用成本计量模式的生产性生物资产</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t>（</w:t>
      </w:r>
      <w:r>
        <w:rPr>
          <w:rFonts w:ascii="Times New Roman" w:hAnsi="Times New Roman" w:cs="Times New Roman" w:eastAsia="Times New Roman" w:hint="default"/>
        </w:rPr>
        <w:t>2</w:t>
      </w:r>
      <w:r>
        <w:rPr/>
        <w:t>）采用公允价值计量模式的生产性生物资产</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24</w:t>
      </w:r>
      <w:r>
        <w:rPr/>
        <w:t>、油气资产</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3"/>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25</w:t>
      </w:r>
      <w:r>
        <w:rPr/>
        <w:t>、使用权资产</w:t>
      </w:r>
      <w:r>
        <w:rPr>
          <w:b w:val="0"/>
          <w:bCs w:val="0"/>
        </w:rPr>
      </w:r>
    </w:p>
    <w:p>
      <w:pPr>
        <w:spacing w:line="240" w:lineRule="auto" w:before="2"/>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合计</w:t>
            </w:r>
          </w:p>
        </w:tc>
      </w:tr>
    </w:tbl>
    <w:p>
      <w:pPr>
        <w:pStyle w:val="BodyText"/>
        <w:spacing w:line="240" w:lineRule="auto" w:before="50"/>
        <w:ind w:right="0"/>
        <w:jc w:val="left"/>
      </w:pPr>
      <w:r>
        <w:rPr/>
        <w:t>其他说明：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26</w:t>
      </w:r>
      <w:r>
        <w:rPr/>
        <w:t>、无形资产</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t>（</w:t>
      </w:r>
      <w:r>
        <w:rPr>
          <w:rFonts w:ascii="Times New Roman" w:hAnsi="Times New Roman" w:cs="Times New Roman" w:eastAsia="Times New Roman" w:hint="default"/>
        </w:rPr>
        <w:t>1</w:t>
      </w:r>
      <w:r>
        <w:rPr/>
        <w:t>）无形资产情况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196"/>
        <w:gridCol w:w="1196"/>
        <w:gridCol w:w="1196"/>
        <w:gridCol w:w="1196"/>
        <w:gridCol w:w="1196"/>
        <w:gridCol w:w="1196"/>
        <w:gridCol w:w="1196"/>
        <w:gridCol w:w="1196"/>
      </w:tblGrid>
      <w:tr>
        <w:trPr>
          <w:trHeight w:val="401" w:hRule="exact"/>
        </w:trPr>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42"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323" w:right="0"/>
              <w:jc w:val="left"/>
              <w:rPr>
                <w:rFonts w:ascii="宋体" w:hAnsi="宋体" w:cs="宋体" w:eastAsia="宋体" w:hint="default"/>
                <w:sz w:val="18"/>
                <w:szCs w:val="18"/>
              </w:rPr>
            </w:pPr>
            <w:r>
              <w:rPr>
                <w:rFonts w:ascii="宋体" w:hAnsi="宋体" w:cs="宋体" w:eastAsia="宋体" w:hint="default"/>
                <w:sz w:val="18"/>
                <w:szCs w:val="18"/>
              </w:rPr>
              <w:t>专利权</w:t>
            </w:r>
          </w:p>
        </w:tc>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42" w:right="0"/>
              <w:jc w:val="left"/>
              <w:rPr>
                <w:rFonts w:ascii="宋体" w:hAnsi="宋体" w:cs="宋体" w:eastAsia="宋体" w:hint="default"/>
                <w:sz w:val="18"/>
                <w:szCs w:val="18"/>
              </w:rPr>
            </w:pPr>
            <w:r>
              <w:rPr>
                <w:rFonts w:ascii="宋体" w:hAnsi="宋体" w:cs="宋体" w:eastAsia="宋体" w:hint="default"/>
                <w:sz w:val="18"/>
                <w:szCs w:val="18"/>
              </w:rPr>
              <w:t>非专利技术</w:t>
            </w:r>
          </w:p>
        </w:tc>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42" w:right="0"/>
              <w:jc w:val="left"/>
              <w:rPr>
                <w:rFonts w:ascii="宋体" w:hAnsi="宋体" w:cs="宋体" w:eastAsia="宋体" w:hint="default"/>
                <w:sz w:val="18"/>
                <w:szCs w:val="18"/>
              </w:rPr>
            </w:pPr>
            <w:r>
              <w:rPr>
                <w:rFonts w:ascii="宋体" w:hAnsi="宋体" w:cs="宋体" w:eastAsia="宋体" w:hint="default"/>
                <w:sz w:val="18"/>
                <w:szCs w:val="18"/>
              </w:rPr>
              <w:t>计算机软件</w:t>
            </w:r>
          </w:p>
        </w:tc>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233" w:right="0"/>
              <w:jc w:val="left"/>
              <w:rPr>
                <w:rFonts w:ascii="宋体" w:hAnsi="宋体" w:cs="宋体" w:eastAsia="宋体" w:hint="default"/>
                <w:sz w:val="18"/>
                <w:szCs w:val="18"/>
              </w:rPr>
            </w:pPr>
            <w:r>
              <w:rPr>
                <w:rFonts w:ascii="宋体" w:hAnsi="宋体" w:cs="宋体" w:eastAsia="宋体" w:hint="default"/>
                <w:sz w:val="18"/>
                <w:szCs w:val="18"/>
              </w:rPr>
              <w:t>专有技术</w:t>
            </w:r>
          </w:p>
        </w:tc>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42" w:right="0"/>
              <w:jc w:val="left"/>
              <w:rPr>
                <w:rFonts w:ascii="宋体" w:hAnsi="宋体" w:cs="宋体" w:eastAsia="宋体" w:hint="default"/>
                <w:sz w:val="18"/>
                <w:szCs w:val="18"/>
              </w:rPr>
            </w:pPr>
            <w:r>
              <w:rPr>
                <w:rFonts w:ascii="宋体" w:hAnsi="宋体" w:cs="宋体" w:eastAsia="宋体" w:hint="default"/>
                <w:sz w:val="18"/>
                <w:szCs w:val="18"/>
              </w:rPr>
              <w:t>商标使用权</w:t>
            </w:r>
          </w:p>
        </w:tc>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1" w:hRule="exact"/>
        </w:trPr>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69"/>
              <w:ind w:right="78"/>
              <w:jc w:val="center"/>
              <w:rPr>
                <w:rFonts w:ascii="宋体" w:hAnsi="宋体" w:cs="宋体" w:eastAsia="宋体" w:hint="default"/>
                <w:sz w:val="18"/>
                <w:szCs w:val="18"/>
              </w:rPr>
            </w:pPr>
            <w:r>
              <w:rPr>
                <w:rFonts w:ascii="宋体" w:hAnsi="宋体" w:cs="宋体" w:eastAsia="宋体" w:hint="default"/>
                <w:sz w:val="18"/>
                <w:szCs w:val="18"/>
              </w:rPr>
              <w:t>一、账面原</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6" w:footer="1018" w:top="1100" w:bottom="1200" w:left="1020" w:right="0"/>
        </w:sectPr>
      </w:pPr>
    </w:p>
    <w:p>
      <w:pPr>
        <w:spacing w:line="240" w:lineRule="auto" w:before="0"/>
        <w:rPr>
          <w:rFonts w:ascii="Times New Roman" w:hAnsi="Times New Roman" w:cs="Times New Roman" w:eastAsia="Times New Roman" w:hint="default"/>
          <w:sz w:val="29"/>
          <w:szCs w:val="29"/>
        </w:rPr>
      </w:pPr>
    </w:p>
    <w:tbl>
      <w:tblPr>
        <w:tblW w:w="0" w:type="auto"/>
        <w:jc w:val="left"/>
        <w:tblInd w:w="109" w:type="dxa"/>
        <w:tblLayout w:type="fixed"/>
        <w:tblCellMar>
          <w:top w:w="0" w:type="dxa"/>
          <w:left w:w="0" w:type="dxa"/>
          <w:bottom w:w="0" w:type="dxa"/>
          <w:right w:w="0" w:type="dxa"/>
        </w:tblCellMar>
        <w:tblLook w:val="01E0"/>
      </w:tblPr>
      <w:tblGrid>
        <w:gridCol w:w="1196"/>
        <w:gridCol w:w="1196"/>
        <w:gridCol w:w="1196"/>
        <w:gridCol w:w="1196"/>
        <w:gridCol w:w="1196"/>
        <w:gridCol w:w="1196"/>
        <w:gridCol w:w="1196"/>
        <w:gridCol w:w="1196"/>
      </w:tblGrid>
      <w:tr>
        <w:trPr>
          <w:trHeight w:val="362" w:hRule="exact"/>
        </w:trPr>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值</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49"/>
              <w:ind w:left="102" w:right="226"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 余额</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30,525,565.7</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4</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81,796,086.1</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6</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134,478,000.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20,000,000.0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266,799,651.</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90</w:t>
            </w:r>
          </w:p>
        </w:tc>
      </w:tr>
      <w:tr>
        <w:trPr>
          <w:trHeight w:val="714" w:hRule="exact"/>
        </w:trPr>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49"/>
              <w:ind w:left="102" w:right="226"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 增加金额</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9,951,163.31</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34" w:right="0"/>
              <w:jc w:val="center"/>
              <w:rPr>
                <w:rFonts w:ascii="Times New Roman" w:hAnsi="Times New Roman" w:cs="Times New Roman" w:eastAsia="Times New Roman" w:hint="default"/>
                <w:sz w:val="18"/>
                <w:szCs w:val="18"/>
              </w:rPr>
            </w:pPr>
            <w:r>
              <w:rPr>
                <w:rFonts w:ascii="Times New Roman"/>
                <w:sz w:val="18"/>
              </w:rPr>
              <w:t>9,951,163.31</w:t>
            </w:r>
          </w:p>
        </w:tc>
      </w:tr>
      <w:tr>
        <w:trPr>
          <w:trHeight w:val="714" w:hRule="exact"/>
        </w:trPr>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64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p>
          <w:p>
            <w:pPr>
              <w:pStyle w:val="TableParagraph"/>
              <w:spacing w:line="240" w:lineRule="auto" w:before="62"/>
              <w:ind w:left="102" w:right="0"/>
              <w:jc w:val="left"/>
              <w:rPr>
                <w:rFonts w:ascii="宋体" w:hAnsi="宋体" w:cs="宋体" w:eastAsia="宋体" w:hint="default"/>
                <w:sz w:val="18"/>
                <w:szCs w:val="18"/>
              </w:rPr>
            </w:pPr>
            <w:r>
              <w:rPr>
                <w:rFonts w:ascii="宋体" w:hAnsi="宋体" w:cs="宋体" w:eastAsia="宋体" w:hint="default"/>
                <w:sz w:val="18"/>
                <w:szCs w:val="18"/>
              </w:rPr>
              <w:t>购置</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9,951,163.31</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34" w:right="0"/>
              <w:jc w:val="center"/>
              <w:rPr>
                <w:rFonts w:ascii="Times New Roman" w:hAnsi="Times New Roman" w:cs="Times New Roman" w:eastAsia="Times New Roman" w:hint="default"/>
                <w:sz w:val="18"/>
                <w:szCs w:val="18"/>
              </w:rPr>
            </w:pPr>
            <w:r>
              <w:rPr>
                <w:rFonts w:ascii="Times New Roman"/>
                <w:sz w:val="18"/>
              </w:rPr>
              <w:t>9,951,163.31</w:t>
            </w:r>
          </w:p>
        </w:tc>
      </w:tr>
      <w:tr>
        <w:trPr>
          <w:trHeight w:val="714" w:hRule="exact"/>
        </w:trPr>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49"/>
              <w:ind w:left="102" w:right="91" w:firstLine="54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 内部研发</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9" w:lineRule="auto" w:before="49"/>
              <w:ind w:left="102" w:right="91" w:firstLine="54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 企业合并增 加</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49"/>
              <w:ind w:left="102" w:right="226"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 少金额</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64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p>
          <w:p>
            <w:pPr>
              <w:pStyle w:val="TableParagraph"/>
              <w:spacing w:line="240" w:lineRule="auto" w:before="63"/>
              <w:ind w:left="102" w:right="0"/>
              <w:jc w:val="left"/>
              <w:rPr>
                <w:rFonts w:ascii="宋体" w:hAnsi="宋体" w:cs="宋体" w:eastAsia="宋体" w:hint="default"/>
                <w:sz w:val="18"/>
                <w:szCs w:val="18"/>
              </w:rPr>
            </w:pPr>
            <w:r>
              <w:rPr>
                <w:rFonts w:ascii="宋体" w:hAnsi="宋体" w:cs="宋体" w:eastAsia="宋体" w:hint="default"/>
                <w:sz w:val="18"/>
                <w:szCs w:val="18"/>
              </w:rPr>
              <w:t>处置</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49"/>
              <w:ind w:left="102" w:right="226"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 余额</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30,525,565.7</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4</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91,747,249.4</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7</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134,478,000.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20,000,000.0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276,750,815.</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21</w:t>
            </w:r>
          </w:p>
        </w:tc>
      </w:tr>
      <w:tr>
        <w:trPr>
          <w:trHeight w:val="714" w:hRule="exact"/>
        </w:trPr>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02" w:right="181"/>
              <w:jc w:val="left"/>
              <w:rPr>
                <w:rFonts w:ascii="宋体" w:hAnsi="宋体" w:cs="宋体" w:eastAsia="宋体" w:hint="default"/>
                <w:sz w:val="18"/>
                <w:szCs w:val="18"/>
              </w:rPr>
            </w:pPr>
            <w:r>
              <w:rPr>
                <w:rFonts w:ascii="宋体" w:hAnsi="宋体" w:cs="宋体" w:eastAsia="宋体" w:hint="default"/>
                <w:sz w:val="18"/>
                <w:szCs w:val="18"/>
              </w:rPr>
              <w:t>二、累计摊 销</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49"/>
              <w:ind w:left="102" w:right="226"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 余额</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6,818,062.79</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35,301,244.2</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7</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47,378,000.0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14,000,000.0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103,497,307.</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06</w:t>
            </w:r>
          </w:p>
        </w:tc>
      </w:tr>
      <w:tr>
        <w:trPr>
          <w:trHeight w:val="714" w:hRule="exact"/>
        </w:trPr>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49"/>
              <w:ind w:left="102" w:right="226"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 增加金额</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624,664.00</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3,676,481.71</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13,400,000.0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34" w:right="0"/>
              <w:jc w:val="center"/>
              <w:rPr>
                <w:rFonts w:ascii="Times New Roman" w:hAnsi="Times New Roman" w:cs="Times New Roman" w:eastAsia="Times New Roman" w:hint="default"/>
                <w:sz w:val="18"/>
                <w:szCs w:val="18"/>
              </w:rPr>
            </w:pPr>
            <w:r>
              <w:rPr>
                <w:rFonts w:ascii="Times New Roman"/>
                <w:sz w:val="18"/>
              </w:rPr>
              <w:t>4,000,000.00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21,701,145.7</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1</w:t>
            </w:r>
          </w:p>
        </w:tc>
      </w:tr>
      <w:tr>
        <w:trPr>
          <w:trHeight w:val="714" w:hRule="exact"/>
        </w:trPr>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64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p>
          <w:p>
            <w:pPr>
              <w:pStyle w:val="TableParagraph"/>
              <w:spacing w:line="240" w:lineRule="auto" w:before="62"/>
              <w:ind w:left="102" w:right="0"/>
              <w:jc w:val="left"/>
              <w:rPr>
                <w:rFonts w:ascii="宋体" w:hAnsi="宋体" w:cs="宋体" w:eastAsia="宋体" w:hint="default"/>
                <w:sz w:val="18"/>
                <w:szCs w:val="18"/>
              </w:rPr>
            </w:pPr>
            <w:r>
              <w:rPr>
                <w:rFonts w:ascii="宋体" w:hAnsi="宋体" w:cs="宋体" w:eastAsia="宋体" w:hint="default"/>
                <w:sz w:val="18"/>
                <w:szCs w:val="18"/>
              </w:rPr>
              <w:t>计提</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624,664.00</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3,676,481.71</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13,400,000.0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34" w:right="0"/>
              <w:jc w:val="center"/>
              <w:rPr>
                <w:rFonts w:ascii="Times New Roman" w:hAnsi="Times New Roman" w:cs="Times New Roman" w:eastAsia="Times New Roman" w:hint="default"/>
                <w:sz w:val="18"/>
                <w:szCs w:val="18"/>
              </w:rPr>
            </w:pPr>
            <w:r>
              <w:rPr>
                <w:rFonts w:ascii="Times New Roman"/>
                <w:sz w:val="18"/>
              </w:rPr>
              <w:t>4,000,000.00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21,701,145.7</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1</w:t>
            </w:r>
          </w:p>
        </w:tc>
      </w:tr>
      <w:tr>
        <w:trPr>
          <w:trHeight w:val="402" w:hRule="exact"/>
        </w:trPr>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49"/>
              <w:ind w:left="102" w:right="226"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 减少金额</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64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p>
          <w:p>
            <w:pPr>
              <w:pStyle w:val="TableParagraph"/>
              <w:spacing w:line="240" w:lineRule="auto" w:before="62"/>
              <w:ind w:left="102" w:right="0"/>
              <w:jc w:val="left"/>
              <w:rPr>
                <w:rFonts w:ascii="宋体" w:hAnsi="宋体" w:cs="宋体" w:eastAsia="宋体" w:hint="default"/>
                <w:sz w:val="18"/>
                <w:szCs w:val="18"/>
              </w:rPr>
            </w:pPr>
            <w:r>
              <w:rPr>
                <w:rFonts w:ascii="宋体" w:hAnsi="宋体" w:cs="宋体" w:eastAsia="宋体" w:hint="default"/>
                <w:sz w:val="18"/>
                <w:szCs w:val="18"/>
              </w:rPr>
              <w:t>处置</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49"/>
              <w:ind w:left="102" w:right="226"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 余额</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7,442,726.70</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38,977,725.9</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8</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60,778,000.0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18,000,000.0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125,198,452.</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77</w:t>
            </w:r>
          </w:p>
        </w:tc>
      </w:tr>
      <w:tr>
        <w:trPr>
          <w:trHeight w:val="713" w:hRule="exact"/>
        </w:trPr>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49"/>
              <w:ind w:left="102" w:right="181"/>
              <w:jc w:val="left"/>
              <w:rPr>
                <w:rFonts w:ascii="宋体" w:hAnsi="宋体" w:cs="宋体" w:eastAsia="宋体" w:hint="default"/>
                <w:sz w:val="18"/>
                <w:szCs w:val="18"/>
              </w:rPr>
            </w:pPr>
            <w:r>
              <w:rPr>
                <w:rFonts w:ascii="宋体" w:hAnsi="宋体" w:cs="宋体" w:eastAsia="宋体" w:hint="default"/>
                <w:sz w:val="18"/>
                <w:szCs w:val="18"/>
              </w:rPr>
              <w:t>三、减值准 备</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6" w:footer="1018" w:top="1100" w:bottom="1200" w:left="1020" w:right="0"/>
        </w:sectPr>
      </w:pPr>
    </w:p>
    <w:p>
      <w:pPr>
        <w:spacing w:line="240" w:lineRule="auto" w:before="0"/>
        <w:rPr>
          <w:rFonts w:ascii="Times New Roman" w:hAnsi="Times New Roman" w:cs="Times New Roman" w:eastAsia="Times New Roman" w:hint="default"/>
          <w:sz w:val="29"/>
          <w:szCs w:val="29"/>
        </w:rPr>
      </w:pPr>
    </w:p>
    <w:tbl>
      <w:tblPr>
        <w:tblW w:w="0" w:type="auto"/>
        <w:jc w:val="left"/>
        <w:tblInd w:w="109" w:type="dxa"/>
        <w:tblLayout w:type="fixed"/>
        <w:tblCellMar>
          <w:top w:w="0" w:type="dxa"/>
          <w:left w:w="0" w:type="dxa"/>
          <w:bottom w:w="0" w:type="dxa"/>
          <w:right w:w="0" w:type="dxa"/>
        </w:tblCellMar>
        <w:tblLook w:val="01E0"/>
      </w:tblPr>
      <w:tblGrid>
        <w:gridCol w:w="1196"/>
        <w:gridCol w:w="1196"/>
        <w:gridCol w:w="1196"/>
        <w:gridCol w:w="1196"/>
        <w:gridCol w:w="1196"/>
        <w:gridCol w:w="1196"/>
        <w:gridCol w:w="1196"/>
        <w:gridCol w:w="1196"/>
      </w:tblGrid>
      <w:tr>
        <w:trPr>
          <w:trHeight w:val="714" w:hRule="exact"/>
        </w:trPr>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0"/>
              <w:ind w:left="102" w:right="226"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 余额</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27,998,988.0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27,998,988.0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0"/>
              <w:ind w:left="102" w:right="226"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 增加金额</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64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p>
          <w:p>
            <w:pPr>
              <w:pStyle w:val="TableParagraph"/>
              <w:spacing w:line="240" w:lineRule="auto" w:before="62"/>
              <w:ind w:left="102" w:right="0"/>
              <w:jc w:val="left"/>
              <w:rPr>
                <w:rFonts w:ascii="宋体" w:hAnsi="宋体" w:cs="宋体" w:eastAsia="宋体" w:hint="default"/>
                <w:sz w:val="18"/>
                <w:szCs w:val="18"/>
              </w:rPr>
            </w:pPr>
            <w:r>
              <w:rPr>
                <w:rFonts w:ascii="宋体" w:hAnsi="宋体" w:cs="宋体" w:eastAsia="宋体" w:hint="default"/>
                <w:sz w:val="18"/>
                <w:szCs w:val="18"/>
              </w:rPr>
              <w:t>计提</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0"/>
              <w:ind w:left="102" w:right="226"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 减少金额</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57"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w:t>
            </w:r>
          </w:p>
          <w:p>
            <w:pPr>
              <w:pStyle w:val="TableParagraph"/>
              <w:spacing w:line="240" w:lineRule="auto" w:before="62"/>
              <w:ind w:left="102" w:right="0"/>
              <w:jc w:val="left"/>
              <w:rPr>
                <w:rFonts w:ascii="宋体" w:hAnsi="宋体" w:cs="宋体" w:eastAsia="宋体" w:hint="default"/>
                <w:sz w:val="18"/>
                <w:szCs w:val="18"/>
              </w:rPr>
            </w:pPr>
            <w:r>
              <w:rPr>
                <w:rFonts w:ascii="宋体" w:hAnsi="宋体" w:cs="宋体" w:eastAsia="宋体" w:hint="default"/>
                <w:sz w:val="18"/>
                <w:szCs w:val="18"/>
              </w:rPr>
              <w:t>置</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0"/>
              <w:ind w:left="102" w:right="226"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 余额</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27,998,988.0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27,998,988.0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0"/>
              <w:ind w:left="102" w:right="181"/>
              <w:jc w:val="left"/>
              <w:rPr>
                <w:rFonts w:ascii="宋体" w:hAnsi="宋体" w:cs="宋体" w:eastAsia="宋体" w:hint="default"/>
                <w:sz w:val="18"/>
                <w:szCs w:val="18"/>
              </w:rPr>
            </w:pPr>
            <w:r>
              <w:rPr>
                <w:rFonts w:ascii="宋体" w:hAnsi="宋体" w:cs="宋体" w:eastAsia="宋体" w:hint="default"/>
                <w:sz w:val="18"/>
                <w:szCs w:val="18"/>
              </w:rPr>
              <w:t>四、账面价 值</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0"/>
              <w:ind w:left="102" w:right="226"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 账面价值</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23,082,838.9</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5</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24,770,535.4</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9</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73,700,000.0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34" w:right="0"/>
              <w:jc w:val="center"/>
              <w:rPr>
                <w:rFonts w:ascii="Times New Roman" w:hAnsi="Times New Roman" w:cs="Times New Roman" w:eastAsia="Times New Roman" w:hint="default"/>
                <w:sz w:val="18"/>
                <w:szCs w:val="18"/>
              </w:rPr>
            </w:pPr>
            <w:r>
              <w:rPr>
                <w:rFonts w:ascii="Times New Roman"/>
                <w:sz w:val="18"/>
              </w:rPr>
              <w:t>2,000,000.00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123,553,374.</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44</w:t>
            </w:r>
          </w:p>
        </w:tc>
      </w:tr>
      <w:tr>
        <w:trPr>
          <w:trHeight w:val="714" w:hRule="exact"/>
        </w:trPr>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0"/>
              <w:ind w:left="102" w:right="226"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 账面价值</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23,707,502.9</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5</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18,495,853.8</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9</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87,100,000.0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34" w:right="0"/>
              <w:jc w:val="center"/>
              <w:rPr>
                <w:rFonts w:ascii="Times New Roman" w:hAnsi="Times New Roman" w:cs="Times New Roman" w:eastAsia="Times New Roman" w:hint="default"/>
                <w:sz w:val="18"/>
                <w:szCs w:val="18"/>
              </w:rPr>
            </w:pPr>
            <w:r>
              <w:rPr>
                <w:rFonts w:ascii="Times New Roman"/>
                <w:sz w:val="18"/>
              </w:rPr>
              <w:t>6,000,000.00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135,303,356.</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84</w:t>
            </w:r>
          </w:p>
        </w:tc>
      </w:tr>
    </w:tbl>
    <w:p>
      <w:pPr>
        <w:pStyle w:val="BodyText"/>
        <w:spacing w:line="240" w:lineRule="auto" w:before="50"/>
        <w:ind w:right="0"/>
        <w:jc w:val="left"/>
      </w:pPr>
      <w:r>
        <w:rPr/>
        <w:t>本期末通过公司内部研发形成的无形资产占无形资产余额的比例。</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t>（</w:t>
      </w:r>
      <w:r>
        <w:rPr>
          <w:rFonts w:ascii="Times New Roman" w:hAnsi="Times New Roman" w:cs="Times New Roman" w:eastAsia="Times New Roman" w:hint="default"/>
        </w:rPr>
        <w:t>2</w:t>
      </w:r>
      <w:r>
        <w:rPr/>
        <w:t>）未办妥产权证书的土地使用权情况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688" w:right="0"/>
              <w:jc w:val="left"/>
              <w:rPr>
                <w:rFonts w:ascii="宋体" w:hAnsi="宋体" w:cs="宋体" w:eastAsia="宋体" w:hint="default"/>
                <w:sz w:val="18"/>
                <w:szCs w:val="18"/>
              </w:rPr>
            </w:pPr>
            <w:r>
              <w:rPr>
                <w:rFonts w:ascii="宋体" w:hAnsi="宋体" w:cs="宋体" w:eastAsia="宋体" w:hint="default"/>
                <w:sz w:val="18"/>
                <w:szCs w:val="18"/>
              </w:rPr>
              <w:t>未办妥产权证书的原因</w:t>
            </w:r>
          </w:p>
        </w:tc>
      </w:tr>
    </w:tbl>
    <w:p>
      <w:pPr>
        <w:pStyle w:val="BodyText"/>
        <w:spacing w:line="240" w:lineRule="auto" w:before="50"/>
        <w:ind w:right="0"/>
        <w:jc w:val="left"/>
      </w:pPr>
      <w:r>
        <w:rPr/>
        <w:t>其他说明：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27</w:t>
      </w:r>
      <w:r>
        <w:rPr/>
        <w:t>、开发支出</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063"/>
        <w:gridCol w:w="1063"/>
        <w:gridCol w:w="1063"/>
        <w:gridCol w:w="1063"/>
        <w:gridCol w:w="1063"/>
        <w:gridCol w:w="1063"/>
        <w:gridCol w:w="1063"/>
        <w:gridCol w:w="1063"/>
        <w:gridCol w:w="1063"/>
      </w:tblGrid>
      <w:tr>
        <w:trPr>
          <w:trHeight w:val="401" w:hRule="exact"/>
        </w:trPr>
        <w:tc>
          <w:tcPr>
            <w:tcW w:w="1063"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left="345"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1063"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3189" w:type="dxa"/>
            <w:gridSpan w:val="3"/>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48"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3189" w:type="dxa"/>
            <w:gridSpan w:val="3"/>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48"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063"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714" w:hRule="exact"/>
        </w:trPr>
        <w:tc>
          <w:tcPr>
            <w:tcW w:w="1063" w:type="dxa"/>
            <w:vMerge/>
            <w:tcBorders>
              <w:left w:val="single" w:sz="4" w:space="0" w:color="000000"/>
              <w:bottom w:val="single" w:sz="4" w:space="0" w:color="000000"/>
              <w:right w:val="single" w:sz="4" w:space="0" w:color="000000"/>
            </w:tcBorders>
            <w:shd w:val="clear" w:color="auto" w:fill="D3D3D3"/>
          </w:tcPr>
          <w:p>
            <w:pPr/>
          </w:p>
        </w:tc>
        <w:tc>
          <w:tcPr>
            <w:tcW w:w="1063" w:type="dxa"/>
            <w:vMerge/>
            <w:tcBorders>
              <w:left w:val="single" w:sz="4" w:space="0" w:color="000000"/>
              <w:bottom w:val="single" w:sz="4" w:space="0" w:color="000000"/>
              <w:right w:val="single" w:sz="4" w:space="0" w:color="000000"/>
            </w:tcBorders>
            <w:shd w:val="clear" w:color="auto" w:fill="D3D3D3"/>
          </w:tcPr>
          <w:p>
            <w:pPr/>
          </w:p>
        </w:tc>
        <w:tc>
          <w:tcPr>
            <w:tcW w:w="10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346" w:right="165" w:hanging="180"/>
              <w:jc w:val="left"/>
              <w:rPr>
                <w:rFonts w:ascii="宋体" w:hAnsi="宋体" w:cs="宋体" w:eastAsia="宋体" w:hint="default"/>
                <w:sz w:val="18"/>
                <w:szCs w:val="18"/>
              </w:rPr>
            </w:pPr>
            <w:r>
              <w:rPr>
                <w:rFonts w:ascii="宋体" w:hAnsi="宋体" w:cs="宋体" w:eastAsia="宋体" w:hint="default"/>
                <w:sz w:val="18"/>
                <w:szCs w:val="18"/>
              </w:rPr>
              <w:t>内部开发 支出</w:t>
            </w:r>
          </w:p>
        </w:tc>
        <w:tc>
          <w:tcPr>
            <w:tcW w:w="10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4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063"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0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256" w:right="165" w:hanging="90"/>
              <w:jc w:val="left"/>
              <w:rPr>
                <w:rFonts w:ascii="宋体" w:hAnsi="宋体" w:cs="宋体" w:eastAsia="宋体" w:hint="default"/>
                <w:sz w:val="18"/>
                <w:szCs w:val="18"/>
              </w:rPr>
            </w:pPr>
            <w:r>
              <w:rPr>
                <w:rFonts w:ascii="宋体" w:hAnsi="宋体" w:cs="宋体" w:eastAsia="宋体" w:hint="default"/>
                <w:sz w:val="18"/>
                <w:szCs w:val="18"/>
              </w:rPr>
              <w:t>确认为无 形资产</w:t>
            </w:r>
          </w:p>
        </w:tc>
        <w:tc>
          <w:tcPr>
            <w:tcW w:w="10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345" w:right="165" w:hanging="180"/>
              <w:jc w:val="left"/>
              <w:rPr>
                <w:rFonts w:ascii="宋体" w:hAnsi="宋体" w:cs="宋体" w:eastAsia="宋体" w:hint="default"/>
                <w:sz w:val="18"/>
                <w:szCs w:val="18"/>
              </w:rPr>
            </w:pPr>
            <w:r>
              <w:rPr>
                <w:rFonts w:ascii="宋体" w:hAnsi="宋体" w:cs="宋体" w:eastAsia="宋体" w:hint="default"/>
                <w:sz w:val="18"/>
                <w:szCs w:val="18"/>
              </w:rPr>
              <w:t>转入当期 损益</w:t>
            </w:r>
          </w:p>
        </w:tc>
        <w:tc>
          <w:tcPr>
            <w:tcW w:w="1063"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063" w:type="dxa"/>
            <w:vMerge/>
            <w:tcBorders>
              <w:left w:val="single" w:sz="4" w:space="0" w:color="000000"/>
              <w:bottom w:val="single" w:sz="4" w:space="0" w:color="000000"/>
              <w:right w:val="single" w:sz="4" w:space="0" w:color="000000"/>
            </w:tcBorders>
            <w:shd w:val="clear" w:color="auto" w:fill="D3D3D3"/>
          </w:tcPr>
          <w:p>
            <w:pPr/>
          </w:p>
        </w:tc>
      </w:tr>
      <w:tr>
        <w:trPr>
          <w:trHeight w:val="403" w:hRule="exact"/>
        </w:trPr>
        <w:tc>
          <w:tcPr>
            <w:tcW w:w="1063"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0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34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49"/>
        <w:ind w:right="0"/>
        <w:jc w:val="left"/>
      </w:pPr>
      <w:r>
        <w:rPr/>
        <w:t>其他说明</w:t>
      </w:r>
    </w:p>
    <w:p>
      <w:pPr>
        <w:spacing w:after="0" w:line="240" w:lineRule="auto"/>
        <w:jc w:val="left"/>
        <w:sectPr>
          <w:pgSz w:w="11910" w:h="16840"/>
          <w:pgMar w:header="906" w:footer="1018" w:top="1100" w:bottom="1200" w:left="1020" w:right="0"/>
        </w:sectPr>
      </w:pPr>
    </w:p>
    <w:p>
      <w:pPr>
        <w:spacing w:line="240" w:lineRule="auto" w:before="9"/>
        <w:rPr>
          <w:rFonts w:ascii="宋体" w:hAnsi="宋体" w:cs="宋体" w:eastAsia="宋体" w:hint="default"/>
          <w:sz w:val="21"/>
          <w:szCs w:val="21"/>
        </w:rPr>
      </w:pPr>
    </w:p>
    <w:p>
      <w:pPr>
        <w:pStyle w:val="Heading3"/>
        <w:spacing w:line="240" w:lineRule="auto" w:before="35"/>
        <w:ind w:right="0"/>
        <w:jc w:val="left"/>
        <w:rPr>
          <w:b w:val="0"/>
          <w:bCs w:val="0"/>
        </w:rPr>
      </w:pPr>
      <w:r>
        <w:rPr>
          <w:rFonts w:ascii="Times New Roman" w:hAnsi="Times New Roman" w:cs="Times New Roman" w:eastAsia="Times New Roman" w:hint="default"/>
        </w:rPr>
        <w:t>28</w:t>
      </w:r>
      <w:r>
        <w:rPr/>
        <w:t>、商誉</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t>（</w:t>
      </w:r>
      <w:r>
        <w:rPr>
          <w:rFonts w:ascii="Times New Roman" w:hAnsi="Times New Roman" w:cs="Times New Roman" w:eastAsia="Times New Roman" w:hint="default"/>
        </w:rPr>
        <w:t>1</w:t>
      </w:r>
      <w:r>
        <w:rPr/>
        <w:t>）商誉账面原值</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7"/>
        <w:gridCol w:w="1367"/>
        <w:gridCol w:w="1367"/>
        <w:gridCol w:w="1367"/>
        <w:gridCol w:w="1367"/>
        <w:gridCol w:w="1367"/>
        <w:gridCol w:w="1367"/>
      </w:tblGrid>
      <w:tr>
        <w:trPr>
          <w:trHeight w:val="402" w:hRule="exact"/>
        </w:trPr>
        <w:tc>
          <w:tcPr>
            <w:tcW w:w="1367" w:type="dxa"/>
            <w:vMerge w:val="restart"/>
            <w:tcBorders>
              <w:top w:val="single" w:sz="4" w:space="0" w:color="000000"/>
              <w:left w:val="single" w:sz="4" w:space="0" w:color="000000"/>
              <w:right w:val="single" w:sz="4" w:space="0" w:color="000000"/>
            </w:tcBorders>
            <w:shd w:val="clear" w:color="auto" w:fill="D3D3D3"/>
          </w:tcPr>
          <w:p>
            <w:pPr>
              <w:pStyle w:val="TableParagraph"/>
              <w:spacing w:line="316" w:lineRule="auto" w:before="94"/>
              <w:ind w:left="137" w:right="137"/>
              <w:jc w:val="center"/>
              <w:rPr>
                <w:rFonts w:ascii="宋体" w:hAnsi="宋体" w:cs="宋体" w:eastAsia="宋体" w:hint="default"/>
                <w:sz w:val="18"/>
                <w:szCs w:val="18"/>
              </w:rPr>
            </w:pPr>
            <w:r>
              <w:rPr>
                <w:rFonts w:ascii="宋体" w:hAnsi="宋体" w:cs="宋体" w:eastAsia="宋体" w:hint="default"/>
                <w:sz w:val="18"/>
                <w:szCs w:val="18"/>
              </w:rPr>
              <w:t>被投资单位名 称或形成商誉 的事项</w:t>
            </w:r>
          </w:p>
        </w:tc>
        <w:tc>
          <w:tcPr>
            <w:tcW w:w="1367"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left="318"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本期增加</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本期减少</w:t>
            </w:r>
          </w:p>
        </w:tc>
        <w:tc>
          <w:tcPr>
            <w:tcW w:w="1367"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left="318"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713" w:hRule="exact"/>
        </w:trPr>
        <w:tc>
          <w:tcPr>
            <w:tcW w:w="1367" w:type="dxa"/>
            <w:vMerge/>
            <w:tcBorders>
              <w:left w:val="single" w:sz="4" w:space="0" w:color="000000"/>
              <w:bottom w:val="single" w:sz="4" w:space="0" w:color="000000"/>
              <w:right w:val="single" w:sz="4" w:space="0" w:color="000000"/>
            </w:tcBorders>
            <w:shd w:val="clear" w:color="auto" w:fill="D3D3D3"/>
          </w:tcPr>
          <w:p>
            <w:pPr/>
          </w:p>
        </w:tc>
        <w:tc>
          <w:tcPr>
            <w:tcW w:w="1367" w:type="dxa"/>
            <w:vMerge/>
            <w:tcBorders>
              <w:left w:val="single" w:sz="4" w:space="0" w:color="000000"/>
              <w:bottom w:val="single" w:sz="4" w:space="0" w:color="000000"/>
              <w:right w:val="single" w:sz="4" w:space="0" w:color="000000"/>
            </w:tcBorders>
            <w:shd w:val="clear" w:color="auto" w:fill="D3D3D3"/>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588" w:right="137" w:hanging="450"/>
              <w:jc w:val="left"/>
              <w:rPr>
                <w:rFonts w:ascii="宋体" w:hAnsi="宋体" w:cs="宋体" w:eastAsia="宋体" w:hint="default"/>
                <w:sz w:val="18"/>
                <w:szCs w:val="18"/>
              </w:rPr>
            </w:pPr>
            <w:r>
              <w:rPr>
                <w:rFonts w:ascii="宋体" w:hAnsi="宋体" w:cs="宋体" w:eastAsia="宋体" w:hint="default"/>
                <w:sz w:val="18"/>
                <w:szCs w:val="18"/>
              </w:rPr>
              <w:t>企业合并形成 的</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处置</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367" w:type="dxa"/>
            <w:vMerge/>
            <w:tcBorders>
              <w:left w:val="single" w:sz="4" w:space="0" w:color="000000"/>
              <w:bottom w:val="single" w:sz="4" w:space="0" w:color="000000"/>
              <w:right w:val="single" w:sz="4" w:space="0" w:color="000000"/>
            </w:tcBorders>
            <w:shd w:val="clear" w:color="auto" w:fill="D3D3D3"/>
          </w:tcPr>
          <w:p>
            <w:pPr/>
          </w:p>
        </w:tc>
      </w:tr>
      <w:tr>
        <w:trPr>
          <w:trHeight w:val="356" w:hRule="exact"/>
        </w:trPr>
        <w:tc>
          <w:tcPr>
            <w:tcW w:w="1367" w:type="dxa"/>
            <w:tcBorders>
              <w:top w:val="single" w:sz="4" w:space="0" w:color="000000"/>
              <w:left w:val="single" w:sz="4" w:space="0" w:color="000000"/>
              <w:bottom w:val="nil" w:sz="6" w:space="0" w:color="auto"/>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北京东方英卡</w:t>
            </w:r>
          </w:p>
        </w:tc>
        <w:tc>
          <w:tcPr>
            <w:tcW w:w="1367" w:type="dxa"/>
            <w:tcBorders>
              <w:top w:val="single" w:sz="4" w:space="0" w:color="000000"/>
              <w:left w:val="single" w:sz="4" w:space="0" w:color="000000"/>
              <w:bottom w:val="nil" w:sz="6" w:space="0" w:color="auto"/>
              <w:right w:val="single" w:sz="4" w:space="0" w:color="000000"/>
            </w:tcBorders>
          </w:tcPr>
          <w:p>
            <w:pPr/>
          </w:p>
        </w:tc>
        <w:tc>
          <w:tcPr>
            <w:tcW w:w="1367" w:type="dxa"/>
            <w:vMerge w:val="restart"/>
            <w:tcBorders>
              <w:top w:val="single" w:sz="4" w:space="0" w:color="000000"/>
              <w:left w:val="single" w:sz="4" w:space="0" w:color="000000"/>
              <w:right w:val="single" w:sz="4" w:space="0" w:color="000000"/>
            </w:tcBorders>
          </w:tcPr>
          <w:p>
            <w:pPr/>
          </w:p>
        </w:tc>
        <w:tc>
          <w:tcPr>
            <w:tcW w:w="1367" w:type="dxa"/>
            <w:vMerge w:val="restart"/>
            <w:tcBorders>
              <w:top w:val="single" w:sz="4" w:space="0" w:color="000000"/>
              <w:left w:val="single" w:sz="4" w:space="0" w:color="000000"/>
              <w:right w:val="single" w:sz="4" w:space="0" w:color="000000"/>
            </w:tcBorders>
          </w:tcPr>
          <w:p>
            <w:pPr/>
          </w:p>
        </w:tc>
        <w:tc>
          <w:tcPr>
            <w:tcW w:w="1367" w:type="dxa"/>
            <w:vMerge w:val="restart"/>
            <w:tcBorders>
              <w:top w:val="single" w:sz="4" w:space="0" w:color="000000"/>
              <w:left w:val="single" w:sz="4" w:space="0" w:color="000000"/>
              <w:right w:val="single" w:sz="4" w:space="0" w:color="000000"/>
            </w:tcBorders>
          </w:tcPr>
          <w:p>
            <w:pPr/>
          </w:p>
        </w:tc>
        <w:tc>
          <w:tcPr>
            <w:tcW w:w="1367" w:type="dxa"/>
            <w:vMerge w:val="restart"/>
            <w:tcBorders>
              <w:top w:val="single" w:sz="4" w:space="0" w:color="000000"/>
              <w:left w:val="single" w:sz="4" w:space="0" w:color="000000"/>
              <w:right w:val="single" w:sz="4" w:space="0" w:color="000000"/>
            </w:tcBorders>
          </w:tcPr>
          <w:p>
            <w:pPr/>
          </w:p>
        </w:tc>
        <w:tc>
          <w:tcPr>
            <w:tcW w:w="1367" w:type="dxa"/>
            <w:tcBorders>
              <w:top w:val="single" w:sz="4" w:space="0" w:color="000000"/>
              <w:left w:val="single" w:sz="4" w:space="0" w:color="000000"/>
              <w:bottom w:val="nil" w:sz="6" w:space="0" w:color="auto"/>
              <w:right w:val="single" w:sz="4" w:space="0" w:color="000000"/>
            </w:tcBorders>
          </w:tcPr>
          <w:p>
            <w:pPr/>
          </w:p>
        </w:tc>
      </w:tr>
      <w:tr>
        <w:trPr>
          <w:trHeight w:val="624" w:hRule="exact"/>
        </w:trPr>
        <w:tc>
          <w:tcPr>
            <w:tcW w:w="1367"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316" w:lineRule="auto" w:before="10"/>
              <w:ind w:left="102" w:right="172"/>
              <w:jc w:val="left"/>
              <w:rPr>
                <w:rFonts w:ascii="宋体" w:hAnsi="宋体" w:cs="宋体" w:eastAsia="宋体" w:hint="default"/>
                <w:sz w:val="18"/>
                <w:szCs w:val="18"/>
              </w:rPr>
            </w:pPr>
            <w:r>
              <w:rPr>
                <w:rFonts w:ascii="宋体" w:hAnsi="宋体" w:cs="宋体" w:eastAsia="宋体" w:hint="default"/>
                <w:sz w:val="18"/>
                <w:szCs w:val="18"/>
              </w:rPr>
              <w:t>数字信息技术 有限公司（注</w:t>
            </w:r>
          </w:p>
        </w:tc>
        <w:tc>
          <w:tcPr>
            <w:tcW w:w="1367"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11,137,414.67</w:t>
            </w:r>
          </w:p>
        </w:tc>
        <w:tc>
          <w:tcPr>
            <w:tcW w:w="1367" w:type="dxa"/>
            <w:vMerge/>
            <w:tcBorders>
              <w:left w:val="single" w:sz="4" w:space="0" w:color="000000"/>
              <w:right w:val="single" w:sz="4" w:space="0" w:color="000000"/>
            </w:tcBorders>
          </w:tcPr>
          <w:p>
            <w:pPr/>
          </w:p>
        </w:tc>
        <w:tc>
          <w:tcPr>
            <w:tcW w:w="1367" w:type="dxa"/>
            <w:vMerge/>
            <w:tcBorders>
              <w:left w:val="single" w:sz="4" w:space="0" w:color="000000"/>
              <w:right w:val="single" w:sz="4" w:space="0" w:color="000000"/>
            </w:tcBorders>
          </w:tcPr>
          <w:p>
            <w:pPr/>
          </w:p>
        </w:tc>
        <w:tc>
          <w:tcPr>
            <w:tcW w:w="1367" w:type="dxa"/>
            <w:vMerge/>
            <w:tcBorders>
              <w:left w:val="single" w:sz="4" w:space="0" w:color="000000"/>
              <w:right w:val="single" w:sz="4" w:space="0" w:color="000000"/>
            </w:tcBorders>
          </w:tcPr>
          <w:p>
            <w:pPr/>
          </w:p>
        </w:tc>
        <w:tc>
          <w:tcPr>
            <w:tcW w:w="1367" w:type="dxa"/>
            <w:vMerge/>
            <w:tcBorders>
              <w:left w:val="single" w:sz="4" w:space="0" w:color="000000"/>
              <w:right w:val="single" w:sz="4" w:space="0" w:color="000000"/>
            </w:tcBorders>
          </w:tcPr>
          <w:p>
            <w:pPr/>
          </w:p>
        </w:tc>
        <w:tc>
          <w:tcPr>
            <w:tcW w:w="1367"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22" w:right="0"/>
              <w:jc w:val="center"/>
              <w:rPr>
                <w:rFonts w:ascii="Times New Roman" w:hAnsi="Times New Roman" w:cs="Times New Roman" w:eastAsia="Times New Roman" w:hint="default"/>
                <w:sz w:val="18"/>
                <w:szCs w:val="18"/>
              </w:rPr>
            </w:pPr>
            <w:r>
              <w:rPr>
                <w:rFonts w:ascii="Times New Roman"/>
                <w:sz w:val="18"/>
              </w:rPr>
              <w:t>11,137,414.67</w:t>
            </w:r>
          </w:p>
        </w:tc>
      </w:tr>
      <w:tr>
        <w:trPr>
          <w:trHeight w:val="359" w:hRule="exact"/>
        </w:trPr>
        <w:tc>
          <w:tcPr>
            <w:tcW w:w="1367" w:type="dxa"/>
            <w:tcBorders>
              <w:top w:val="nil" w:sz="6" w:space="0" w:color="auto"/>
              <w:left w:val="single" w:sz="4" w:space="0" w:color="000000"/>
              <w:bottom w:val="single" w:sz="4" w:space="0" w:color="000000"/>
              <w:right w:val="single" w:sz="4" w:space="0" w:color="000000"/>
            </w:tcBorders>
            <w:shd w:val="clear" w:color="auto" w:fill="D3D3D3"/>
          </w:tcPr>
          <w:p>
            <w:pPr>
              <w:pStyle w:val="TableParagraph"/>
              <w:spacing w:line="240" w:lineRule="auto" w:before="1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p>
        </w:tc>
        <w:tc>
          <w:tcPr>
            <w:tcW w:w="1367" w:type="dxa"/>
            <w:tcBorders>
              <w:top w:val="nil" w:sz="6" w:space="0" w:color="auto"/>
              <w:left w:val="single" w:sz="4" w:space="0" w:color="000000"/>
              <w:bottom w:val="single" w:sz="4" w:space="0" w:color="000000"/>
              <w:right w:val="single" w:sz="4" w:space="0" w:color="000000"/>
            </w:tcBorders>
          </w:tcPr>
          <w:p>
            <w:pPr/>
          </w:p>
        </w:tc>
        <w:tc>
          <w:tcPr>
            <w:tcW w:w="1367" w:type="dxa"/>
            <w:vMerge/>
            <w:tcBorders>
              <w:left w:val="single" w:sz="4" w:space="0" w:color="000000"/>
              <w:bottom w:val="single" w:sz="4" w:space="0" w:color="000000"/>
              <w:right w:val="single" w:sz="4" w:space="0" w:color="000000"/>
            </w:tcBorders>
          </w:tcPr>
          <w:p>
            <w:pPr/>
          </w:p>
        </w:tc>
        <w:tc>
          <w:tcPr>
            <w:tcW w:w="1367" w:type="dxa"/>
            <w:vMerge/>
            <w:tcBorders>
              <w:left w:val="single" w:sz="4" w:space="0" w:color="000000"/>
              <w:bottom w:val="single" w:sz="4" w:space="0" w:color="000000"/>
              <w:right w:val="single" w:sz="4" w:space="0" w:color="000000"/>
            </w:tcBorders>
          </w:tcPr>
          <w:p>
            <w:pPr/>
          </w:p>
        </w:tc>
        <w:tc>
          <w:tcPr>
            <w:tcW w:w="1367" w:type="dxa"/>
            <w:vMerge/>
            <w:tcBorders>
              <w:left w:val="single" w:sz="4" w:space="0" w:color="000000"/>
              <w:bottom w:val="single" w:sz="4" w:space="0" w:color="000000"/>
              <w:right w:val="single" w:sz="4" w:space="0" w:color="000000"/>
            </w:tcBorders>
          </w:tcPr>
          <w:p>
            <w:pPr/>
          </w:p>
        </w:tc>
        <w:tc>
          <w:tcPr>
            <w:tcW w:w="1367" w:type="dxa"/>
            <w:vMerge/>
            <w:tcBorders>
              <w:left w:val="single" w:sz="4" w:space="0" w:color="000000"/>
              <w:bottom w:val="single" w:sz="4" w:space="0" w:color="000000"/>
              <w:right w:val="single" w:sz="4" w:space="0" w:color="000000"/>
            </w:tcBorders>
          </w:tcPr>
          <w:p>
            <w:pPr/>
          </w:p>
        </w:tc>
        <w:tc>
          <w:tcPr>
            <w:tcW w:w="1367" w:type="dxa"/>
            <w:tcBorders>
              <w:top w:val="nil" w:sz="6" w:space="0" w:color="auto"/>
              <w:left w:val="single" w:sz="4" w:space="0" w:color="000000"/>
              <w:bottom w:val="single" w:sz="4" w:space="0" w:color="000000"/>
              <w:right w:val="single" w:sz="4" w:space="0" w:color="000000"/>
            </w:tcBorders>
          </w:tcPr>
          <w:p>
            <w:pPr/>
          </w:p>
        </w:tc>
      </w:tr>
      <w:tr>
        <w:trPr>
          <w:trHeight w:val="355" w:hRule="exact"/>
        </w:trPr>
        <w:tc>
          <w:tcPr>
            <w:tcW w:w="1367" w:type="dxa"/>
            <w:tcBorders>
              <w:top w:val="single" w:sz="4" w:space="0" w:color="000000"/>
              <w:left w:val="single" w:sz="4" w:space="0" w:color="000000"/>
              <w:bottom w:val="nil" w:sz="6" w:space="0" w:color="auto"/>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深圳一卡易科</w:t>
            </w:r>
          </w:p>
        </w:tc>
        <w:tc>
          <w:tcPr>
            <w:tcW w:w="1367" w:type="dxa"/>
            <w:tcBorders>
              <w:top w:val="single" w:sz="4" w:space="0" w:color="000000"/>
              <w:left w:val="single" w:sz="4" w:space="0" w:color="000000"/>
              <w:bottom w:val="nil" w:sz="6" w:space="0" w:color="auto"/>
              <w:right w:val="single" w:sz="4" w:space="0" w:color="000000"/>
            </w:tcBorders>
          </w:tcPr>
          <w:p>
            <w:pPr/>
          </w:p>
        </w:tc>
        <w:tc>
          <w:tcPr>
            <w:tcW w:w="1367" w:type="dxa"/>
            <w:vMerge w:val="restart"/>
            <w:tcBorders>
              <w:top w:val="single" w:sz="4" w:space="0" w:color="000000"/>
              <w:left w:val="single" w:sz="4" w:space="0" w:color="000000"/>
              <w:right w:val="single" w:sz="4" w:space="0" w:color="000000"/>
            </w:tcBorders>
          </w:tcPr>
          <w:p>
            <w:pPr/>
          </w:p>
        </w:tc>
        <w:tc>
          <w:tcPr>
            <w:tcW w:w="1367" w:type="dxa"/>
            <w:vMerge w:val="restart"/>
            <w:tcBorders>
              <w:top w:val="single" w:sz="4" w:space="0" w:color="000000"/>
              <w:left w:val="single" w:sz="4" w:space="0" w:color="000000"/>
              <w:right w:val="single" w:sz="4" w:space="0" w:color="000000"/>
            </w:tcBorders>
          </w:tcPr>
          <w:p>
            <w:pPr/>
          </w:p>
        </w:tc>
        <w:tc>
          <w:tcPr>
            <w:tcW w:w="1367" w:type="dxa"/>
            <w:vMerge w:val="restart"/>
            <w:tcBorders>
              <w:top w:val="single" w:sz="4" w:space="0" w:color="000000"/>
              <w:left w:val="single" w:sz="4" w:space="0" w:color="000000"/>
              <w:right w:val="single" w:sz="4" w:space="0" w:color="000000"/>
            </w:tcBorders>
          </w:tcPr>
          <w:p>
            <w:pPr/>
          </w:p>
        </w:tc>
        <w:tc>
          <w:tcPr>
            <w:tcW w:w="1367" w:type="dxa"/>
            <w:vMerge w:val="restart"/>
            <w:tcBorders>
              <w:top w:val="single" w:sz="4" w:space="0" w:color="000000"/>
              <w:left w:val="single" w:sz="4" w:space="0" w:color="000000"/>
              <w:right w:val="single" w:sz="4" w:space="0" w:color="000000"/>
            </w:tcBorders>
          </w:tcPr>
          <w:p>
            <w:pPr/>
          </w:p>
        </w:tc>
        <w:tc>
          <w:tcPr>
            <w:tcW w:w="1367" w:type="dxa"/>
            <w:tcBorders>
              <w:top w:val="single" w:sz="4" w:space="0" w:color="000000"/>
              <w:left w:val="single" w:sz="4" w:space="0" w:color="000000"/>
              <w:bottom w:val="nil" w:sz="6" w:space="0" w:color="auto"/>
              <w:right w:val="single" w:sz="4" w:space="0" w:color="000000"/>
            </w:tcBorders>
          </w:tcPr>
          <w:p>
            <w:pPr/>
          </w:p>
        </w:tc>
      </w:tr>
      <w:tr>
        <w:trPr>
          <w:trHeight w:val="316" w:hRule="exact"/>
        </w:trPr>
        <w:tc>
          <w:tcPr>
            <w:tcW w:w="1367"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技股份有限公</w:t>
            </w:r>
          </w:p>
        </w:tc>
        <w:tc>
          <w:tcPr>
            <w:tcW w:w="136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70,835,809.00</w:t>
            </w:r>
          </w:p>
        </w:tc>
        <w:tc>
          <w:tcPr>
            <w:tcW w:w="1367" w:type="dxa"/>
            <w:vMerge/>
            <w:tcBorders>
              <w:left w:val="single" w:sz="4" w:space="0" w:color="000000"/>
              <w:right w:val="single" w:sz="4" w:space="0" w:color="000000"/>
            </w:tcBorders>
          </w:tcPr>
          <w:p>
            <w:pPr/>
          </w:p>
        </w:tc>
        <w:tc>
          <w:tcPr>
            <w:tcW w:w="1367" w:type="dxa"/>
            <w:vMerge/>
            <w:tcBorders>
              <w:left w:val="single" w:sz="4" w:space="0" w:color="000000"/>
              <w:right w:val="single" w:sz="4" w:space="0" w:color="000000"/>
            </w:tcBorders>
          </w:tcPr>
          <w:p>
            <w:pPr/>
          </w:p>
        </w:tc>
        <w:tc>
          <w:tcPr>
            <w:tcW w:w="1367" w:type="dxa"/>
            <w:vMerge/>
            <w:tcBorders>
              <w:left w:val="single" w:sz="4" w:space="0" w:color="000000"/>
              <w:right w:val="single" w:sz="4" w:space="0" w:color="000000"/>
            </w:tcBorders>
          </w:tcPr>
          <w:p>
            <w:pPr/>
          </w:p>
        </w:tc>
        <w:tc>
          <w:tcPr>
            <w:tcW w:w="1367" w:type="dxa"/>
            <w:vMerge/>
            <w:tcBorders>
              <w:left w:val="single" w:sz="4" w:space="0" w:color="000000"/>
              <w:right w:val="single" w:sz="4" w:space="0" w:color="000000"/>
            </w:tcBorders>
          </w:tcPr>
          <w:p>
            <w:pPr/>
          </w:p>
        </w:tc>
        <w:tc>
          <w:tcPr>
            <w:tcW w:w="136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115" w:right="0"/>
              <w:jc w:val="center"/>
              <w:rPr>
                <w:rFonts w:ascii="Times New Roman" w:hAnsi="Times New Roman" w:cs="Times New Roman" w:eastAsia="Times New Roman" w:hint="default"/>
                <w:sz w:val="18"/>
                <w:szCs w:val="18"/>
              </w:rPr>
            </w:pPr>
            <w:r>
              <w:rPr>
                <w:rFonts w:ascii="Times New Roman"/>
                <w:sz w:val="18"/>
              </w:rPr>
              <w:t>70,835,809.00</w:t>
            </w:r>
          </w:p>
        </w:tc>
      </w:tr>
      <w:tr>
        <w:trPr>
          <w:trHeight w:val="354" w:hRule="exact"/>
        </w:trPr>
        <w:tc>
          <w:tcPr>
            <w:tcW w:w="1367" w:type="dxa"/>
            <w:tcBorders>
              <w:top w:val="nil" w:sz="6" w:space="0" w:color="auto"/>
              <w:left w:val="single" w:sz="4" w:space="0" w:color="000000"/>
              <w:bottom w:val="single" w:sz="4" w:space="0" w:color="000000"/>
              <w:right w:val="single" w:sz="4" w:space="0" w:color="000000"/>
            </w:tcBorders>
            <w:shd w:val="clear" w:color="auto" w:fill="D3D3D3"/>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司（注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w:t>
            </w:r>
          </w:p>
        </w:tc>
        <w:tc>
          <w:tcPr>
            <w:tcW w:w="1367" w:type="dxa"/>
            <w:tcBorders>
              <w:top w:val="nil" w:sz="6" w:space="0" w:color="auto"/>
              <w:left w:val="single" w:sz="4" w:space="0" w:color="000000"/>
              <w:bottom w:val="single" w:sz="4" w:space="0" w:color="000000"/>
              <w:right w:val="single" w:sz="4" w:space="0" w:color="000000"/>
            </w:tcBorders>
          </w:tcPr>
          <w:p>
            <w:pPr/>
          </w:p>
        </w:tc>
        <w:tc>
          <w:tcPr>
            <w:tcW w:w="1367" w:type="dxa"/>
            <w:vMerge/>
            <w:tcBorders>
              <w:left w:val="single" w:sz="4" w:space="0" w:color="000000"/>
              <w:bottom w:val="single" w:sz="4" w:space="0" w:color="000000"/>
              <w:right w:val="single" w:sz="4" w:space="0" w:color="000000"/>
            </w:tcBorders>
          </w:tcPr>
          <w:p>
            <w:pPr/>
          </w:p>
        </w:tc>
        <w:tc>
          <w:tcPr>
            <w:tcW w:w="1367" w:type="dxa"/>
            <w:vMerge/>
            <w:tcBorders>
              <w:left w:val="single" w:sz="4" w:space="0" w:color="000000"/>
              <w:bottom w:val="single" w:sz="4" w:space="0" w:color="000000"/>
              <w:right w:val="single" w:sz="4" w:space="0" w:color="000000"/>
            </w:tcBorders>
          </w:tcPr>
          <w:p>
            <w:pPr/>
          </w:p>
        </w:tc>
        <w:tc>
          <w:tcPr>
            <w:tcW w:w="1367" w:type="dxa"/>
            <w:vMerge/>
            <w:tcBorders>
              <w:left w:val="single" w:sz="4" w:space="0" w:color="000000"/>
              <w:bottom w:val="single" w:sz="4" w:space="0" w:color="000000"/>
              <w:right w:val="single" w:sz="4" w:space="0" w:color="000000"/>
            </w:tcBorders>
          </w:tcPr>
          <w:p>
            <w:pPr/>
          </w:p>
        </w:tc>
        <w:tc>
          <w:tcPr>
            <w:tcW w:w="1367" w:type="dxa"/>
            <w:vMerge/>
            <w:tcBorders>
              <w:left w:val="single" w:sz="4" w:space="0" w:color="000000"/>
              <w:bottom w:val="single" w:sz="4" w:space="0" w:color="000000"/>
              <w:right w:val="single" w:sz="4" w:space="0" w:color="000000"/>
            </w:tcBorders>
          </w:tcPr>
          <w:p>
            <w:pPr/>
          </w:p>
        </w:tc>
        <w:tc>
          <w:tcPr>
            <w:tcW w:w="1367" w:type="dxa"/>
            <w:tcBorders>
              <w:top w:val="nil" w:sz="6" w:space="0" w:color="auto"/>
              <w:left w:val="single" w:sz="4" w:space="0" w:color="000000"/>
              <w:bottom w:val="single" w:sz="4" w:space="0" w:color="000000"/>
              <w:right w:val="single" w:sz="4" w:space="0" w:color="000000"/>
            </w:tcBorders>
          </w:tcPr>
          <w:p>
            <w:pPr/>
          </w:p>
        </w:tc>
      </w:tr>
      <w:tr>
        <w:trPr>
          <w:trHeight w:val="355" w:hRule="exact"/>
        </w:trPr>
        <w:tc>
          <w:tcPr>
            <w:tcW w:w="1367" w:type="dxa"/>
            <w:tcBorders>
              <w:top w:val="single" w:sz="4" w:space="0" w:color="000000"/>
              <w:left w:val="single" w:sz="4" w:space="0" w:color="000000"/>
              <w:bottom w:val="nil" w:sz="6" w:space="0" w:color="auto"/>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收购马来西亚</w:t>
            </w:r>
          </w:p>
        </w:tc>
        <w:tc>
          <w:tcPr>
            <w:tcW w:w="1367" w:type="dxa"/>
            <w:vMerge w:val="restart"/>
            <w:tcBorders>
              <w:top w:val="single" w:sz="4" w:space="0" w:color="000000"/>
              <w:left w:val="single" w:sz="4" w:space="0" w:color="000000"/>
              <w:right w:val="single" w:sz="4" w:space="0" w:color="000000"/>
            </w:tcBorders>
          </w:tcPr>
          <w:p>
            <w:pPr/>
          </w:p>
        </w:tc>
        <w:tc>
          <w:tcPr>
            <w:tcW w:w="1367" w:type="dxa"/>
            <w:tcBorders>
              <w:top w:val="single" w:sz="4" w:space="0" w:color="000000"/>
              <w:left w:val="single" w:sz="4" w:space="0" w:color="000000"/>
              <w:bottom w:val="nil" w:sz="6" w:space="0" w:color="auto"/>
              <w:right w:val="single" w:sz="4" w:space="0" w:color="000000"/>
            </w:tcBorders>
          </w:tcPr>
          <w:p>
            <w:pPr/>
          </w:p>
        </w:tc>
        <w:tc>
          <w:tcPr>
            <w:tcW w:w="1367" w:type="dxa"/>
            <w:vMerge w:val="restart"/>
            <w:tcBorders>
              <w:top w:val="single" w:sz="4" w:space="0" w:color="000000"/>
              <w:left w:val="single" w:sz="4" w:space="0" w:color="000000"/>
              <w:right w:val="single" w:sz="4" w:space="0" w:color="000000"/>
            </w:tcBorders>
          </w:tcPr>
          <w:p>
            <w:pPr/>
          </w:p>
        </w:tc>
        <w:tc>
          <w:tcPr>
            <w:tcW w:w="1367" w:type="dxa"/>
            <w:vMerge w:val="restart"/>
            <w:tcBorders>
              <w:top w:val="single" w:sz="4" w:space="0" w:color="000000"/>
              <w:left w:val="single" w:sz="4" w:space="0" w:color="000000"/>
              <w:right w:val="single" w:sz="4" w:space="0" w:color="000000"/>
            </w:tcBorders>
          </w:tcPr>
          <w:p>
            <w:pPr/>
          </w:p>
        </w:tc>
        <w:tc>
          <w:tcPr>
            <w:tcW w:w="1367" w:type="dxa"/>
            <w:vMerge w:val="restart"/>
            <w:tcBorders>
              <w:top w:val="single" w:sz="4" w:space="0" w:color="000000"/>
              <w:left w:val="single" w:sz="4" w:space="0" w:color="000000"/>
              <w:right w:val="single" w:sz="4" w:space="0" w:color="000000"/>
            </w:tcBorders>
          </w:tcPr>
          <w:p>
            <w:pPr/>
          </w:p>
        </w:tc>
        <w:tc>
          <w:tcPr>
            <w:tcW w:w="1367" w:type="dxa"/>
            <w:tcBorders>
              <w:top w:val="single" w:sz="4" w:space="0" w:color="000000"/>
              <w:left w:val="single" w:sz="4" w:space="0" w:color="000000"/>
              <w:bottom w:val="nil" w:sz="6" w:space="0" w:color="auto"/>
              <w:right w:val="single" w:sz="4" w:space="0" w:color="000000"/>
            </w:tcBorders>
          </w:tcPr>
          <w:p>
            <w:pPr/>
          </w:p>
        </w:tc>
      </w:tr>
      <w:tr>
        <w:trPr>
          <w:trHeight w:val="316" w:hRule="exact"/>
        </w:trPr>
        <w:tc>
          <w:tcPr>
            <w:tcW w:w="1367"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境内两家子公</w:t>
            </w:r>
          </w:p>
        </w:tc>
        <w:tc>
          <w:tcPr>
            <w:tcW w:w="1367" w:type="dxa"/>
            <w:vMerge/>
            <w:tcBorders>
              <w:left w:val="single" w:sz="4" w:space="0" w:color="000000"/>
              <w:right w:val="single" w:sz="4" w:space="0" w:color="000000"/>
            </w:tcBorders>
          </w:tcPr>
          <w:p>
            <w:pPr/>
          </w:p>
        </w:tc>
        <w:tc>
          <w:tcPr>
            <w:tcW w:w="136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4,425,017.47</w:t>
            </w:r>
          </w:p>
        </w:tc>
        <w:tc>
          <w:tcPr>
            <w:tcW w:w="1367" w:type="dxa"/>
            <w:vMerge/>
            <w:tcBorders>
              <w:left w:val="single" w:sz="4" w:space="0" w:color="000000"/>
              <w:right w:val="single" w:sz="4" w:space="0" w:color="000000"/>
            </w:tcBorders>
          </w:tcPr>
          <w:p>
            <w:pPr/>
          </w:p>
        </w:tc>
        <w:tc>
          <w:tcPr>
            <w:tcW w:w="1367" w:type="dxa"/>
            <w:vMerge/>
            <w:tcBorders>
              <w:left w:val="single" w:sz="4" w:space="0" w:color="000000"/>
              <w:right w:val="single" w:sz="4" w:space="0" w:color="000000"/>
            </w:tcBorders>
          </w:tcPr>
          <w:p>
            <w:pPr/>
          </w:p>
        </w:tc>
        <w:tc>
          <w:tcPr>
            <w:tcW w:w="1367" w:type="dxa"/>
            <w:vMerge/>
            <w:tcBorders>
              <w:left w:val="single" w:sz="4" w:space="0" w:color="000000"/>
              <w:right w:val="single" w:sz="4" w:space="0" w:color="000000"/>
            </w:tcBorders>
          </w:tcPr>
          <w:p>
            <w:pPr/>
          </w:p>
        </w:tc>
        <w:tc>
          <w:tcPr>
            <w:tcW w:w="136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205" w:right="0"/>
              <w:jc w:val="center"/>
              <w:rPr>
                <w:rFonts w:ascii="Times New Roman" w:hAnsi="Times New Roman" w:cs="Times New Roman" w:eastAsia="Times New Roman" w:hint="default"/>
                <w:sz w:val="18"/>
                <w:szCs w:val="18"/>
              </w:rPr>
            </w:pPr>
            <w:r>
              <w:rPr>
                <w:rFonts w:ascii="Times New Roman"/>
                <w:sz w:val="18"/>
              </w:rPr>
              <w:t>4,425,017.47</w:t>
            </w:r>
          </w:p>
        </w:tc>
      </w:tr>
      <w:tr>
        <w:trPr>
          <w:trHeight w:val="354" w:hRule="exact"/>
        </w:trPr>
        <w:tc>
          <w:tcPr>
            <w:tcW w:w="1367" w:type="dxa"/>
            <w:tcBorders>
              <w:top w:val="nil" w:sz="6" w:space="0" w:color="auto"/>
              <w:left w:val="single" w:sz="4" w:space="0" w:color="000000"/>
              <w:bottom w:val="single" w:sz="4" w:space="0" w:color="000000"/>
              <w:right w:val="single" w:sz="4" w:space="0" w:color="000000"/>
            </w:tcBorders>
            <w:shd w:val="clear" w:color="auto" w:fill="D3D3D3"/>
          </w:tcPr>
          <w:p>
            <w:pPr>
              <w:pStyle w:val="TableParagraph"/>
              <w:spacing w:line="240" w:lineRule="auto" w:before="6"/>
              <w:ind w:left="10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司</w:t>
            </w:r>
            <w:r>
              <w:rPr>
                <w:rFonts w:ascii="Times New Roman" w:hAnsi="Times New Roman" w:cs="Times New Roman" w:eastAsia="Times New Roman" w:hint="default"/>
                <w:sz w:val="18"/>
                <w:szCs w:val="18"/>
              </w:rPr>
              <w:t>(</w:t>
            </w: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p>
        </w:tc>
        <w:tc>
          <w:tcPr>
            <w:tcW w:w="1367" w:type="dxa"/>
            <w:vMerge/>
            <w:tcBorders>
              <w:left w:val="single" w:sz="4" w:space="0" w:color="000000"/>
              <w:bottom w:val="single" w:sz="4" w:space="0" w:color="000000"/>
              <w:right w:val="single" w:sz="4" w:space="0" w:color="000000"/>
            </w:tcBorders>
          </w:tcPr>
          <w:p>
            <w:pPr/>
          </w:p>
        </w:tc>
        <w:tc>
          <w:tcPr>
            <w:tcW w:w="1367" w:type="dxa"/>
            <w:tcBorders>
              <w:top w:val="nil" w:sz="6" w:space="0" w:color="auto"/>
              <w:left w:val="single" w:sz="4" w:space="0" w:color="000000"/>
              <w:bottom w:val="single" w:sz="4" w:space="0" w:color="000000"/>
              <w:right w:val="single" w:sz="4" w:space="0" w:color="000000"/>
            </w:tcBorders>
          </w:tcPr>
          <w:p>
            <w:pPr/>
          </w:p>
        </w:tc>
        <w:tc>
          <w:tcPr>
            <w:tcW w:w="1367" w:type="dxa"/>
            <w:vMerge/>
            <w:tcBorders>
              <w:left w:val="single" w:sz="4" w:space="0" w:color="000000"/>
              <w:bottom w:val="single" w:sz="4" w:space="0" w:color="000000"/>
              <w:right w:val="single" w:sz="4" w:space="0" w:color="000000"/>
            </w:tcBorders>
          </w:tcPr>
          <w:p>
            <w:pPr/>
          </w:p>
        </w:tc>
        <w:tc>
          <w:tcPr>
            <w:tcW w:w="1367" w:type="dxa"/>
            <w:vMerge/>
            <w:tcBorders>
              <w:left w:val="single" w:sz="4" w:space="0" w:color="000000"/>
              <w:bottom w:val="single" w:sz="4" w:space="0" w:color="000000"/>
              <w:right w:val="single" w:sz="4" w:space="0" w:color="000000"/>
            </w:tcBorders>
          </w:tcPr>
          <w:p>
            <w:pPr/>
          </w:p>
        </w:tc>
        <w:tc>
          <w:tcPr>
            <w:tcW w:w="1367" w:type="dxa"/>
            <w:vMerge/>
            <w:tcBorders>
              <w:left w:val="single" w:sz="4" w:space="0" w:color="000000"/>
              <w:bottom w:val="single" w:sz="4" w:space="0" w:color="000000"/>
              <w:right w:val="single" w:sz="4" w:space="0" w:color="000000"/>
            </w:tcBorders>
          </w:tcPr>
          <w:p>
            <w:pPr/>
          </w:p>
        </w:tc>
        <w:tc>
          <w:tcPr>
            <w:tcW w:w="1367" w:type="dxa"/>
            <w:tcBorders>
              <w:top w:val="nil" w:sz="6" w:space="0" w:color="auto"/>
              <w:left w:val="single" w:sz="4" w:space="0" w:color="000000"/>
              <w:bottom w:val="single" w:sz="4" w:space="0" w:color="000000"/>
              <w:right w:val="single" w:sz="4" w:space="0" w:color="000000"/>
            </w:tcBorders>
          </w:tcPr>
          <w:p>
            <w:pP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81,973,223.67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4,425,017.47</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15" w:right="0"/>
              <w:jc w:val="center"/>
              <w:rPr>
                <w:rFonts w:ascii="Times New Roman" w:hAnsi="Times New Roman" w:cs="Times New Roman" w:eastAsia="Times New Roman" w:hint="default"/>
                <w:sz w:val="18"/>
                <w:szCs w:val="18"/>
              </w:rPr>
            </w:pPr>
            <w:r>
              <w:rPr>
                <w:rFonts w:ascii="Times New Roman"/>
                <w:sz w:val="18"/>
              </w:rPr>
              <w:t>86,398,241.14</w:t>
            </w:r>
          </w:p>
        </w:tc>
      </w:tr>
    </w:tbl>
    <w:p>
      <w:pPr>
        <w:spacing w:line="240" w:lineRule="auto" w:before="1"/>
        <w:rPr>
          <w:rFonts w:ascii="宋体" w:hAnsi="宋体" w:cs="宋体" w:eastAsia="宋体" w:hint="default"/>
          <w:sz w:val="19"/>
          <w:szCs w:val="19"/>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2</w:t>
      </w:r>
      <w:r>
        <w:rPr/>
        <w:t>）商誉减值准备</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7"/>
        <w:gridCol w:w="1367"/>
        <w:gridCol w:w="1367"/>
        <w:gridCol w:w="1367"/>
        <w:gridCol w:w="1367"/>
        <w:gridCol w:w="1367"/>
        <w:gridCol w:w="1367"/>
      </w:tblGrid>
      <w:tr>
        <w:trPr>
          <w:trHeight w:val="402" w:hRule="exact"/>
        </w:trPr>
        <w:tc>
          <w:tcPr>
            <w:tcW w:w="1367" w:type="dxa"/>
            <w:vMerge w:val="restart"/>
            <w:tcBorders>
              <w:top w:val="single" w:sz="4" w:space="0" w:color="000000"/>
              <w:left w:val="single" w:sz="4" w:space="0" w:color="000000"/>
              <w:right w:val="single" w:sz="4" w:space="0" w:color="000000"/>
            </w:tcBorders>
            <w:shd w:val="clear" w:color="auto" w:fill="D3D3D3"/>
          </w:tcPr>
          <w:p>
            <w:pPr>
              <w:pStyle w:val="TableParagraph"/>
              <w:spacing w:line="316" w:lineRule="auto" w:before="49"/>
              <w:ind w:left="137" w:right="137"/>
              <w:jc w:val="center"/>
              <w:rPr>
                <w:rFonts w:ascii="宋体" w:hAnsi="宋体" w:cs="宋体" w:eastAsia="宋体" w:hint="default"/>
                <w:sz w:val="18"/>
                <w:szCs w:val="18"/>
              </w:rPr>
            </w:pPr>
            <w:r>
              <w:rPr>
                <w:rFonts w:ascii="宋体" w:hAnsi="宋体" w:cs="宋体" w:eastAsia="宋体" w:hint="default"/>
                <w:sz w:val="18"/>
                <w:szCs w:val="18"/>
              </w:rPr>
              <w:t>被投资单位名 称或形成商誉 的事项</w:t>
            </w:r>
          </w:p>
        </w:tc>
        <w:tc>
          <w:tcPr>
            <w:tcW w:w="1367"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318"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本期增加</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本期减少</w:t>
            </w:r>
          </w:p>
        </w:tc>
        <w:tc>
          <w:tcPr>
            <w:tcW w:w="1367"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318"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623" w:hRule="exact"/>
        </w:trPr>
        <w:tc>
          <w:tcPr>
            <w:tcW w:w="1367" w:type="dxa"/>
            <w:vMerge/>
            <w:tcBorders>
              <w:left w:val="single" w:sz="4" w:space="0" w:color="000000"/>
              <w:bottom w:val="single" w:sz="4" w:space="0" w:color="000000"/>
              <w:right w:val="single" w:sz="4" w:space="0" w:color="000000"/>
            </w:tcBorders>
            <w:shd w:val="clear" w:color="auto" w:fill="D3D3D3"/>
          </w:tcPr>
          <w:p>
            <w:pPr/>
          </w:p>
        </w:tc>
        <w:tc>
          <w:tcPr>
            <w:tcW w:w="1367" w:type="dxa"/>
            <w:vMerge/>
            <w:tcBorders>
              <w:left w:val="single" w:sz="4" w:space="0" w:color="000000"/>
              <w:bottom w:val="single" w:sz="4" w:space="0" w:color="000000"/>
              <w:right w:val="single" w:sz="4" w:space="0" w:color="000000"/>
            </w:tcBorders>
            <w:shd w:val="clear" w:color="auto" w:fill="D3D3D3"/>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60"/>
              <w:ind w:right="1"/>
              <w:jc w:val="center"/>
              <w:rPr>
                <w:rFonts w:ascii="宋体" w:hAnsi="宋体" w:cs="宋体" w:eastAsia="宋体" w:hint="default"/>
                <w:sz w:val="18"/>
                <w:szCs w:val="18"/>
              </w:rPr>
            </w:pPr>
            <w:r>
              <w:rPr>
                <w:rFonts w:ascii="宋体" w:hAnsi="宋体" w:cs="宋体" w:eastAsia="宋体" w:hint="default"/>
                <w:sz w:val="18"/>
                <w:szCs w:val="18"/>
              </w:rPr>
              <w:t>计提</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60"/>
              <w:ind w:right="1"/>
              <w:jc w:val="center"/>
              <w:rPr>
                <w:rFonts w:ascii="宋体" w:hAnsi="宋体" w:cs="宋体" w:eastAsia="宋体" w:hint="default"/>
                <w:sz w:val="18"/>
                <w:szCs w:val="18"/>
              </w:rPr>
            </w:pPr>
            <w:r>
              <w:rPr>
                <w:rFonts w:ascii="宋体" w:hAnsi="宋体" w:cs="宋体" w:eastAsia="宋体" w:hint="default"/>
                <w:sz w:val="18"/>
                <w:szCs w:val="18"/>
              </w:rPr>
              <w:t>处置</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367" w:type="dxa"/>
            <w:vMerge/>
            <w:tcBorders>
              <w:left w:val="single" w:sz="4" w:space="0" w:color="000000"/>
              <w:bottom w:val="single" w:sz="4" w:space="0" w:color="000000"/>
              <w:right w:val="single" w:sz="4" w:space="0" w:color="000000"/>
            </w:tcBorders>
            <w:shd w:val="clear" w:color="auto" w:fill="D3D3D3"/>
          </w:tcPr>
          <w:p>
            <w:pPr/>
          </w:p>
        </w:tc>
      </w:tr>
      <w:tr>
        <w:trPr>
          <w:trHeight w:val="356" w:hRule="exact"/>
        </w:trPr>
        <w:tc>
          <w:tcPr>
            <w:tcW w:w="1367" w:type="dxa"/>
            <w:tcBorders>
              <w:top w:val="single" w:sz="4" w:space="0" w:color="000000"/>
              <w:left w:val="single" w:sz="4" w:space="0" w:color="000000"/>
              <w:bottom w:val="nil" w:sz="6" w:space="0" w:color="auto"/>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北京东方英卡</w:t>
            </w:r>
          </w:p>
        </w:tc>
        <w:tc>
          <w:tcPr>
            <w:tcW w:w="1367" w:type="dxa"/>
            <w:tcBorders>
              <w:top w:val="single" w:sz="4" w:space="0" w:color="000000"/>
              <w:left w:val="single" w:sz="4" w:space="0" w:color="000000"/>
              <w:bottom w:val="nil" w:sz="6" w:space="0" w:color="auto"/>
              <w:right w:val="single" w:sz="4" w:space="0" w:color="000000"/>
            </w:tcBorders>
          </w:tcPr>
          <w:p>
            <w:pPr/>
          </w:p>
        </w:tc>
        <w:tc>
          <w:tcPr>
            <w:tcW w:w="1367" w:type="dxa"/>
            <w:vMerge w:val="restart"/>
            <w:tcBorders>
              <w:top w:val="single" w:sz="4" w:space="0" w:color="000000"/>
              <w:left w:val="single" w:sz="4" w:space="0" w:color="000000"/>
              <w:right w:val="single" w:sz="4" w:space="0" w:color="000000"/>
            </w:tcBorders>
          </w:tcPr>
          <w:p>
            <w:pPr/>
          </w:p>
        </w:tc>
        <w:tc>
          <w:tcPr>
            <w:tcW w:w="1367" w:type="dxa"/>
            <w:vMerge w:val="restart"/>
            <w:tcBorders>
              <w:top w:val="single" w:sz="4" w:space="0" w:color="000000"/>
              <w:left w:val="single" w:sz="4" w:space="0" w:color="000000"/>
              <w:right w:val="single" w:sz="4" w:space="0" w:color="000000"/>
            </w:tcBorders>
          </w:tcPr>
          <w:p>
            <w:pPr/>
          </w:p>
        </w:tc>
        <w:tc>
          <w:tcPr>
            <w:tcW w:w="1367" w:type="dxa"/>
            <w:vMerge w:val="restart"/>
            <w:tcBorders>
              <w:top w:val="single" w:sz="4" w:space="0" w:color="000000"/>
              <w:left w:val="single" w:sz="4" w:space="0" w:color="000000"/>
              <w:right w:val="single" w:sz="4" w:space="0" w:color="000000"/>
            </w:tcBorders>
          </w:tcPr>
          <w:p>
            <w:pPr/>
          </w:p>
        </w:tc>
        <w:tc>
          <w:tcPr>
            <w:tcW w:w="1367" w:type="dxa"/>
            <w:vMerge w:val="restart"/>
            <w:tcBorders>
              <w:top w:val="single" w:sz="4" w:space="0" w:color="000000"/>
              <w:left w:val="single" w:sz="4" w:space="0" w:color="000000"/>
              <w:right w:val="single" w:sz="4" w:space="0" w:color="000000"/>
            </w:tcBorders>
          </w:tcPr>
          <w:p>
            <w:pPr/>
          </w:p>
        </w:tc>
        <w:tc>
          <w:tcPr>
            <w:tcW w:w="1367" w:type="dxa"/>
            <w:tcBorders>
              <w:top w:val="single" w:sz="4" w:space="0" w:color="000000"/>
              <w:left w:val="single" w:sz="4" w:space="0" w:color="000000"/>
              <w:bottom w:val="nil" w:sz="6" w:space="0" w:color="auto"/>
              <w:right w:val="single" w:sz="4" w:space="0" w:color="000000"/>
            </w:tcBorders>
          </w:tcPr>
          <w:p>
            <w:pPr/>
          </w:p>
        </w:tc>
      </w:tr>
      <w:tr>
        <w:trPr>
          <w:trHeight w:val="316" w:hRule="exact"/>
        </w:trPr>
        <w:tc>
          <w:tcPr>
            <w:tcW w:w="1367"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数字信息技术</w:t>
            </w:r>
          </w:p>
        </w:tc>
        <w:tc>
          <w:tcPr>
            <w:tcW w:w="136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11,137,414.67</w:t>
            </w:r>
          </w:p>
        </w:tc>
        <w:tc>
          <w:tcPr>
            <w:tcW w:w="1367" w:type="dxa"/>
            <w:vMerge/>
            <w:tcBorders>
              <w:left w:val="single" w:sz="4" w:space="0" w:color="000000"/>
              <w:right w:val="single" w:sz="4" w:space="0" w:color="000000"/>
            </w:tcBorders>
          </w:tcPr>
          <w:p>
            <w:pPr/>
          </w:p>
        </w:tc>
        <w:tc>
          <w:tcPr>
            <w:tcW w:w="1367" w:type="dxa"/>
            <w:vMerge/>
            <w:tcBorders>
              <w:left w:val="single" w:sz="4" w:space="0" w:color="000000"/>
              <w:right w:val="single" w:sz="4" w:space="0" w:color="000000"/>
            </w:tcBorders>
          </w:tcPr>
          <w:p>
            <w:pPr/>
          </w:p>
        </w:tc>
        <w:tc>
          <w:tcPr>
            <w:tcW w:w="1367" w:type="dxa"/>
            <w:vMerge/>
            <w:tcBorders>
              <w:left w:val="single" w:sz="4" w:space="0" w:color="000000"/>
              <w:right w:val="single" w:sz="4" w:space="0" w:color="000000"/>
            </w:tcBorders>
          </w:tcPr>
          <w:p>
            <w:pPr/>
          </w:p>
        </w:tc>
        <w:tc>
          <w:tcPr>
            <w:tcW w:w="1367" w:type="dxa"/>
            <w:vMerge/>
            <w:tcBorders>
              <w:left w:val="single" w:sz="4" w:space="0" w:color="000000"/>
              <w:right w:val="single" w:sz="4" w:space="0" w:color="000000"/>
            </w:tcBorders>
          </w:tcPr>
          <w:p>
            <w:pPr/>
          </w:p>
        </w:tc>
        <w:tc>
          <w:tcPr>
            <w:tcW w:w="136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122" w:right="0"/>
              <w:jc w:val="center"/>
              <w:rPr>
                <w:rFonts w:ascii="Times New Roman" w:hAnsi="Times New Roman" w:cs="Times New Roman" w:eastAsia="Times New Roman" w:hint="default"/>
                <w:sz w:val="18"/>
                <w:szCs w:val="18"/>
              </w:rPr>
            </w:pPr>
            <w:r>
              <w:rPr>
                <w:rFonts w:ascii="Times New Roman"/>
                <w:sz w:val="18"/>
              </w:rPr>
              <w:t>11,137,414.67</w:t>
            </w:r>
          </w:p>
        </w:tc>
      </w:tr>
      <w:tr>
        <w:trPr>
          <w:trHeight w:val="354" w:hRule="exact"/>
        </w:trPr>
        <w:tc>
          <w:tcPr>
            <w:tcW w:w="1367" w:type="dxa"/>
            <w:tcBorders>
              <w:top w:val="nil" w:sz="6" w:space="0" w:color="auto"/>
              <w:left w:val="single" w:sz="4" w:space="0" w:color="000000"/>
              <w:bottom w:val="single" w:sz="4" w:space="0" w:color="000000"/>
              <w:right w:val="single" w:sz="4" w:space="0" w:color="000000"/>
            </w:tcBorders>
            <w:shd w:val="clear" w:color="auto" w:fill="D3D3D3"/>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pacing w:val="-3"/>
                <w:sz w:val="18"/>
                <w:szCs w:val="18"/>
              </w:rPr>
              <w:t>有限公司（注）</w:t>
            </w:r>
          </w:p>
        </w:tc>
        <w:tc>
          <w:tcPr>
            <w:tcW w:w="1367" w:type="dxa"/>
            <w:tcBorders>
              <w:top w:val="nil" w:sz="6" w:space="0" w:color="auto"/>
              <w:left w:val="single" w:sz="4" w:space="0" w:color="000000"/>
              <w:bottom w:val="single" w:sz="4" w:space="0" w:color="000000"/>
              <w:right w:val="single" w:sz="4" w:space="0" w:color="000000"/>
            </w:tcBorders>
          </w:tcPr>
          <w:p>
            <w:pPr/>
          </w:p>
        </w:tc>
        <w:tc>
          <w:tcPr>
            <w:tcW w:w="1367" w:type="dxa"/>
            <w:vMerge/>
            <w:tcBorders>
              <w:left w:val="single" w:sz="4" w:space="0" w:color="000000"/>
              <w:bottom w:val="single" w:sz="4" w:space="0" w:color="000000"/>
              <w:right w:val="single" w:sz="4" w:space="0" w:color="000000"/>
            </w:tcBorders>
          </w:tcPr>
          <w:p>
            <w:pPr/>
          </w:p>
        </w:tc>
        <w:tc>
          <w:tcPr>
            <w:tcW w:w="1367" w:type="dxa"/>
            <w:vMerge/>
            <w:tcBorders>
              <w:left w:val="single" w:sz="4" w:space="0" w:color="000000"/>
              <w:bottom w:val="single" w:sz="4" w:space="0" w:color="000000"/>
              <w:right w:val="single" w:sz="4" w:space="0" w:color="000000"/>
            </w:tcBorders>
          </w:tcPr>
          <w:p>
            <w:pPr/>
          </w:p>
        </w:tc>
        <w:tc>
          <w:tcPr>
            <w:tcW w:w="1367" w:type="dxa"/>
            <w:vMerge/>
            <w:tcBorders>
              <w:left w:val="single" w:sz="4" w:space="0" w:color="000000"/>
              <w:bottom w:val="single" w:sz="4" w:space="0" w:color="000000"/>
              <w:right w:val="single" w:sz="4" w:space="0" w:color="000000"/>
            </w:tcBorders>
          </w:tcPr>
          <w:p>
            <w:pPr/>
          </w:p>
        </w:tc>
        <w:tc>
          <w:tcPr>
            <w:tcW w:w="1367" w:type="dxa"/>
            <w:vMerge/>
            <w:tcBorders>
              <w:left w:val="single" w:sz="4" w:space="0" w:color="000000"/>
              <w:bottom w:val="single" w:sz="4" w:space="0" w:color="000000"/>
              <w:right w:val="single" w:sz="4" w:space="0" w:color="000000"/>
            </w:tcBorders>
          </w:tcPr>
          <w:p>
            <w:pPr/>
          </w:p>
        </w:tc>
        <w:tc>
          <w:tcPr>
            <w:tcW w:w="1367" w:type="dxa"/>
            <w:tcBorders>
              <w:top w:val="nil" w:sz="6" w:space="0" w:color="auto"/>
              <w:left w:val="single" w:sz="4" w:space="0" w:color="000000"/>
              <w:bottom w:val="single" w:sz="4" w:space="0" w:color="000000"/>
              <w:right w:val="single" w:sz="4" w:space="0" w:color="000000"/>
            </w:tcBorders>
          </w:tcPr>
          <w:p>
            <w:pPr/>
          </w:p>
        </w:tc>
      </w:tr>
      <w:tr>
        <w:trPr>
          <w:trHeight w:val="355" w:hRule="exact"/>
        </w:trPr>
        <w:tc>
          <w:tcPr>
            <w:tcW w:w="1367" w:type="dxa"/>
            <w:tcBorders>
              <w:top w:val="single" w:sz="4" w:space="0" w:color="000000"/>
              <w:left w:val="single" w:sz="4" w:space="0" w:color="000000"/>
              <w:bottom w:val="nil" w:sz="6" w:space="0" w:color="auto"/>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深圳一卡易科</w:t>
            </w:r>
          </w:p>
        </w:tc>
        <w:tc>
          <w:tcPr>
            <w:tcW w:w="1367" w:type="dxa"/>
            <w:tcBorders>
              <w:top w:val="single" w:sz="4" w:space="0" w:color="000000"/>
              <w:left w:val="single" w:sz="4" w:space="0" w:color="000000"/>
              <w:bottom w:val="nil" w:sz="6" w:space="0" w:color="auto"/>
              <w:right w:val="single" w:sz="4" w:space="0" w:color="000000"/>
            </w:tcBorders>
          </w:tcPr>
          <w:p>
            <w:pPr/>
          </w:p>
        </w:tc>
        <w:tc>
          <w:tcPr>
            <w:tcW w:w="1367" w:type="dxa"/>
            <w:tcBorders>
              <w:top w:val="single" w:sz="4" w:space="0" w:color="000000"/>
              <w:left w:val="single" w:sz="4" w:space="0" w:color="000000"/>
              <w:bottom w:val="nil" w:sz="6" w:space="0" w:color="auto"/>
              <w:right w:val="single" w:sz="4" w:space="0" w:color="000000"/>
            </w:tcBorders>
          </w:tcPr>
          <w:p>
            <w:pPr/>
          </w:p>
        </w:tc>
        <w:tc>
          <w:tcPr>
            <w:tcW w:w="1367" w:type="dxa"/>
            <w:vMerge w:val="restart"/>
            <w:tcBorders>
              <w:top w:val="single" w:sz="4" w:space="0" w:color="000000"/>
              <w:left w:val="single" w:sz="4" w:space="0" w:color="000000"/>
              <w:right w:val="single" w:sz="4" w:space="0" w:color="000000"/>
            </w:tcBorders>
          </w:tcPr>
          <w:p>
            <w:pPr/>
          </w:p>
        </w:tc>
        <w:tc>
          <w:tcPr>
            <w:tcW w:w="1367" w:type="dxa"/>
            <w:vMerge w:val="restart"/>
            <w:tcBorders>
              <w:top w:val="single" w:sz="4" w:space="0" w:color="000000"/>
              <w:left w:val="single" w:sz="4" w:space="0" w:color="000000"/>
              <w:right w:val="single" w:sz="4" w:space="0" w:color="000000"/>
            </w:tcBorders>
          </w:tcPr>
          <w:p>
            <w:pPr/>
          </w:p>
        </w:tc>
        <w:tc>
          <w:tcPr>
            <w:tcW w:w="1367" w:type="dxa"/>
            <w:vMerge w:val="restart"/>
            <w:tcBorders>
              <w:top w:val="single" w:sz="4" w:space="0" w:color="000000"/>
              <w:left w:val="single" w:sz="4" w:space="0" w:color="000000"/>
              <w:right w:val="single" w:sz="4" w:space="0" w:color="000000"/>
            </w:tcBorders>
          </w:tcPr>
          <w:p>
            <w:pPr/>
          </w:p>
        </w:tc>
        <w:tc>
          <w:tcPr>
            <w:tcW w:w="1367" w:type="dxa"/>
            <w:tcBorders>
              <w:top w:val="single" w:sz="4" w:space="0" w:color="000000"/>
              <w:left w:val="single" w:sz="4" w:space="0" w:color="000000"/>
              <w:bottom w:val="nil" w:sz="6" w:space="0" w:color="auto"/>
              <w:right w:val="single" w:sz="4" w:space="0" w:color="000000"/>
            </w:tcBorders>
          </w:tcPr>
          <w:p>
            <w:pPr/>
          </w:p>
        </w:tc>
      </w:tr>
      <w:tr>
        <w:trPr>
          <w:trHeight w:val="316" w:hRule="exact"/>
        </w:trPr>
        <w:tc>
          <w:tcPr>
            <w:tcW w:w="1367"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技股份有限公</w:t>
            </w:r>
          </w:p>
        </w:tc>
        <w:tc>
          <w:tcPr>
            <w:tcW w:w="136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5,119,265.65</w:t>
            </w:r>
          </w:p>
        </w:tc>
        <w:tc>
          <w:tcPr>
            <w:tcW w:w="136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13,201,996.92</w:t>
            </w:r>
          </w:p>
        </w:tc>
        <w:tc>
          <w:tcPr>
            <w:tcW w:w="1367" w:type="dxa"/>
            <w:vMerge/>
            <w:tcBorders>
              <w:left w:val="single" w:sz="4" w:space="0" w:color="000000"/>
              <w:right w:val="single" w:sz="4" w:space="0" w:color="000000"/>
            </w:tcBorders>
          </w:tcPr>
          <w:p>
            <w:pPr/>
          </w:p>
        </w:tc>
        <w:tc>
          <w:tcPr>
            <w:tcW w:w="1367" w:type="dxa"/>
            <w:vMerge/>
            <w:tcBorders>
              <w:left w:val="single" w:sz="4" w:space="0" w:color="000000"/>
              <w:right w:val="single" w:sz="4" w:space="0" w:color="000000"/>
            </w:tcBorders>
          </w:tcPr>
          <w:p>
            <w:pPr/>
          </w:p>
        </w:tc>
        <w:tc>
          <w:tcPr>
            <w:tcW w:w="1367" w:type="dxa"/>
            <w:vMerge/>
            <w:tcBorders>
              <w:left w:val="single" w:sz="4" w:space="0" w:color="000000"/>
              <w:right w:val="single" w:sz="4" w:space="0" w:color="000000"/>
            </w:tcBorders>
          </w:tcPr>
          <w:p>
            <w:pPr/>
          </w:p>
        </w:tc>
        <w:tc>
          <w:tcPr>
            <w:tcW w:w="136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115" w:right="0"/>
              <w:jc w:val="center"/>
              <w:rPr>
                <w:rFonts w:ascii="Times New Roman" w:hAnsi="Times New Roman" w:cs="Times New Roman" w:eastAsia="Times New Roman" w:hint="default"/>
                <w:sz w:val="18"/>
                <w:szCs w:val="18"/>
              </w:rPr>
            </w:pPr>
            <w:r>
              <w:rPr>
                <w:rFonts w:ascii="Times New Roman"/>
                <w:sz w:val="18"/>
              </w:rPr>
              <w:t>18,321,262.57</w:t>
            </w:r>
          </w:p>
        </w:tc>
      </w:tr>
      <w:tr>
        <w:trPr>
          <w:trHeight w:val="354" w:hRule="exact"/>
        </w:trPr>
        <w:tc>
          <w:tcPr>
            <w:tcW w:w="1367" w:type="dxa"/>
            <w:tcBorders>
              <w:top w:val="nil" w:sz="6" w:space="0" w:color="auto"/>
              <w:left w:val="single" w:sz="4" w:space="0" w:color="000000"/>
              <w:bottom w:val="single" w:sz="4" w:space="0" w:color="000000"/>
              <w:right w:val="single" w:sz="4" w:space="0" w:color="000000"/>
            </w:tcBorders>
            <w:shd w:val="clear" w:color="auto" w:fill="D3D3D3"/>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司</w:t>
            </w:r>
          </w:p>
        </w:tc>
        <w:tc>
          <w:tcPr>
            <w:tcW w:w="1367" w:type="dxa"/>
            <w:tcBorders>
              <w:top w:val="nil" w:sz="6" w:space="0" w:color="auto"/>
              <w:left w:val="single" w:sz="4" w:space="0" w:color="000000"/>
              <w:bottom w:val="single" w:sz="4" w:space="0" w:color="000000"/>
              <w:right w:val="single" w:sz="4" w:space="0" w:color="000000"/>
            </w:tcBorders>
          </w:tcPr>
          <w:p>
            <w:pPr/>
          </w:p>
        </w:tc>
        <w:tc>
          <w:tcPr>
            <w:tcW w:w="1367" w:type="dxa"/>
            <w:tcBorders>
              <w:top w:val="nil" w:sz="6" w:space="0" w:color="auto"/>
              <w:left w:val="single" w:sz="4" w:space="0" w:color="000000"/>
              <w:bottom w:val="single" w:sz="4" w:space="0" w:color="000000"/>
              <w:right w:val="single" w:sz="4" w:space="0" w:color="000000"/>
            </w:tcBorders>
          </w:tcPr>
          <w:p>
            <w:pPr/>
          </w:p>
        </w:tc>
        <w:tc>
          <w:tcPr>
            <w:tcW w:w="1367" w:type="dxa"/>
            <w:vMerge/>
            <w:tcBorders>
              <w:left w:val="single" w:sz="4" w:space="0" w:color="000000"/>
              <w:bottom w:val="single" w:sz="4" w:space="0" w:color="000000"/>
              <w:right w:val="single" w:sz="4" w:space="0" w:color="000000"/>
            </w:tcBorders>
          </w:tcPr>
          <w:p>
            <w:pPr/>
          </w:p>
        </w:tc>
        <w:tc>
          <w:tcPr>
            <w:tcW w:w="1367" w:type="dxa"/>
            <w:vMerge/>
            <w:tcBorders>
              <w:left w:val="single" w:sz="4" w:space="0" w:color="000000"/>
              <w:bottom w:val="single" w:sz="4" w:space="0" w:color="000000"/>
              <w:right w:val="single" w:sz="4" w:space="0" w:color="000000"/>
            </w:tcBorders>
          </w:tcPr>
          <w:p>
            <w:pPr/>
          </w:p>
        </w:tc>
        <w:tc>
          <w:tcPr>
            <w:tcW w:w="1367" w:type="dxa"/>
            <w:vMerge/>
            <w:tcBorders>
              <w:left w:val="single" w:sz="4" w:space="0" w:color="000000"/>
              <w:bottom w:val="single" w:sz="4" w:space="0" w:color="000000"/>
              <w:right w:val="single" w:sz="4" w:space="0" w:color="000000"/>
            </w:tcBorders>
          </w:tcPr>
          <w:p>
            <w:pPr/>
          </w:p>
        </w:tc>
        <w:tc>
          <w:tcPr>
            <w:tcW w:w="1367" w:type="dxa"/>
            <w:tcBorders>
              <w:top w:val="nil" w:sz="6" w:space="0" w:color="auto"/>
              <w:left w:val="single" w:sz="4" w:space="0" w:color="000000"/>
              <w:bottom w:val="single" w:sz="4" w:space="0" w:color="000000"/>
              <w:right w:val="single" w:sz="4" w:space="0" w:color="000000"/>
            </w:tcBorders>
          </w:tcPr>
          <w:p>
            <w:pP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16,256,680.32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13,201,996.92</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15" w:right="0"/>
              <w:jc w:val="center"/>
              <w:rPr>
                <w:rFonts w:ascii="Times New Roman" w:hAnsi="Times New Roman" w:cs="Times New Roman" w:eastAsia="Times New Roman" w:hint="default"/>
                <w:sz w:val="18"/>
                <w:szCs w:val="18"/>
              </w:rPr>
            </w:pPr>
            <w:r>
              <w:rPr>
                <w:rFonts w:ascii="Times New Roman"/>
                <w:sz w:val="18"/>
              </w:rPr>
              <w:t>29,458,677.24</w:t>
            </w:r>
          </w:p>
        </w:tc>
      </w:tr>
    </w:tbl>
    <w:p>
      <w:pPr>
        <w:pStyle w:val="BodyText"/>
        <w:spacing w:line="240" w:lineRule="auto" w:before="49"/>
        <w:ind w:right="0"/>
        <w:jc w:val="left"/>
      </w:pPr>
      <w:r>
        <w:rPr/>
        <w:t>商誉所在资产组或资产组组合的相关信息</w:t>
      </w:r>
    </w:p>
    <w:p>
      <w:pPr>
        <w:pStyle w:val="BodyText"/>
        <w:spacing w:line="300" w:lineRule="auto" w:before="116"/>
        <w:ind w:right="1127"/>
        <w:jc w:val="left"/>
      </w:pPr>
      <w:r>
        <w:rPr/>
        <w:t>注</w:t>
      </w:r>
      <w:r>
        <w:rPr>
          <w:rFonts w:ascii="Times New Roman" w:hAnsi="Times New Roman" w:cs="Times New Roman" w:eastAsia="Times New Roman" w:hint="default"/>
        </w:rPr>
        <w:t>1</w:t>
      </w:r>
      <w:r>
        <w:rPr/>
        <w:t>：公司于</w:t>
      </w:r>
      <w:r>
        <w:rPr>
          <w:rFonts w:ascii="Times New Roman" w:hAnsi="Times New Roman" w:cs="Times New Roman" w:eastAsia="Times New Roman" w:hint="default"/>
        </w:rPr>
        <w:t>2010</w:t>
      </w:r>
      <w:r>
        <w:rPr/>
        <w:t>年以人民币</w:t>
      </w:r>
      <w:r>
        <w:rPr>
          <w:rFonts w:ascii="Times New Roman" w:hAnsi="Times New Roman" w:cs="Times New Roman" w:eastAsia="Times New Roman" w:hint="default"/>
        </w:rPr>
        <w:t>26,000,000.00</w:t>
      </w:r>
      <w:r>
        <w:rPr/>
        <w:t>元收购北京东方英卡数字信息技术有限公司（简称</w:t>
      </w:r>
      <w:r>
        <w:rPr>
          <w:rFonts w:ascii="Times New Roman" w:hAnsi="Times New Roman" w:cs="Times New Roman" w:eastAsia="Times New Roman" w:hint="default"/>
        </w:rPr>
        <w:t>“</w:t>
      </w:r>
      <w:r>
        <w:rPr/>
        <w:t>东方英卡</w:t>
      </w:r>
      <w:r>
        <w:rPr>
          <w:rFonts w:ascii="Times New Roman" w:hAnsi="Times New Roman" w:cs="Times New Roman" w:eastAsia="Times New Roman" w:hint="default"/>
        </w:rPr>
        <w:t>”</w:t>
      </w:r>
      <w:r>
        <w:rPr/>
        <w:t>）</w:t>
      </w:r>
      <w:r>
        <w:rPr>
          <w:rFonts w:ascii="Times New Roman" w:hAnsi="Times New Roman" w:cs="Times New Roman" w:eastAsia="Times New Roman" w:hint="default"/>
        </w:rPr>
        <w:t>100%</w:t>
      </w:r>
      <w:r>
        <w:rPr/>
        <w:t>股权，收购</w:t>
      </w:r>
      <w:r>
        <w:rPr>
          <w:spacing w:val="-84"/>
        </w:rPr>
        <w:t> </w:t>
      </w:r>
      <w:r>
        <w:rPr>
          <w:spacing w:val="-84"/>
        </w:rPr>
      </w:r>
      <w:r>
        <w:rPr/>
        <w:t>价格与可辨认净资产公允价值份额的差额人民币</w:t>
      </w:r>
      <w:r>
        <w:rPr>
          <w:rFonts w:ascii="Times New Roman" w:hAnsi="Times New Roman" w:cs="Times New Roman" w:eastAsia="Times New Roman" w:hint="default"/>
        </w:rPr>
        <w:t>11,137,414.67</w:t>
      </w:r>
      <w:r>
        <w:rPr/>
        <w:t>元确认为商誉。</w:t>
      </w:r>
    </w:p>
    <w:p>
      <w:pPr>
        <w:pStyle w:val="BodyText"/>
        <w:spacing w:line="319" w:lineRule="auto" w:before="52"/>
        <w:ind w:right="0"/>
        <w:jc w:val="left"/>
        <w:rPr>
          <w:rFonts w:ascii="Times New Roman" w:hAnsi="Times New Roman" w:cs="Times New Roman" w:eastAsia="Times New Roman" w:hint="default"/>
        </w:rPr>
      </w:pPr>
      <w:r>
        <w:rPr>
          <w:spacing w:val="-1"/>
        </w:rPr>
        <w:t>注</w:t>
      </w:r>
      <w:r>
        <w:rPr>
          <w:rFonts w:ascii="Times New Roman" w:hAnsi="Times New Roman" w:cs="Times New Roman" w:eastAsia="Times New Roman" w:hint="default"/>
          <w:spacing w:val="-1"/>
        </w:rPr>
        <w:t>2</w:t>
      </w:r>
      <w:r>
        <w:rPr>
          <w:spacing w:val="-1"/>
        </w:rPr>
        <w:t>：公司于</w:t>
      </w:r>
      <w:r>
        <w:rPr>
          <w:rFonts w:ascii="Times New Roman" w:hAnsi="Times New Roman" w:cs="Times New Roman" w:eastAsia="Times New Roman" w:hint="default"/>
          <w:spacing w:val="-1"/>
        </w:rPr>
        <w:t>2015</w:t>
      </w:r>
      <w:r>
        <w:rPr>
          <w:spacing w:val="-1"/>
        </w:rPr>
        <w:t>年以人民币</w:t>
      </w:r>
      <w:r>
        <w:rPr>
          <w:rFonts w:ascii="Times New Roman" w:hAnsi="Times New Roman" w:cs="Times New Roman" w:eastAsia="Times New Roman" w:hint="default"/>
          <w:spacing w:val="-1"/>
        </w:rPr>
        <w:t>136,980,000.00</w:t>
      </w:r>
      <w:r>
        <w:rPr>
          <w:spacing w:val="-1"/>
        </w:rPr>
        <w:t>元收购深圳一卡易科技股份有限公司（简称</w:t>
      </w:r>
      <w:r>
        <w:rPr>
          <w:rFonts w:ascii="Times New Roman" w:hAnsi="Times New Roman" w:cs="Times New Roman" w:eastAsia="Times New Roman" w:hint="default"/>
          <w:spacing w:val="-1"/>
        </w:rPr>
        <w:t>“</w:t>
      </w:r>
      <w:r>
        <w:rPr>
          <w:spacing w:val="-1"/>
        </w:rPr>
        <w:t>深圳一卡易</w:t>
      </w:r>
      <w:r>
        <w:rPr>
          <w:rFonts w:ascii="Times New Roman" w:hAnsi="Times New Roman" w:cs="Times New Roman" w:eastAsia="Times New Roman" w:hint="default"/>
          <w:spacing w:val="-1"/>
        </w:rPr>
        <w:t>”</w:t>
      </w:r>
      <w:r>
        <w:rPr>
          <w:spacing w:val="-1"/>
        </w:rPr>
        <w:t>）</w:t>
      </w:r>
      <w:r>
        <w:rPr>
          <w:rFonts w:ascii="Times New Roman" w:hAnsi="Times New Roman" w:cs="Times New Roman" w:eastAsia="Times New Roman" w:hint="default"/>
          <w:spacing w:val="-1"/>
        </w:rPr>
        <w:t>45.66%</w:t>
      </w:r>
      <w:r>
        <w:rPr>
          <w:spacing w:val="-1"/>
        </w:rPr>
        <w:t>股权，收购价</w:t>
      </w:r>
      <w:r>
        <w:rPr>
          <w:spacing w:val="-55"/>
        </w:rPr>
        <w:t> </w:t>
      </w:r>
      <w:r>
        <w:rPr>
          <w:spacing w:val="-55"/>
        </w:rPr>
      </w:r>
      <w:r>
        <w:rPr/>
        <w:t>格与可辨认净资产公允价值份额的差额人民币</w:t>
      </w:r>
      <w:r>
        <w:rPr>
          <w:rFonts w:ascii="Times New Roman" w:hAnsi="Times New Roman" w:cs="Times New Roman" w:eastAsia="Times New Roman" w:hint="default"/>
        </w:rPr>
        <w:t>70,835,809.00</w:t>
      </w:r>
      <w:r>
        <w:rPr/>
        <w:t>元确认为商誉。 注</w:t>
      </w:r>
      <w:r>
        <w:rPr>
          <w:rFonts w:ascii="Times New Roman" w:hAnsi="Times New Roman" w:cs="Times New Roman" w:eastAsia="Times New Roman" w:hint="default"/>
        </w:rPr>
        <w:t>3</w:t>
      </w:r>
      <w:r>
        <w:rPr/>
        <w:t>：公司之下属子公司恒宝国际有限责任公司于</w:t>
      </w:r>
      <w:r>
        <w:rPr>
          <w:rFonts w:ascii="Times New Roman" w:hAnsi="Times New Roman" w:cs="Times New Roman" w:eastAsia="Times New Roman" w:hint="default"/>
        </w:rPr>
        <w:t>2019</w:t>
      </w:r>
      <w:r>
        <w:rPr/>
        <w:t>年以一揽子交易方式收购马来西亚境内</w:t>
      </w:r>
      <w:r>
        <w:rPr>
          <w:rFonts w:ascii="Times New Roman" w:hAnsi="Times New Roman" w:cs="Times New Roman" w:eastAsia="Times New Roman" w:hint="default"/>
        </w:rPr>
        <w:t>Modularsoft Sdn.</w:t>
      </w:r>
      <w:r>
        <w:rPr>
          <w:rFonts w:ascii="Times New Roman" w:hAnsi="Times New Roman" w:cs="Times New Roman" w:eastAsia="Times New Roman" w:hint="default"/>
          <w:spacing w:val="3"/>
        </w:rPr>
        <w:t> </w:t>
      </w:r>
      <w:r>
        <w:rPr>
          <w:rFonts w:ascii="Times New Roman" w:hAnsi="Times New Roman" w:cs="Times New Roman" w:eastAsia="Times New Roman" w:hint="default"/>
        </w:rPr>
        <w:t>Bhd.</w:t>
      </w:r>
      <w:r>
        <w:rPr/>
        <w:t>以及</w:t>
      </w:r>
      <w:r>
        <w:rPr>
          <w:rFonts w:ascii="Times New Roman" w:hAnsi="Times New Roman" w:cs="Times New Roman" w:eastAsia="Times New Roman" w:hint="default"/>
        </w:rPr>
        <w:t>Asia</w:t>
      </w:r>
    </w:p>
    <w:p>
      <w:pPr>
        <w:pStyle w:val="BodyText"/>
        <w:spacing w:line="300" w:lineRule="auto"/>
        <w:ind w:right="0"/>
        <w:jc w:val="left"/>
      </w:pPr>
      <w:r>
        <w:rPr>
          <w:rFonts w:ascii="Times New Roman" w:hAnsi="Times New Roman" w:cs="Times New Roman" w:eastAsia="Times New Roman" w:hint="default"/>
          <w:w w:val="100"/>
        </w:rPr>
        <w:t>Smart </w:t>
      </w:r>
      <w:r>
        <w:rPr>
          <w:rFonts w:ascii="Times New Roman" w:hAnsi="Times New Roman" w:cs="Times New Roman" w:eastAsia="Times New Roman" w:hint="default"/>
        </w:rPr>
        <w:t>Cards </w:t>
      </w:r>
      <w:r>
        <w:rPr>
          <w:rFonts w:ascii="Times New Roman" w:hAnsi="Times New Roman" w:cs="Times New Roman" w:eastAsia="Times New Roman" w:hint="default"/>
          <w:spacing w:val="-1"/>
          <w:w w:val="100"/>
        </w:rPr>
        <w:t>Centre(M)</w:t>
      </w:r>
      <w:r>
        <w:rPr>
          <w:rFonts w:ascii="Times New Roman" w:hAnsi="Times New Roman" w:cs="Times New Roman" w:eastAsia="Times New Roman" w:hint="default"/>
          <w:w w:val="100"/>
        </w:rPr>
        <w:t> </w:t>
      </w:r>
      <w:r>
        <w:rPr>
          <w:rFonts w:ascii="Times New Roman" w:hAnsi="Times New Roman" w:cs="Times New Roman" w:eastAsia="Times New Roman" w:hint="default"/>
          <w:spacing w:val="-2"/>
          <w:w w:val="99"/>
        </w:rPr>
        <w:t>Sdn.Bhd.</w:t>
      </w:r>
      <w:r>
        <w:rPr>
          <w:spacing w:val="-2"/>
          <w:w w:val="99"/>
        </w:rPr>
        <w:t>（简称</w:t>
      </w:r>
      <w:r>
        <w:rPr>
          <w:rFonts w:ascii="Times New Roman" w:hAnsi="Times New Roman" w:cs="Times New Roman" w:eastAsia="Times New Roman" w:hint="default"/>
          <w:spacing w:val="-2"/>
          <w:w w:val="99"/>
        </w:rPr>
        <w:t>“MOD&amp;ASCC”</w:t>
      </w:r>
      <w:r>
        <w:rPr>
          <w:spacing w:val="-2"/>
          <w:w w:val="99"/>
        </w:rPr>
        <w:t>）</w:t>
      </w:r>
      <w:r>
        <w:rPr>
          <w:rFonts w:ascii="Times New Roman" w:hAnsi="Times New Roman" w:cs="Times New Roman" w:eastAsia="Times New Roman" w:hint="default"/>
          <w:spacing w:val="-2"/>
          <w:w w:val="99"/>
        </w:rPr>
        <w:t>100%</w:t>
      </w:r>
      <w:r>
        <w:rPr>
          <w:spacing w:val="-2"/>
          <w:w w:val="99"/>
        </w:rPr>
        <w:t>股权，收购价格</w:t>
      </w:r>
      <w:r>
        <w:rPr>
          <w:rFonts w:ascii="Times New Roman" w:hAnsi="Times New Roman" w:cs="Times New Roman" w:eastAsia="Times New Roman" w:hint="default"/>
          <w:spacing w:val="-2"/>
          <w:w w:val="99"/>
        </w:rPr>
        <w:t>455,498.65</w:t>
      </w:r>
      <w:r>
        <w:rPr>
          <w:spacing w:val="-2"/>
          <w:w w:val="99"/>
        </w:rPr>
        <w:t>美元（折人民币</w:t>
      </w:r>
      <w:r>
        <w:rPr>
          <w:rFonts w:ascii="Times New Roman" w:hAnsi="Times New Roman" w:cs="Times New Roman" w:eastAsia="Times New Roman" w:hint="default"/>
          <w:spacing w:val="-2"/>
          <w:w w:val="99"/>
        </w:rPr>
        <w:t>3,052,979.70</w:t>
      </w:r>
      <w:r>
        <w:rPr>
          <w:spacing w:val="-2"/>
          <w:w w:val="99"/>
        </w:rPr>
        <w:t>元）。收</w:t>
      </w:r>
      <w:r>
        <w:rPr>
          <w:spacing w:val="-47"/>
          <w:w w:val="99"/>
        </w:rPr>
        <w:t> </w:t>
      </w:r>
      <w:r>
        <w:rPr>
          <w:spacing w:val="-47"/>
          <w:w w:val="99"/>
        </w:rPr>
      </w:r>
      <w:r>
        <w:rPr>
          <w:spacing w:val="-2"/>
        </w:rPr>
        <w:t>购价格与可辨认净资产公允价值份额的差额</w:t>
      </w:r>
      <w:r>
        <w:rPr>
          <w:rFonts w:ascii="Times New Roman" w:hAnsi="Times New Roman" w:cs="Times New Roman" w:eastAsia="Times New Roman" w:hint="default"/>
          <w:spacing w:val="-2"/>
        </w:rPr>
        <w:t>634,301.98</w:t>
      </w:r>
      <w:r>
        <w:rPr>
          <w:spacing w:val="-2"/>
        </w:rPr>
        <w:t>美元（折人民币</w:t>
      </w:r>
      <w:r>
        <w:rPr>
          <w:rFonts w:ascii="Times New Roman" w:hAnsi="Times New Roman" w:cs="Times New Roman" w:eastAsia="Times New Roman" w:hint="default"/>
          <w:spacing w:val="-2"/>
        </w:rPr>
        <w:t>4,251,409.02</w:t>
      </w:r>
      <w:r>
        <w:rPr>
          <w:spacing w:val="-2"/>
        </w:rPr>
        <w:t>元）确认为商誉，截至</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31</w:t>
      </w:r>
      <w:r>
        <w:rPr>
          <w:spacing w:val="-2"/>
        </w:rPr>
        <w:t>日止，</w:t>
      </w:r>
    </w:p>
    <w:p>
      <w:pPr>
        <w:spacing w:after="0" w:line="300" w:lineRule="auto"/>
        <w:jc w:val="left"/>
        <w:sectPr>
          <w:pgSz w:w="11910" w:h="16840"/>
          <w:pgMar w:header="906" w:footer="1018" w:top="1100" w:bottom="1200" w:left="1020" w:right="0"/>
        </w:sectPr>
      </w:pPr>
    </w:p>
    <w:p>
      <w:pPr>
        <w:spacing w:line="240" w:lineRule="auto" w:before="11"/>
        <w:rPr>
          <w:rFonts w:ascii="宋体" w:hAnsi="宋体" w:cs="宋体" w:eastAsia="宋体" w:hint="default"/>
          <w:sz w:val="22"/>
          <w:szCs w:val="22"/>
        </w:rPr>
      </w:pPr>
    </w:p>
    <w:p>
      <w:pPr>
        <w:pStyle w:val="BodyText"/>
        <w:spacing w:line="240" w:lineRule="auto" w:before="44"/>
        <w:ind w:right="0"/>
        <w:jc w:val="left"/>
      </w:pPr>
      <w:r>
        <w:rPr/>
        <w:t>该部分商誉折人民币金额</w:t>
      </w:r>
      <w:r>
        <w:rPr>
          <w:rFonts w:ascii="Times New Roman" w:hAnsi="Times New Roman" w:cs="Times New Roman" w:eastAsia="Times New Roman" w:hint="default"/>
        </w:rPr>
        <w:t>4,425,017.47</w:t>
      </w:r>
      <w:r>
        <w:rPr/>
        <w:t>元。</w:t>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6"/>
          <w:szCs w:val="16"/>
        </w:rPr>
      </w:pPr>
    </w:p>
    <w:p>
      <w:pPr>
        <w:pStyle w:val="BodyText"/>
        <w:spacing w:line="316" w:lineRule="auto"/>
        <w:ind w:right="0"/>
        <w:jc w:val="left"/>
      </w:pPr>
      <w:r>
        <w:rPr>
          <w:spacing w:val="-2"/>
        </w:rPr>
        <w:t>说明商誉减值测试过程、关键参数（如预计未来现金流量现值时的预测期增长率、稳定期增长率、利润率、折现率、预测期</w:t>
      </w:r>
      <w:r>
        <w:rPr>
          <w:spacing w:val="-68"/>
        </w:rPr>
        <w:t> </w:t>
      </w:r>
      <w:r>
        <w:rPr>
          <w:spacing w:val="-68"/>
        </w:rPr>
      </w:r>
      <w:r>
        <w:rPr/>
        <w:t>等）及商誉减值损失的确认方法：</w:t>
      </w:r>
    </w:p>
    <w:p>
      <w:pPr>
        <w:pStyle w:val="BodyText"/>
        <w:spacing w:line="357" w:lineRule="auto" w:before="59"/>
        <w:ind w:right="9132"/>
        <w:jc w:val="left"/>
      </w:pPr>
      <w:r>
        <w:rPr/>
        <w:t>商誉减值测试的影响 其他说明</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r>
        <w:rPr/>
        <w:t>（</w:t>
      </w:r>
      <w:r>
        <w:rPr>
          <w:rFonts w:ascii="Times New Roman" w:hAnsi="Times New Roman" w:cs="Times New Roman" w:eastAsia="Times New Roman" w:hint="default"/>
        </w:rPr>
        <w:t>3</w:t>
      </w:r>
      <w:r>
        <w:rPr/>
        <w:t>）商誉减值测试</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①深圳一卡易科技股份有限公司商誉减值测试过程：</w:t>
      </w:r>
    </w:p>
    <w:p>
      <w:pPr>
        <w:spacing w:line="240" w:lineRule="auto" w:before="2"/>
        <w:rPr>
          <w:rFonts w:ascii="宋体" w:hAnsi="宋体" w:cs="宋体" w:eastAsia="宋体" w:hint="default"/>
          <w:sz w:val="5"/>
          <w:szCs w:val="5"/>
        </w:rPr>
      </w:pPr>
    </w:p>
    <w:tbl>
      <w:tblPr>
        <w:tblW w:w="0" w:type="auto"/>
        <w:jc w:val="left"/>
        <w:tblInd w:w="106" w:type="dxa"/>
        <w:tblLayout w:type="fixed"/>
        <w:tblCellMar>
          <w:top w:w="0" w:type="dxa"/>
          <w:left w:w="0" w:type="dxa"/>
          <w:bottom w:w="0" w:type="dxa"/>
          <w:right w:w="0" w:type="dxa"/>
        </w:tblCellMar>
        <w:tblLook w:val="01E0"/>
      </w:tblPr>
      <w:tblGrid>
        <w:gridCol w:w="6939"/>
        <w:gridCol w:w="2755"/>
      </w:tblGrid>
      <w:tr>
        <w:trPr>
          <w:trHeight w:val="427" w:hRule="exact"/>
        </w:trPr>
        <w:tc>
          <w:tcPr>
            <w:tcW w:w="69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27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宋体" w:hAnsi="宋体" w:cs="宋体" w:eastAsia="宋体" w:hint="default"/>
                <w:sz w:val="18"/>
                <w:szCs w:val="18"/>
              </w:rPr>
            </w:pPr>
            <w:r>
              <w:rPr>
                <w:rFonts w:ascii="宋体" w:hAnsi="宋体" w:cs="宋体" w:eastAsia="宋体" w:hint="default"/>
                <w:sz w:val="18"/>
                <w:szCs w:val="18"/>
              </w:rPr>
              <w:t>深圳一卡易科技股份有限公司</w:t>
            </w:r>
          </w:p>
        </w:tc>
      </w:tr>
      <w:tr>
        <w:trPr>
          <w:trHeight w:val="427" w:hRule="exact"/>
        </w:trPr>
        <w:tc>
          <w:tcPr>
            <w:tcW w:w="69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left="2" w:right="0"/>
              <w:jc w:val="left"/>
              <w:rPr>
                <w:rFonts w:ascii="宋体" w:hAnsi="宋体" w:cs="宋体" w:eastAsia="宋体" w:hint="default"/>
                <w:sz w:val="18"/>
                <w:szCs w:val="18"/>
              </w:rPr>
            </w:pPr>
            <w:r>
              <w:rPr>
                <w:rFonts w:ascii="宋体" w:hAnsi="宋体" w:cs="宋体" w:eastAsia="宋体" w:hint="default"/>
                <w:sz w:val="18"/>
                <w:szCs w:val="18"/>
              </w:rPr>
              <w:t>不含商誉的资产组账面价值</w:t>
            </w:r>
          </w:p>
        </w:tc>
        <w:tc>
          <w:tcPr>
            <w:tcW w:w="27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right"/>
              <w:rPr>
                <w:rFonts w:ascii="Times New Roman" w:hAnsi="Times New Roman" w:cs="Times New Roman" w:eastAsia="Times New Roman" w:hint="default"/>
                <w:sz w:val="18"/>
                <w:szCs w:val="18"/>
              </w:rPr>
            </w:pPr>
            <w:r>
              <w:rPr>
                <w:rFonts w:ascii="Times New Roman"/>
                <w:sz w:val="18"/>
              </w:rPr>
              <w:t>78,987,852.75</w:t>
            </w:r>
          </w:p>
        </w:tc>
      </w:tr>
      <w:tr>
        <w:trPr>
          <w:trHeight w:val="427" w:hRule="exact"/>
        </w:trPr>
        <w:tc>
          <w:tcPr>
            <w:tcW w:w="69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包含整体商誉的资产组账面价值</w:t>
            </w:r>
          </w:p>
        </w:tc>
        <w:tc>
          <w:tcPr>
            <w:tcW w:w="27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right"/>
              <w:rPr>
                <w:rFonts w:ascii="Times New Roman" w:hAnsi="Times New Roman" w:cs="Times New Roman" w:eastAsia="Times New Roman" w:hint="default"/>
                <w:sz w:val="18"/>
                <w:szCs w:val="18"/>
              </w:rPr>
            </w:pPr>
            <w:r>
              <w:rPr>
                <w:rFonts w:ascii="Times New Roman"/>
                <w:sz w:val="18"/>
              </w:rPr>
              <w:t>234,125,410.79</w:t>
            </w:r>
          </w:p>
        </w:tc>
      </w:tr>
      <w:tr>
        <w:trPr>
          <w:trHeight w:val="427" w:hRule="exact"/>
        </w:trPr>
        <w:tc>
          <w:tcPr>
            <w:tcW w:w="69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未来可收回金额</w:t>
            </w:r>
          </w:p>
        </w:tc>
        <w:tc>
          <w:tcPr>
            <w:tcW w:w="27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right"/>
              <w:rPr>
                <w:rFonts w:ascii="Times New Roman" w:hAnsi="Times New Roman" w:cs="Times New Roman" w:eastAsia="Times New Roman" w:hint="default"/>
                <w:sz w:val="18"/>
                <w:szCs w:val="18"/>
              </w:rPr>
            </w:pPr>
            <w:r>
              <w:rPr>
                <w:rFonts w:ascii="Times New Roman"/>
                <w:sz w:val="18"/>
              </w:rPr>
              <w:t>194,000,000.00</w:t>
            </w:r>
          </w:p>
        </w:tc>
      </w:tr>
      <w:tr>
        <w:trPr>
          <w:trHeight w:val="427" w:hRule="exact"/>
        </w:trPr>
        <w:tc>
          <w:tcPr>
            <w:tcW w:w="69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商誉减值损失</w:t>
            </w:r>
          </w:p>
        </w:tc>
        <w:tc>
          <w:tcPr>
            <w:tcW w:w="27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right"/>
              <w:rPr>
                <w:rFonts w:ascii="Times New Roman" w:hAnsi="Times New Roman" w:cs="Times New Roman" w:eastAsia="Times New Roman" w:hint="default"/>
                <w:sz w:val="18"/>
                <w:szCs w:val="18"/>
              </w:rPr>
            </w:pPr>
            <w:r>
              <w:rPr>
                <w:rFonts w:ascii="Times New Roman"/>
                <w:sz w:val="18"/>
              </w:rPr>
              <w:t>40,125,410.79</w:t>
            </w:r>
          </w:p>
        </w:tc>
      </w:tr>
      <w:tr>
        <w:trPr>
          <w:trHeight w:val="427" w:hRule="exact"/>
        </w:trPr>
        <w:tc>
          <w:tcPr>
            <w:tcW w:w="69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归属于母公司的商誉减值金额</w:t>
            </w:r>
          </w:p>
        </w:tc>
        <w:tc>
          <w:tcPr>
            <w:tcW w:w="27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right"/>
              <w:rPr>
                <w:rFonts w:ascii="Times New Roman" w:hAnsi="Times New Roman" w:cs="Times New Roman" w:eastAsia="Times New Roman" w:hint="default"/>
                <w:sz w:val="18"/>
                <w:szCs w:val="18"/>
              </w:rPr>
            </w:pPr>
            <w:r>
              <w:rPr>
                <w:rFonts w:ascii="Times New Roman"/>
                <w:sz w:val="18"/>
              </w:rPr>
              <w:t>18,321,262.57</w:t>
            </w:r>
          </w:p>
        </w:tc>
      </w:tr>
    </w:tbl>
    <w:p>
      <w:pPr>
        <w:spacing w:line="240" w:lineRule="auto" w:before="3"/>
        <w:rPr>
          <w:rFonts w:ascii="宋体" w:hAnsi="宋体" w:cs="宋体" w:eastAsia="宋体" w:hint="default"/>
          <w:sz w:val="21"/>
          <w:szCs w:val="21"/>
        </w:rPr>
      </w:pPr>
    </w:p>
    <w:p>
      <w:pPr>
        <w:pStyle w:val="BodyText"/>
        <w:spacing w:line="316" w:lineRule="auto" w:before="44"/>
        <w:ind w:right="0"/>
        <w:jc w:val="left"/>
      </w:pPr>
      <w:r>
        <w:rPr>
          <w:spacing w:val="-2"/>
        </w:rPr>
        <w:t>②进行商誉减值测试时，公司将相关资产组（含商誉）的账面价值与其未来可收回金额进行比较，如果可收回金额低于账面</w:t>
      </w:r>
      <w:r>
        <w:rPr>
          <w:spacing w:val="-67"/>
        </w:rPr>
        <w:t> </w:t>
      </w:r>
      <w:r>
        <w:rPr>
          <w:spacing w:val="-67"/>
        </w:rPr>
      </w:r>
      <w:r>
        <w:rPr/>
        <w:t>价值，相关差额计入当期损益。公司商誉分摊于</w:t>
      </w:r>
      <w:r>
        <w:rPr>
          <w:rFonts w:ascii="Times New Roman" w:hAnsi="Times New Roman" w:cs="Times New Roman" w:eastAsia="Times New Roman" w:hint="default"/>
        </w:rPr>
        <w:t>2019</w:t>
      </w:r>
      <w:r>
        <w:rPr/>
        <w:t>年度未发生变化。</w:t>
      </w:r>
    </w:p>
    <w:p>
      <w:pPr>
        <w:spacing w:line="240" w:lineRule="auto" w:before="0"/>
        <w:rPr>
          <w:rFonts w:ascii="宋体" w:hAnsi="宋体" w:cs="宋体" w:eastAsia="宋体" w:hint="default"/>
          <w:sz w:val="18"/>
          <w:szCs w:val="18"/>
        </w:rPr>
      </w:pPr>
    </w:p>
    <w:p>
      <w:pPr>
        <w:pStyle w:val="BodyText"/>
        <w:spacing w:line="319" w:lineRule="auto" w:before="156"/>
        <w:ind w:right="0"/>
        <w:jc w:val="left"/>
      </w:pPr>
      <w:r>
        <w:rPr>
          <w:spacing w:val="-2"/>
        </w:rPr>
        <w:t>③进行商誉减值测试时，资产组的预计可收回金额依据管理层批准的五年期预算，采用现金流量预测的方法计算。公司管理</w:t>
      </w:r>
      <w:r>
        <w:rPr>
          <w:spacing w:val="-67"/>
        </w:rPr>
        <w:t> </w:t>
      </w:r>
      <w:r>
        <w:rPr>
          <w:spacing w:val="-67"/>
        </w:rPr>
      </w:r>
      <w:r>
        <w:rPr/>
        <w:t>层根据历史经验及对市场发展的预测确定增长率和毛利率，并采用能够反映资产组的特定风险的税前利率为折现率。</w:t>
      </w:r>
    </w:p>
    <w:tbl>
      <w:tblPr>
        <w:tblW w:w="0" w:type="auto"/>
        <w:jc w:val="left"/>
        <w:tblInd w:w="106" w:type="dxa"/>
        <w:tblLayout w:type="fixed"/>
        <w:tblCellMar>
          <w:top w:w="0" w:type="dxa"/>
          <w:left w:w="0" w:type="dxa"/>
          <w:bottom w:w="0" w:type="dxa"/>
          <w:right w:w="0" w:type="dxa"/>
        </w:tblCellMar>
        <w:tblLook w:val="01E0"/>
      </w:tblPr>
      <w:tblGrid>
        <w:gridCol w:w="4248"/>
        <w:gridCol w:w="5446"/>
      </w:tblGrid>
      <w:tr>
        <w:trPr>
          <w:trHeight w:val="427" w:hRule="exact"/>
        </w:trPr>
        <w:tc>
          <w:tcPr>
            <w:tcW w:w="42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关键参数</w:t>
            </w:r>
          </w:p>
        </w:tc>
        <w:tc>
          <w:tcPr>
            <w:tcW w:w="54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宋体" w:hAnsi="宋体" w:cs="宋体" w:eastAsia="宋体" w:hint="default"/>
                <w:sz w:val="18"/>
                <w:szCs w:val="18"/>
              </w:rPr>
            </w:pPr>
            <w:r>
              <w:rPr>
                <w:rFonts w:ascii="宋体" w:hAnsi="宋体" w:cs="宋体" w:eastAsia="宋体" w:hint="default"/>
                <w:sz w:val="18"/>
                <w:szCs w:val="18"/>
              </w:rPr>
              <w:t>深圳一卡易科技股份有限公司</w:t>
            </w:r>
          </w:p>
        </w:tc>
      </w:tr>
      <w:tr>
        <w:trPr>
          <w:trHeight w:val="427" w:hRule="exact"/>
        </w:trPr>
        <w:tc>
          <w:tcPr>
            <w:tcW w:w="42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增长率</w:t>
            </w:r>
          </w:p>
        </w:tc>
        <w:tc>
          <w:tcPr>
            <w:tcW w:w="54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宋体" w:hAnsi="宋体" w:cs="宋体" w:eastAsia="宋体" w:hint="default"/>
                <w:sz w:val="18"/>
                <w:szCs w:val="18"/>
              </w:rPr>
            </w:pPr>
            <w:r>
              <w:rPr>
                <w:rFonts w:ascii="宋体" w:hAnsi="宋体" w:cs="宋体" w:eastAsia="宋体" w:hint="default"/>
                <w:sz w:val="18"/>
                <w:szCs w:val="18"/>
              </w:rPr>
              <w:t>管理层根据历史经验及对市场发展的预测确定预期增长率</w:t>
            </w:r>
          </w:p>
        </w:tc>
      </w:tr>
      <w:tr>
        <w:trPr>
          <w:trHeight w:val="427" w:hRule="exact"/>
        </w:trPr>
        <w:tc>
          <w:tcPr>
            <w:tcW w:w="42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left="2" w:right="0"/>
              <w:jc w:val="left"/>
              <w:rPr>
                <w:rFonts w:ascii="宋体" w:hAnsi="宋体" w:cs="宋体" w:eastAsia="宋体" w:hint="default"/>
                <w:sz w:val="18"/>
                <w:szCs w:val="18"/>
              </w:rPr>
            </w:pPr>
            <w:r>
              <w:rPr>
                <w:rFonts w:ascii="宋体" w:hAnsi="宋体" w:cs="宋体" w:eastAsia="宋体" w:hint="default"/>
                <w:sz w:val="18"/>
                <w:szCs w:val="18"/>
              </w:rPr>
              <w:t>毛利率</w:t>
            </w:r>
          </w:p>
        </w:tc>
        <w:tc>
          <w:tcPr>
            <w:tcW w:w="54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right="0"/>
              <w:jc w:val="right"/>
              <w:rPr>
                <w:rFonts w:ascii="宋体" w:hAnsi="宋体" w:cs="宋体" w:eastAsia="宋体" w:hint="default"/>
                <w:sz w:val="18"/>
                <w:szCs w:val="18"/>
              </w:rPr>
            </w:pPr>
            <w:r>
              <w:rPr>
                <w:rFonts w:ascii="宋体" w:hAnsi="宋体" w:cs="宋体" w:eastAsia="宋体" w:hint="default"/>
                <w:sz w:val="18"/>
                <w:szCs w:val="18"/>
              </w:rPr>
              <w:t>管理层根据历史经验及对市场发展的预测确定预期毛利率</w:t>
            </w:r>
          </w:p>
        </w:tc>
      </w:tr>
      <w:tr>
        <w:trPr>
          <w:trHeight w:val="427" w:hRule="exact"/>
        </w:trPr>
        <w:tc>
          <w:tcPr>
            <w:tcW w:w="42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折现率</w:t>
            </w:r>
          </w:p>
        </w:tc>
        <w:tc>
          <w:tcPr>
            <w:tcW w:w="54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right"/>
              <w:rPr>
                <w:rFonts w:ascii="Times New Roman" w:hAnsi="Times New Roman" w:cs="Times New Roman" w:eastAsia="Times New Roman" w:hint="default"/>
                <w:sz w:val="18"/>
                <w:szCs w:val="18"/>
              </w:rPr>
            </w:pPr>
            <w:r>
              <w:rPr>
                <w:rFonts w:ascii="Times New Roman"/>
                <w:spacing w:val="-2"/>
                <w:sz w:val="18"/>
              </w:rPr>
              <w:t>11.60%</w:t>
            </w:r>
          </w:p>
        </w:tc>
      </w:tr>
    </w:tbl>
    <w:p>
      <w:pPr>
        <w:spacing w:line="240" w:lineRule="auto" w:before="10"/>
        <w:rPr>
          <w:rFonts w:ascii="宋体" w:hAnsi="宋体" w:cs="宋体" w:eastAsia="宋体" w:hint="default"/>
          <w:sz w:val="21"/>
          <w:szCs w:val="21"/>
        </w:rPr>
      </w:pPr>
    </w:p>
    <w:p>
      <w:pPr>
        <w:pStyle w:val="BodyText"/>
        <w:spacing w:line="300" w:lineRule="auto" w:before="44"/>
        <w:ind w:right="1129"/>
        <w:jc w:val="both"/>
      </w:pPr>
      <w:r>
        <w:rPr>
          <w:spacing w:val="2"/>
        </w:rPr>
        <w:t>④公司聘请上海众华资产评估有限公司出具沪众评报字</w:t>
      </w:r>
      <w:r>
        <w:rPr>
          <w:rFonts w:ascii="Times New Roman" w:hAnsi="Times New Roman" w:cs="Times New Roman" w:eastAsia="Times New Roman" w:hint="default"/>
          <w:spacing w:val="2"/>
        </w:rPr>
        <w:t>[2020]</w:t>
      </w:r>
      <w:r>
        <w:rPr>
          <w:spacing w:val="2"/>
        </w:rPr>
        <w:t>第</w:t>
      </w:r>
      <w:r>
        <w:rPr>
          <w:rFonts w:ascii="Times New Roman" w:hAnsi="Times New Roman" w:cs="Times New Roman" w:eastAsia="Times New Roman" w:hint="default"/>
          <w:spacing w:val="2"/>
        </w:rPr>
        <w:t>0191</w:t>
      </w:r>
      <w:r>
        <w:rPr>
          <w:spacing w:val="2"/>
        </w:rPr>
        <w:t>号评估报告对深圳一卡易于</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31</w:t>
      </w:r>
      <w:r>
        <w:rPr>
          <w:spacing w:val="2"/>
        </w:rPr>
        <w:t>日的商誉进</w:t>
      </w:r>
      <w:r>
        <w:rPr>
          <w:spacing w:val="-65"/>
        </w:rPr>
        <w:t> </w:t>
      </w:r>
      <w:r>
        <w:rPr>
          <w:spacing w:val="-65"/>
        </w:rPr>
      </w:r>
      <w:r>
        <w:rPr/>
        <w:t>行减值测试。根据评估结果，包含商誉的资产组可收回金额为人民币</w:t>
      </w:r>
      <w:r>
        <w:rPr>
          <w:rFonts w:ascii="Times New Roman" w:hAnsi="Times New Roman" w:cs="Times New Roman" w:eastAsia="Times New Roman" w:hint="default"/>
        </w:rPr>
        <w:t>194,000,000.00</w:t>
      </w:r>
      <w:r>
        <w:rPr/>
        <w:t>元，报告期内公司对深圳一卡易商誉计</w:t>
      </w:r>
      <w:r>
        <w:rPr>
          <w:spacing w:val="-56"/>
        </w:rPr>
        <w:t> </w:t>
      </w:r>
      <w:r>
        <w:rPr>
          <w:spacing w:val="-56"/>
        </w:rPr>
      </w:r>
      <w:r>
        <w:rPr/>
        <w:t>提减值准备人民币</w:t>
      </w:r>
      <w:r>
        <w:rPr>
          <w:rFonts w:ascii="Times New Roman" w:hAnsi="Times New Roman" w:cs="Times New Roman" w:eastAsia="Times New Roman" w:hint="default"/>
        </w:rPr>
        <w:t>13,201,996.92</w:t>
      </w:r>
      <w:r>
        <w:rPr/>
        <w:t>元，累计计提减值准备金额人民币</w:t>
      </w:r>
      <w:r>
        <w:rPr>
          <w:rFonts w:ascii="Times New Roman" w:hAnsi="Times New Roman" w:cs="Times New Roman" w:eastAsia="Times New Roman" w:hint="default"/>
        </w:rPr>
        <w:t>18,321,262.57</w:t>
      </w:r>
      <w:r>
        <w:rPr/>
        <w:t>元。</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Heading3"/>
        <w:spacing w:line="240" w:lineRule="auto" w:before="130"/>
        <w:ind w:right="0"/>
        <w:jc w:val="both"/>
        <w:rPr>
          <w:b w:val="0"/>
          <w:bCs w:val="0"/>
        </w:rPr>
      </w:pPr>
      <w:r>
        <w:rPr>
          <w:rFonts w:ascii="Times New Roman" w:hAnsi="Times New Roman" w:cs="Times New Roman" w:eastAsia="Times New Roman" w:hint="default"/>
        </w:rPr>
        <w:t>29</w:t>
      </w:r>
      <w:r>
        <w:rPr/>
        <w:t>、长期待摊费用</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594"/>
        <w:gridCol w:w="1596"/>
        <w:gridCol w:w="1594"/>
        <w:gridCol w:w="1594"/>
        <w:gridCol w:w="1594"/>
        <w:gridCol w:w="1594"/>
      </w:tblGrid>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3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252"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251" w:right="0"/>
              <w:jc w:val="left"/>
              <w:rPr>
                <w:rFonts w:ascii="宋体" w:hAnsi="宋体" w:cs="宋体" w:eastAsia="宋体" w:hint="default"/>
                <w:sz w:val="18"/>
                <w:szCs w:val="18"/>
              </w:rPr>
            </w:pPr>
            <w:r>
              <w:rPr>
                <w:rFonts w:ascii="宋体" w:hAnsi="宋体" w:cs="宋体" w:eastAsia="宋体" w:hint="default"/>
                <w:sz w:val="18"/>
                <w:szCs w:val="18"/>
              </w:rPr>
              <w:t>本期摊销金额</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252" w:right="0"/>
              <w:jc w:val="left"/>
              <w:rPr>
                <w:rFonts w:ascii="宋体" w:hAnsi="宋体" w:cs="宋体" w:eastAsia="宋体" w:hint="default"/>
                <w:sz w:val="18"/>
                <w:szCs w:val="18"/>
              </w:rPr>
            </w:pPr>
            <w:r>
              <w:rPr>
                <w:rFonts w:ascii="宋体" w:hAnsi="宋体" w:cs="宋体" w:eastAsia="宋体" w:hint="default"/>
                <w:sz w:val="18"/>
                <w:szCs w:val="18"/>
              </w:rPr>
              <w:t>其他减少金额</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3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装修费</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38" w:right="0"/>
              <w:jc w:val="left"/>
              <w:rPr>
                <w:rFonts w:ascii="Times New Roman" w:hAnsi="Times New Roman" w:cs="Times New Roman" w:eastAsia="Times New Roman" w:hint="default"/>
                <w:sz w:val="18"/>
                <w:szCs w:val="18"/>
              </w:rPr>
            </w:pPr>
            <w:r>
              <w:rPr>
                <w:rFonts w:ascii="Times New Roman"/>
                <w:sz w:val="18"/>
              </w:rPr>
              <w:t>2,109,641.32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398,530.15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1,054,307.37</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1,453,864.10</w:t>
            </w:r>
          </w:p>
        </w:tc>
      </w:tr>
      <w:tr>
        <w:trPr>
          <w:trHeight w:val="713"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2" w:right="219"/>
              <w:jc w:val="left"/>
              <w:rPr>
                <w:rFonts w:ascii="宋体" w:hAnsi="宋体" w:cs="宋体" w:eastAsia="宋体" w:hint="default"/>
                <w:sz w:val="18"/>
                <w:szCs w:val="18"/>
              </w:rPr>
            </w:pPr>
            <w:r>
              <w:rPr>
                <w:rFonts w:ascii="宋体" w:hAnsi="宋体" w:cs="宋体" w:eastAsia="宋体" w:hint="default"/>
                <w:sz w:val="18"/>
                <w:szCs w:val="18"/>
              </w:rPr>
              <w:t>预付房租及服务 费</w:t>
            </w:r>
          </w:p>
        </w:tc>
        <w:tc>
          <w:tcPr>
            <w:tcW w:w="1596"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1,924,528.30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213,836.48</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1,710,691.82</w:t>
            </w:r>
          </w:p>
        </w:tc>
      </w:tr>
    </w:tbl>
    <w:p>
      <w:pPr>
        <w:spacing w:after="0" w:line="240" w:lineRule="auto"/>
        <w:jc w:val="right"/>
        <w:rPr>
          <w:rFonts w:ascii="Times New Roman" w:hAnsi="Times New Roman" w:cs="Times New Roman" w:eastAsia="Times New Roman" w:hint="default"/>
          <w:sz w:val="18"/>
          <w:szCs w:val="18"/>
        </w:rPr>
        <w:sectPr>
          <w:pgSz w:w="11910" w:h="16840"/>
          <w:pgMar w:header="906" w:footer="1018" w:top="1100" w:bottom="1200" w:left="1020" w:right="0"/>
        </w:sectPr>
      </w:pPr>
    </w:p>
    <w:p>
      <w:pPr>
        <w:spacing w:line="240" w:lineRule="auto" w:before="7"/>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594"/>
        <w:gridCol w:w="1596"/>
        <w:gridCol w:w="1594"/>
        <w:gridCol w:w="1594"/>
        <w:gridCol w:w="1594"/>
        <w:gridCol w:w="1594"/>
      </w:tblGrid>
      <w:tr>
        <w:trPr>
          <w:trHeight w:val="402"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产品推广费</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591,708.22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1,979,676.15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501,767.99</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2,069,616.38</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2,701,349.54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4,302,734.60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1,769,911.84</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5,234,172.30</w:t>
            </w:r>
          </w:p>
        </w:tc>
      </w:tr>
    </w:tbl>
    <w:p>
      <w:pPr>
        <w:pStyle w:val="BodyText"/>
        <w:spacing w:line="240" w:lineRule="auto" w:before="50"/>
        <w:ind w:right="0"/>
        <w:jc w:val="left"/>
      </w:pPr>
      <w:r>
        <w:rPr/>
        <w:t>其他说明</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30</w:t>
      </w:r>
      <w:r>
        <w:rPr/>
        <w:t>、递延所得税资产</w:t>
      </w:r>
      <w:r>
        <w:rPr>
          <w:rFonts w:ascii="Times New Roman" w:hAnsi="Times New Roman" w:cs="Times New Roman" w:eastAsia="Times New Roman" w:hint="default"/>
        </w:rPr>
        <w:t>/</w:t>
      </w:r>
      <w:r>
        <w:rPr/>
        <w:t>递延所得税负债</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t>（</w:t>
      </w:r>
      <w:r>
        <w:rPr>
          <w:rFonts w:ascii="Times New Roman" w:hAnsi="Times New Roman" w:cs="Times New Roman" w:eastAsia="Times New Roman" w:hint="default"/>
        </w:rPr>
        <w:t>1</w:t>
      </w:r>
      <w:r>
        <w:rPr/>
        <w:t>）未经抵销的递延所得税资产</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2" w:hRule="exact"/>
        </w:trPr>
        <w:tc>
          <w:tcPr>
            <w:tcW w:w="1912"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30"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1912" w:type="dxa"/>
            <w:vMerge/>
            <w:tcBorders>
              <w:left w:val="single" w:sz="4" w:space="0" w:color="000000"/>
              <w:bottom w:val="single" w:sz="4" w:space="0" w:color="000000"/>
              <w:right w:val="single" w:sz="4" w:space="0" w:color="000000"/>
            </w:tcBorders>
            <w:shd w:val="clear" w:color="auto" w:fill="D3D3D3"/>
          </w:tcPr>
          <w:p>
            <w:pPr/>
          </w:p>
        </w:tc>
        <w:tc>
          <w:tcPr>
            <w:tcW w:w="1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233"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32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231"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32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r>
      <w:tr>
        <w:trPr>
          <w:trHeight w:val="403" w:hRule="exact"/>
        </w:trPr>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应收款项坏账准备</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20,205,468.39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2,253,641.96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21,291,376.93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2,350,942.18</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2,115,431.25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212,689.69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1,693,776.25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171,722.03</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存货跌价准备</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7,523,012.76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752,301.28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7,104,314.75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710,431.48</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预提费用</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19,704,905.34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1,970,490.53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8,606,207.56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860,620.76</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49,548,817.74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5,189,123.46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38,695,675.49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4,093,716.45</w:t>
            </w:r>
          </w:p>
        </w:tc>
      </w:tr>
    </w:tbl>
    <w:p>
      <w:pPr>
        <w:spacing w:line="240" w:lineRule="auto" w:before="1"/>
        <w:rPr>
          <w:rFonts w:ascii="宋体" w:hAnsi="宋体" w:cs="宋体" w:eastAsia="宋体" w:hint="default"/>
          <w:sz w:val="19"/>
          <w:szCs w:val="19"/>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2</w:t>
      </w:r>
      <w:r>
        <w:rPr/>
        <w:t>）未经抵销的递延所得税负债</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2" w:hRule="exact"/>
        </w:trPr>
        <w:tc>
          <w:tcPr>
            <w:tcW w:w="1912"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30"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1912" w:type="dxa"/>
            <w:vMerge/>
            <w:tcBorders>
              <w:left w:val="single" w:sz="4" w:space="0" w:color="000000"/>
              <w:bottom w:val="single" w:sz="4" w:space="0" w:color="000000"/>
              <w:right w:val="single" w:sz="4" w:space="0" w:color="000000"/>
            </w:tcBorders>
            <w:shd w:val="clear" w:color="auto" w:fill="D3D3D3"/>
          </w:tcPr>
          <w:p>
            <w:pPr/>
          </w:p>
        </w:tc>
        <w:tc>
          <w:tcPr>
            <w:tcW w:w="1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233" w:right="0"/>
              <w:jc w:val="left"/>
              <w:rPr>
                <w:rFonts w:ascii="宋体" w:hAnsi="宋体" w:cs="宋体" w:eastAsia="宋体" w:hint="default"/>
                <w:sz w:val="18"/>
                <w:szCs w:val="18"/>
              </w:rPr>
            </w:pPr>
            <w:r>
              <w:rPr>
                <w:rFonts w:ascii="宋体" w:hAnsi="宋体" w:cs="宋体" w:eastAsia="宋体" w:hint="default"/>
                <w:sz w:val="18"/>
                <w:szCs w:val="18"/>
              </w:rPr>
              <w:t>应纳税暂时性差异</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32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231" w:right="0"/>
              <w:jc w:val="left"/>
              <w:rPr>
                <w:rFonts w:ascii="宋体" w:hAnsi="宋体" w:cs="宋体" w:eastAsia="宋体" w:hint="default"/>
                <w:sz w:val="18"/>
                <w:szCs w:val="18"/>
              </w:rPr>
            </w:pPr>
            <w:r>
              <w:rPr>
                <w:rFonts w:ascii="宋体" w:hAnsi="宋体" w:cs="宋体" w:eastAsia="宋体" w:hint="default"/>
                <w:sz w:val="18"/>
                <w:szCs w:val="18"/>
              </w:rPr>
              <w:t>应纳税暂时性差异</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32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r>
      <w:tr>
        <w:trPr>
          <w:trHeight w:val="356" w:hRule="exact"/>
        </w:trPr>
        <w:tc>
          <w:tcPr>
            <w:tcW w:w="191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非同一控制下企业合</w:t>
            </w:r>
          </w:p>
        </w:tc>
        <w:tc>
          <w:tcPr>
            <w:tcW w:w="1916" w:type="dxa"/>
            <w:tcBorders>
              <w:top w:val="single" w:sz="4" w:space="0" w:color="000000"/>
              <w:left w:val="single" w:sz="4" w:space="0" w:color="000000"/>
              <w:bottom w:val="nil" w:sz="6" w:space="0" w:color="auto"/>
              <w:right w:val="single" w:sz="4" w:space="0" w:color="000000"/>
            </w:tcBorders>
          </w:tcPr>
          <w:p>
            <w:pPr/>
          </w:p>
        </w:tc>
        <w:tc>
          <w:tcPr>
            <w:tcW w:w="1914" w:type="dxa"/>
            <w:tcBorders>
              <w:top w:val="single" w:sz="4" w:space="0" w:color="000000"/>
              <w:left w:val="single" w:sz="4" w:space="0" w:color="000000"/>
              <w:bottom w:val="nil" w:sz="6" w:space="0" w:color="auto"/>
              <w:right w:val="single" w:sz="4" w:space="0" w:color="000000"/>
            </w:tcBorders>
          </w:tcPr>
          <w:p>
            <w:pPr/>
          </w:p>
        </w:tc>
        <w:tc>
          <w:tcPr>
            <w:tcW w:w="1914" w:type="dxa"/>
            <w:tcBorders>
              <w:top w:val="single" w:sz="4" w:space="0" w:color="000000"/>
              <w:left w:val="single" w:sz="4" w:space="0" w:color="000000"/>
              <w:bottom w:val="nil" w:sz="6" w:space="0" w:color="auto"/>
              <w:right w:val="single" w:sz="4" w:space="0" w:color="000000"/>
            </w:tcBorders>
          </w:tcPr>
          <w:p>
            <w:pPr/>
          </w:p>
        </w:tc>
        <w:tc>
          <w:tcPr>
            <w:tcW w:w="1914" w:type="dxa"/>
            <w:tcBorders>
              <w:top w:val="single" w:sz="4" w:space="0" w:color="000000"/>
              <w:left w:val="single" w:sz="4" w:space="0" w:color="000000"/>
              <w:bottom w:val="nil" w:sz="6" w:space="0" w:color="auto"/>
              <w:right w:val="single" w:sz="4" w:space="0" w:color="000000"/>
            </w:tcBorders>
          </w:tcPr>
          <w:p>
            <w:pPr/>
          </w:p>
        </w:tc>
      </w:tr>
      <w:tr>
        <w:trPr>
          <w:trHeight w:val="316" w:hRule="exact"/>
        </w:trPr>
        <w:tc>
          <w:tcPr>
            <w:tcW w:w="191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并形成的公允价值调</w:t>
            </w:r>
          </w:p>
        </w:tc>
        <w:tc>
          <w:tcPr>
            <w:tcW w:w="1916"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75,700,000.00</w:t>
            </w:r>
          </w:p>
        </w:tc>
        <w:tc>
          <w:tcPr>
            <w:tcW w:w="1914"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11,355,000.00</w:t>
            </w:r>
          </w:p>
        </w:tc>
        <w:tc>
          <w:tcPr>
            <w:tcW w:w="1914"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93,100,000.00</w:t>
            </w:r>
          </w:p>
        </w:tc>
        <w:tc>
          <w:tcPr>
            <w:tcW w:w="1914"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13,965,000.00</w:t>
            </w:r>
          </w:p>
        </w:tc>
      </w:tr>
      <w:tr>
        <w:trPr>
          <w:trHeight w:val="354" w:hRule="exact"/>
        </w:trPr>
        <w:tc>
          <w:tcPr>
            <w:tcW w:w="191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整差异</w:t>
            </w:r>
          </w:p>
        </w:tc>
        <w:tc>
          <w:tcPr>
            <w:tcW w:w="1916" w:type="dxa"/>
            <w:tcBorders>
              <w:top w:val="nil" w:sz="6" w:space="0" w:color="auto"/>
              <w:left w:val="single" w:sz="4" w:space="0" w:color="000000"/>
              <w:bottom w:val="single" w:sz="4" w:space="0" w:color="000000"/>
              <w:right w:val="single" w:sz="4" w:space="0" w:color="000000"/>
            </w:tcBorders>
          </w:tcPr>
          <w:p>
            <w:pPr/>
          </w:p>
        </w:tc>
        <w:tc>
          <w:tcPr>
            <w:tcW w:w="1914" w:type="dxa"/>
            <w:tcBorders>
              <w:top w:val="nil" w:sz="6" w:space="0" w:color="auto"/>
              <w:left w:val="single" w:sz="4" w:space="0" w:color="000000"/>
              <w:bottom w:val="single" w:sz="4" w:space="0" w:color="000000"/>
              <w:right w:val="single" w:sz="4" w:space="0" w:color="000000"/>
            </w:tcBorders>
          </w:tcPr>
          <w:p>
            <w:pPr/>
          </w:p>
        </w:tc>
        <w:tc>
          <w:tcPr>
            <w:tcW w:w="1914" w:type="dxa"/>
            <w:tcBorders>
              <w:top w:val="nil" w:sz="6" w:space="0" w:color="auto"/>
              <w:left w:val="single" w:sz="4" w:space="0" w:color="000000"/>
              <w:bottom w:val="single" w:sz="4" w:space="0" w:color="000000"/>
              <w:right w:val="single" w:sz="4" w:space="0" w:color="000000"/>
            </w:tcBorders>
          </w:tcPr>
          <w:p>
            <w:pPr/>
          </w:p>
        </w:tc>
        <w:tc>
          <w:tcPr>
            <w:tcW w:w="1914" w:type="dxa"/>
            <w:tcBorders>
              <w:top w:val="nil" w:sz="6" w:space="0" w:color="auto"/>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应纳税补贴收入</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8,331,762.23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833,176.22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11,058,478.99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1,105,847.90</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固定资产折旧差异</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11,651,645.90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1,165,164.59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9,451,274.02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945,127.40</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95,683,408.13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13,353,340.81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113,609,753.01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16,015,975.30</w:t>
            </w:r>
          </w:p>
        </w:tc>
      </w:tr>
    </w:tbl>
    <w:p>
      <w:pPr>
        <w:spacing w:line="240" w:lineRule="auto" w:before="1"/>
        <w:rPr>
          <w:rFonts w:ascii="宋体" w:hAnsi="宋体" w:cs="宋体" w:eastAsia="宋体" w:hint="default"/>
          <w:sz w:val="19"/>
          <w:szCs w:val="19"/>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3</w:t>
      </w:r>
      <w:r>
        <w:rPr/>
        <w:t>）以抵销后净额列示的递延所得税资产或负债</w:t>
      </w:r>
      <w:r>
        <w:rPr>
          <w:b w:val="0"/>
          <w:bCs w:val="0"/>
        </w:rPr>
      </w:r>
    </w:p>
    <w:p>
      <w:pPr>
        <w:spacing w:line="240" w:lineRule="auto" w:before="2"/>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323" w:right="141" w:hanging="180"/>
              <w:jc w:val="left"/>
              <w:rPr>
                <w:rFonts w:ascii="宋体" w:hAnsi="宋体" w:cs="宋体" w:eastAsia="宋体" w:hint="default"/>
                <w:sz w:val="18"/>
                <w:szCs w:val="18"/>
              </w:rPr>
            </w:pPr>
            <w:r>
              <w:rPr>
                <w:rFonts w:ascii="宋体" w:hAnsi="宋体" w:cs="宋体" w:eastAsia="宋体" w:hint="default"/>
                <w:sz w:val="18"/>
                <w:szCs w:val="18"/>
              </w:rPr>
              <w:t>递延所得税资产和负 债期末互抵金额</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231" w:right="140" w:hanging="90"/>
              <w:jc w:val="left"/>
              <w:rPr>
                <w:rFonts w:ascii="宋体" w:hAnsi="宋体" w:cs="宋体" w:eastAsia="宋体" w:hint="default"/>
                <w:sz w:val="18"/>
                <w:szCs w:val="18"/>
              </w:rPr>
            </w:pPr>
            <w:r>
              <w:rPr>
                <w:rFonts w:ascii="宋体" w:hAnsi="宋体" w:cs="宋体" w:eastAsia="宋体" w:hint="default"/>
                <w:sz w:val="18"/>
                <w:szCs w:val="18"/>
              </w:rPr>
              <w:t>抵销后递延所得税资 产或负债期末余额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321" w:right="140" w:hanging="180"/>
              <w:jc w:val="left"/>
              <w:rPr>
                <w:rFonts w:ascii="宋体" w:hAnsi="宋体" w:cs="宋体" w:eastAsia="宋体" w:hint="default"/>
                <w:sz w:val="18"/>
                <w:szCs w:val="18"/>
              </w:rPr>
            </w:pPr>
            <w:r>
              <w:rPr>
                <w:rFonts w:ascii="宋体" w:hAnsi="宋体" w:cs="宋体" w:eastAsia="宋体" w:hint="default"/>
                <w:sz w:val="18"/>
                <w:szCs w:val="18"/>
              </w:rPr>
              <w:t>递延所得税资产和负 债期初互抵金额</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231" w:right="140" w:hanging="90"/>
              <w:jc w:val="left"/>
              <w:rPr>
                <w:rFonts w:ascii="宋体" w:hAnsi="宋体" w:cs="宋体" w:eastAsia="宋体" w:hint="default"/>
                <w:sz w:val="18"/>
                <w:szCs w:val="18"/>
              </w:rPr>
            </w:pPr>
            <w:r>
              <w:rPr>
                <w:rFonts w:ascii="宋体" w:hAnsi="宋体" w:cs="宋体" w:eastAsia="宋体" w:hint="default"/>
                <w:sz w:val="18"/>
                <w:szCs w:val="18"/>
              </w:rPr>
              <w:t>抵销后递延所得税资 产或负债期初余额</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5,189,123.46</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4,093,716.45</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13,353,340.81</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16,015,975.30</w:t>
            </w:r>
          </w:p>
        </w:tc>
      </w:tr>
    </w:tbl>
    <w:p>
      <w:pPr>
        <w:spacing w:after="0" w:line="240" w:lineRule="auto"/>
        <w:jc w:val="right"/>
        <w:rPr>
          <w:rFonts w:ascii="Times New Roman" w:hAnsi="Times New Roman" w:cs="Times New Roman" w:eastAsia="Times New Roman" w:hint="default"/>
          <w:sz w:val="18"/>
          <w:szCs w:val="18"/>
        </w:rPr>
        <w:sectPr>
          <w:pgSz w:w="11910" w:h="16840"/>
          <w:pgMar w:header="906" w:footer="1018" w:top="1100" w:bottom="1200" w:left="1020" w:right="0"/>
        </w:sectPr>
      </w:pPr>
    </w:p>
    <w:p>
      <w:pPr>
        <w:spacing w:line="240" w:lineRule="auto" w:before="9"/>
        <w:rPr>
          <w:rFonts w:ascii="宋体" w:hAnsi="宋体" w:cs="宋体" w:eastAsia="宋体" w:hint="default"/>
          <w:sz w:val="21"/>
          <w:szCs w:val="21"/>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4</w:t>
      </w:r>
      <w:r>
        <w:rPr/>
        <w:t>）未确认递延所得税资产明细</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可抵扣亏损</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54,189,856.68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37,992,130.48</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应收款项坏账准备</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5,313,315.48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2,142,244.25</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无形资产减值准备</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27,998,988.00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27,998,988.00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87,502,160.16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68,133,362.73</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5</w:t>
      </w:r>
      <w:r>
        <w:rPr/>
        <w:t>）未确认递延所得税资产的可抵扣亏损将于以下年度到期</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89"/>
        <w:gridCol w:w="2395"/>
        <w:gridCol w:w="2392"/>
        <w:gridCol w:w="2392"/>
      </w:tblGrid>
      <w:tr>
        <w:trPr>
          <w:trHeight w:val="401" w:hRule="exact"/>
        </w:trPr>
        <w:tc>
          <w:tcPr>
            <w:tcW w:w="23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年份</w:t>
            </w:r>
          </w:p>
        </w:tc>
        <w:tc>
          <w:tcPr>
            <w:tcW w:w="23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期末金额</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期初金额</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备注</w:t>
            </w:r>
          </w:p>
        </w:tc>
      </w:tr>
      <w:tr>
        <w:trPr>
          <w:trHeight w:val="403" w:hRule="exact"/>
        </w:trPr>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2" w:right="0"/>
              <w:jc w:val="left"/>
              <w:rPr>
                <w:rFonts w:ascii="Times New Roman" w:hAnsi="Times New Roman" w:cs="Times New Roman" w:eastAsia="Times New Roman" w:hint="default"/>
                <w:sz w:val="18"/>
                <w:szCs w:val="18"/>
              </w:rPr>
            </w:pPr>
            <w:r>
              <w:rPr>
                <w:rFonts w:ascii="Times New Roman"/>
                <w:sz w:val="18"/>
              </w:rPr>
              <w:t>2020</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101,189.77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101,189.77</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02" w:right="0"/>
              <w:jc w:val="left"/>
              <w:rPr>
                <w:rFonts w:ascii="Times New Roman" w:hAnsi="Times New Roman" w:cs="Times New Roman" w:eastAsia="Times New Roman" w:hint="default"/>
                <w:sz w:val="18"/>
                <w:szCs w:val="18"/>
              </w:rPr>
            </w:pPr>
            <w:r>
              <w:rPr>
                <w:rFonts w:ascii="Times New Roman"/>
                <w:sz w:val="18"/>
              </w:rPr>
              <w:t>2021</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19,091,122.21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19,091,122.21</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02" w:right="0"/>
              <w:jc w:val="left"/>
              <w:rPr>
                <w:rFonts w:ascii="Times New Roman" w:hAnsi="Times New Roman" w:cs="Times New Roman" w:eastAsia="Times New Roman" w:hint="default"/>
                <w:sz w:val="18"/>
                <w:szCs w:val="18"/>
              </w:rPr>
            </w:pPr>
            <w:r>
              <w:rPr>
                <w:rFonts w:ascii="Times New Roman"/>
                <w:sz w:val="18"/>
              </w:rPr>
              <w:t>2022</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7,583,629.83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7,583,629.83</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02" w:right="0"/>
              <w:jc w:val="left"/>
              <w:rPr>
                <w:rFonts w:ascii="Times New Roman" w:hAnsi="Times New Roman" w:cs="Times New Roman" w:eastAsia="Times New Roman" w:hint="default"/>
                <w:sz w:val="18"/>
                <w:szCs w:val="18"/>
              </w:rPr>
            </w:pPr>
            <w:r>
              <w:rPr>
                <w:rFonts w:ascii="Times New Roman"/>
                <w:sz w:val="18"/>
              </w:rPr>
              <w:t>2023</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2,932,491.58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2,932,491.58</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02" w:right="0"/>
              <w:jc w:val="left"/>
              <w:rPr>
                <w:rFonts w:ascii="Times New Roman" w:hAnsi="Times New Roman" w:cs="Times New Roman" w:eastAsia="Times New Roman" w:hint="default"/>
                <w:sz w:val="18"/>
                <w:szCs w:val="18"/>
              </w:rPr>
            </w:pPr>
            <w:r>
              <w:rPr>
                <w:rFonts w:ascii="Times New Roman"/>
                <w:sz w:val="18"/>
              </w:rPr>
              <w:t>2024</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3,692,532.96</w:t>
            </w: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02" w:right="0"/>
              <w:jc w:val="left"/>
              <w:rPr>
                <w:rFonts w:ascii="Times New Roman" w:hAnsi="Times New Roman" w:cs="Times New Roman" w:eastAsia="Times New Roman" w:hint="default"/>
                <w:sz w:val="18"/>
                <w:szCs w:val="18"/>
              </w:rPr>
            </w:pPr>
            <w:r>
              <w:rPr>
                <w:rFonts w:ascii="Times New Roman"/>
                <w:sz w:val="18"/>
              </w:rPr>
              <w:t>2025</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4,317,518.91</w:t>
            </w: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02" w:right="0"/>
              <w:jc w:val="left"/>
              <w:rPr>
                <w:rFonts w:ascii="Times New Roman" w:hAnsi="Times New Roman" w:cs="Times New Roman" w:eastAsia="Times New Roman" w:hint="default"/>
                <w:sz w:val="18"/>
                <w:szCs w:val="18"/>
              </w:rPr>
            </w:pPr>
            <w:r>
              <w:rPr>
                <w:rFonts w:ascii="Times New Roman"/>
                <w:sz w:val="18"/>
              </w:rPr>
              <w:t>2026</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2,041,717.27</w:t>
            </w: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无期限</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14,429,654.15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8,283,697.09</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54,189,856.68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37,992,130.48</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0"/>
              <w:ind w:left="1"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49"/>
        <w:ind w:right="0"/>
        <w:jc w:val="left"/>
      </w:pPr>
      <w:r>
        <w:rPr/>
        <w:t>其他说明：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31</w:t>
      </w:r>
      <w:r>
        <w:rPr/>
        <w:t>、其他非流动资产</w:t>
      </w:r>
      <w:r>
        <w:rPr>
          <w:b w:val="0"/>
          <w:bCs w:val="0"/>
        </w:rPr>
      </w:r>
    </w:p>
    <w:p>
      <w:pPr>
        <w:spacing w:line="240" w:lineRule="auto" w:before="1"/>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906" w:footer="1018" w:top="1100" w:bottom="1200" w:left="1020" w:right="0"/>
        </w:sectPr>
      </w:pPr>
    </w:p>
    <w:p>
      <w:pPr>
        <w:pStyle w:val="BodyText"/>
        <w:spacing w:line="240" w:lineRule="auto" w:before="44"/>
        <w:ind w:right="-20"/>
        <w:jc w:val="left"/>
      </w:pPr>
      <w:r>
        <w:rPr/>
        <w:t>是否已执行新收入准则</w:t>
      </w:r>
    </w:p>
    <w:p>
      <w:pPr>
        <w:pStyle w:val="BodyText"/>
        <w:spacing w:line="240" w:lineRule="auto" w:before="116"/>
        <w:ind w:right="-20"/>
        <w:jc w:val="left"/>
      </w:pPr>
      <w:r>
        <w:rPr/>
        <w:t>□ 是 √ 否</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pStyle w:val="BodyText"/>
        <w:spacing w:line="240" w:lineRule="auto"/>
        <w:ind w:right="0"/>
        <w:jc w:val="left"/>
      </w:pPr>
      <w:r>
        <w:rPr/>
        <w:t>单位：</w:t>
      </w:r>
      <w:r>
        <w:rPr>
          <w:spacing w:val="-1"/>
        </w:rPr>
        <w:t> </w:t>
      </w:r>
      <w:r>
        <w:rPr/>
        <w:t>元</w:t>
      </w:r>
    </w:p>
    <w:p>
      <w:pPr>
        <w:spacing w:after="0" w:line="240" w:lineRule="auto"/>
        <w:jc w:val="left"/>
        <w:sectPr>
          <w:type w:val="continuous"/>
          <w:pgSz w:w="11910" w:h="16840"/>
          <w:pgMar w:top="1100" w:bottom="1200" w:left="1020" w:right="0"/>
          <w:cols w:num="2" w:equalWidth="0">
            <w:col w:w="1914" w:space="6914"/>
            <w:col w:w="2062"/>
          </w:cols>
        </w:sectPr>
      </w:pP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240" w:lineRule="auto" w:before="49"/>
        <w:ind w:right="0"/>
        <w:jc w:val="left"/>
      </w:pPr>
      <w:r>
        <w:rPr/>
        <w:t>其他说明：</w:t>
      </w:r>
    </w:p>
    <w:p>
      <w:pPr>
        <w:spacing w:line="240" w:lineRule="auto" w:before="13"/>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32</w:t>
      </w:r>
      <w:r>
        <w:rPr/>
        <w:t>、短期借款</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r>
        <w:rPr/>
        <w:t>（</w:t>
      </w:r>
      <w:r>
        <w:rPr>
          <w:rFonts w:ascii="Times New Roman" w:hAnsi="Times New Roman" w:cs="Times New Roman" w:eastAsia="Times New Roman" w:hint="default"/>
        </w:rPr>
        <w:t>1</w:t>
      </w:r>
      <w:r>
        <w:rPr/>
        <w:t>）短期借款分类</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after="0" w:line="240" w:lineRule="auto"/>
        <w:jc w:val="center"/>
        <w:rPr>
          <w:rFonts w:ascii="宋体" w:hAnsi="宋体" w:cs="宋体" w:eastAsia="宋体" w:hint="default"/>
          <w:sz w:val="18"/>
          <w:szCs w:val="18"/>
        </w:rPr>
        <w:sectPr>
          <w:type w:val="continuous"/>
          <w:pgSz w:w="11910" w:h="16840"/>
          <w:pgMar w:top="1100" w:bottom="1200" w:left="1020" w:right="0"/>
        </w:sectPr>
      </w:pPr>
    </w:p>
    <w:p>
      <w:pPr>
        <w:spacing w:line="240" w:lineRule="auto" w:before="11"/>
        <w:rPr>
          <w:rFonts w:ascii="宋体" w:hAnsi="宋体" w:cs="宋体" w:eastAsia="宋体" w:hint="default"/>
          <w:sz w:val="22"/>
          <w:szCs w:val="22"/>
        </w:rPr>
      </w:pPr>
    </w:p>
    <w:p>
      <w:pPr>
        <w:pStyle w:val="BodyText"/>
        <w:spacing w:line="240" w:lineRule="auto" w:before="44"/>
        <w:ind w:right="0"/>
        <w:jc w:val="left"/>
      </w:pPr>
      <w:r>
        <w:rPr/>
        <w:t>短期借款分类的说明：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t>（</w:t>
      </w:r>
      <w:r>
        <w:rPr>
          <w:rFonts w:ascii="Times New Roman" w:hAnsi="Times New Roman" w:cs="Times New Roman" w:eastAsia="Times New Roman" w:hint="default"/>
        </w:rPr>
        <w:t>2</w:t>
      </w:r>
      <w:r>
        <w:rPr/>
        <w:t>）已逾期未偿还的短期借款情况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0"/>
        <w:jc w:val="left"/>
      </w:pPr>
      <w:r>
        <w:rPr/>
        <w:t>本期末已逾期未偿还的短期借款总额为元，其中重要的已逾期未偿还的短期借款情况如下：</w:t>
      </w:r>
    </w:p>
    <w:p>
      <w:pPr>
        <w:pStyle w:val="BodyText"/>
        <w:spacing w:line="240" w:lineRule="auto" w:before="116"/>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591" w:right="0"/>
              <w:jc w:val="left"/>
              <w:rPr>
                <w:rFonts w:ascii="宋体" w:hAnsi="宋体" w:cs="宋体" w:eastAsia="宋体" w:hint="default"/>
                <w:sz w:val="18"/>
                <w:szCs w:val="18"/>
              </w:rPr>
            </w:pPr>
            <w:r>
              <w:rPr>
                <w:rFonts w:ascii="宋体" w:hAnsi="宋体" w:cs="宋体" w:eastAsia="宋体" w:hint="default"/>
                <w:sz w:val="18"/>
                <w:szCs w:val="18"/>
              </w:rPr>
              <w:t>借款单位</w:t>
            </w:r>
          </w:p>
        </w:tc>
        <w:tc>
          <w:tcPr>
            <w:tcW w:w="1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593"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591" w:right="0"/>
              <w:jc w:val="left"/>
              <w:rPr>
                <w:rFonts w:ascii="宋体" w:hAnsi="宋体" w:cs="宋体" w:eastAsia="宋体" w:hint="default"/>
                <w:sz w:val="18"/>
                <w:szCs w:val="18"/>
              </w:rPr>
            </w:pPr>
            <w:r>
              <w:rPr>
                <w:rFonts w:ascii="宋体" w:hAnsi="宋体" w:cs="宋体" w:eastAsia="宋体" w:hint="default"/>
                <w:sz w:val="18"/>
                <w:szCs w:val="18"/>
              </w:rPr>
              <w:t>借款利率</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591" w:right="0"/>
              <w:jc w:val="left"/>
              <w:rPr>
                <w:rFonts w:ascii="宋体" w:hAnsi="宋体" w:cs="宋体" w:eastAsia="宋体" w:hint="default"/>
                <w:sz w:val="18"/>
                <w:szCs w:val="18"/>
              </w:rPr>
            </w:pPr>
            <w:r>
              <w:rPr>
                <w:rFonts w:ascii="宋体" w:hAnsi="宋体" w:cs="宋体" w:eastAsia="宋体" w:hint="default"/>
                <w:sz w:val="18"/>
                <w:szCs w:val="18"/>
              </w:rPr>
              <w:t>逾期时间</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591" w:right="0"/>
              <w:jc w:val="left"/>
              <w:rPr>
                <w:rFonts w:ascii="宋体" w:hAnsi="宋体" w:cs="宋体" w:eastAsia="宋体" w:hint="default"/>
                <w:sz w:val="18"/>
                <w:szCs w:val="18"/>
              </w:rPr>
            </w:pPr>
            <w:r>
              <w:rPr>
                <w:rFonts w:ascii="宋体" w:hAnsi="宋体" w:cs="宋体" w:eastAsia="宋体" w:hint="default"/>
                <w:sz w:val="18"/>
                <w:szCs w:val="18"/>
              </w:rPr>
              <w:t>逾期利率</w:t>
            </w:r>
          </w:p>
        </w:tc>
      </w:tr>
    </w:tbl>
    <w:p>
      <w:pPr>
        <w:pStyle w:val="BodyText"/>
        <w:spacing w:line="240" w:lineRule="auto" w:before="50"/>
        <w:ind w:right="0"/>
        <w:jc w:val="left"/>
      </w:pPr>
      <w:r>
        <w:rPr/>
        <w:t>其他说明：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33</w:t>
      </w:r>
      <w:r>
        <w:rPr/>
        <w:t>、交易性金融负债</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28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28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
        </w:tc>
      </w:tr>
    </w:tbl>
    <w:p>
      <w:pPr>
        <w:pStyle w:val="BodyText"/>
        <w:spacing w:line="240" w:lineRule="auto" w:before="49"/>
        <w:ind w:right="0"/>
        <w:jc w:val="left"/>
      </w:pPr>
      <w:r>
        <w:rPr/>
        <w:t>其他说明：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34</w:t>
      </w:r>
      <w:r>
        <w:rPr/>
        <w:t>、衍生金融负债</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240" w:lineRule="auto" w:before="49"/>
        <w:ind w:right="0"/>
        <w:jc w:val="left"/>
      </w:pPr>
      <w:r>
        <w:rPr/>
        <w:t>其他说明：</w:t>
      </w:r>
    </w:p>
    <w:p>
      <w:pPr>
        <w:spacing w:line="240" w:lineRule="auto" w:before="13"/>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35</w:t>
      </w:r>
      <w:r>
        <w:rPr/>
        <w:t>、应付票据</w:t>
      </w:r>
      <w:r>
        <w:rPr>
          <w:b w:val="0"/>
          <w:bCs w:val="0"/>
        </w:rPr>
      </w:r>
    </w:p>
    <w:p>
      <w:pPr>
        <w:spacing w:line="240" w:lineRule="auto" w:before="2"/>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种类</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240" w:lineRule="auto" w:before="50"/>
        <w:ind w:right="0"/>
        <w:jc w:val="left"/>
      </w:pPr>
      <w:r>
        <w:rPr/>
        <w:t>本期末已到期未支付的应付票据总额为元。</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36</w:t>
      </w:r>
      <w:r>
        <w:rPr/>
        <w:t>、应付账款</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t>（</w:t>
      </w:r>
      <w:r>
        <w:rPr>
          <w:rFonts w:ascii="Times New Roman" w:hAnsi="Times New Roman" w:cs="Times New Roman" w:eastAsia="Times New Roman" w:hint="default"/>
        </w:rPr>
        <w:t>1</w:t>
      </w:r>
      <w:r>
        <w:rPr/>
        <w:t>）应付账款列示</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材料及服务类款项</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214,497,601.90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175,651,706.21</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设备款项</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2,688,615.67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3,453,030.41</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217,186,217.57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179,104,736.62</w:t>
            </w:r>
          </w:p>
        </w:tc>
      </w:tr>
    </w:tbl>
    <w:p>
      <w:pPr>
        <w:spacing w:after="0" w:line="240" w:lineRule="auto"/>
        <w:jc w:val="right"/>
        <w:rPr>
          <w:rFonts w:ascii="Times New Roman" w:hAnsi="Times New Roman" w:cs="Times New Roman" w:eastAsia="Times New Roman" w:hint="default"/>
          <w:sz w:val="18"/>
          <w:szCs w:val="18"/>
        </w:rPr>
        <w:sectPr>
          <w:pgSz w:w="11910" w:h="16840"/>
          <w:pgMar w:header="906" w:footer="1018" w:top="1100" w:bottom="1200" w:left="1020" w:right="0"/>
        </w:sectPr>
      </w:pPr>
    </w:p>
    <w:p>
      <w:pPr>
        <w:spacing w:line="240" w:lineRule="auto" w:before="9"/>
        <w:rPr>
          <w:rFonts w:ascii="宋体" w:hAnsi="宋体" w:cs="宋体" w:eastAsia="宋体" w:hint="default"/>
          <w:sz w:val="21"/>
          <w:szCs w:val="21"/>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2</w:t>
      </w:r>
      <w:r>
        <w:rPr/>
        <w:t>）账龄超过</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3"/>
        </w:rPr>
        <w:t> </w:t>
      </w:r>
      <w:r>
        <w:rPr/>
        <w:t>年的重要应付账款</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778"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bl>
    <w:p>
      <w:pPr>
        <w:pStyle w:val="BodyText"/>
        <w:spacing w:line="240" w:lineRule="auto" w:before="49"/>
        <w:ind w:right="0"/>
        <w:jc w:val="left"/>
      </w:pPr>
      <w:r>
        <w:rPr/>
        <w:t>其他说明：</w:t>
      </w:r>
    </w:p>
    <w:p>
      <w:pPr>
        <w:spacing w:line="240" w:lineRule="auto" w:before="13"/>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37</w:t>
      </w:r>
      <w:r>
        <w:rPr/>
        <w:t>、预收款项</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是否已执行新收入准则</w:t>
      </w:r>
    </w:p>
    <w:p>
      <w:pPr>
        <w:pStyle w:val="BodyText"/>
        <w:spacing w:line="240" w:lineRule="auto" w:before="116"/>
        <w:ind w:right="0"/>
        <w:jc w:val="left"/>
      </w:pPr>
      <w:r>
        <w:rPr/>
        <w:t>□ 是 √ 否</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t>（</w:t>
      </w:r>
      <w:r>
        <w:rPr>
          <w:rFonts w:ascii="Times New Roman" w:hAnsi="Times New Roman" w:cs="Times New Roman" w:eastAsia="Times New Roman" w:hint="default"/>
        </w:rPr>
        <w:t>1</w:t>
      </w:r>
      <w:r>
        <w:rPr/>
        <w:t>）预收款项列示</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预收特种物联网业务款项</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28,004,650.00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16,892,025.00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预收其他货款</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31,690,971.54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26,546,811.07</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59,695,621.54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43,438,836.07</w:t>
            </w:r>
          </w:p>
        </w:tc>
      </w:tr>
    </w:tbl>
    <w:p>
      <w:pPr>
        <w:spacing w:line="240" w:lineRule="auto" w:before="1"/>
        <w:rPr>
          <w:rFonts w:ascii="宋体" w:hAnsi="宋体" w:cs="宋体" w:eastAsia="宋体" w:hint="default"/>
          <w:sz w:val="19"/>
          <w:szCs w:val="19"/>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2</w:t>
      </w:r>
      <w:r>
        <w:rPr/>
        <w:t>）账龄超过</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3"/>
        </w:rPr>
        <w:t> </w:t>
      </w:r>
      <w:r>
        <w:rPr/>
        <w:t>年的重要预收款项</w:t>
      </w:r>
      <w:r>
        <w:rPr>
          <w:b w:val="0"/>
          <w:bCs w:val="0"/>
        </w:rPr>
      </w:r>
    </w:p>
    <w:p>
      <w:pPr>
        <w:spacing w:line="240" w:lineRule="auto" w:before="2"/>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778"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bl>
    <w:p>
      <w:pPr>
        <w:spacing w:line="240" w:lineRule="auto" w:before="3"/>
        <w:rPr>
          <w:rFonts w:ascii="宋体" w:hAnsi="宋体" w:cs="宋体" w:eastAsia="宋体" w:hint="default"/>
          <w:sz w:val="19"/>
          <w:szCs w:val="19"/>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3</w:t>
      </w:r>
      <w:r>
        <w:rPr/>
        <w:t>）期末建造合同形成的已结算未完工项目情况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11"/>
        <w:rPr>
          <w:rFonts w:ascii="宋体" w:hAnsi="宋体" w:cs="宋体" w:eastAsia="宋体" w:hint="default"/>
          <w:sz w:val="7"/>
          <w:szCs w:val="7"/>
        </w:rPr>
      </w:pPr>
    </w:p>
    <w:p>
      <w:pPr>
        <w:spacing w:line="416" w:lineRule="exact"/>
        <w:ind w:left="104"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9.35pt;height:20.85pt;mso-position-horizontal-relative:char;mso-position-vertical-relative:line" coordorigin="0,0" coordsize="9587,417">
            <v:group style="position:absolute;left:13;top:13;width:4770;height:393" coordorigin="13,13" coordsize="4770,393">
              <v:shape style="position:absolute;left:13;top:13;width:4770;height:393" coordorigin="13,13" coordsize="4770,393" path="m13,13l4783,13,4783,406,13,406,13,13xe" filled="true" fillcolor="#d3d3d3" stroked="false">
                <v:path arrowok="t"/>
                <v:fill type="solid"/>
              </v:shape>
            </v:group>
            <v:group style="position:absolute;left:4792;top:13;width:4781;height:393" coordorigin="4792,13" coordsize="4781,393">
              <v:shape style="position:absolute;left:4792;top:13;width:4781;height:393" coordorigin="4792,13" coordsize="4781,393" path="m4792,13l9572,13,9572,406,4792,406,4792,13xe" filled="true" fillcolor="#d3d3d3" stroked="false">
                <v:path arrowok="t"/>
                <v:fill type="solid"/>
              </v:shape>
            </v:group>
            <v:group style="position:absolute;left:5;top:10;width:9578;height:2" coordorigin="5,10" coordsize="9578,2">
              <v:shape style="position:absolute;left:5;top:10;width:9578;height:2" coordorigin="5,10" coordsize="9578,0" path="m5,10l9582,10e" filled="false" stroked="true" strokeweight=".48pt" strokecolor="#000000">
                <v:path arrowok="t"/>
              </v:shape>
            </v:group>
            <v:group style="position:absolute;left:5;top:412;width:9578;height:2" coordorigin="5,412" coordsize="9578,2">
              <v:shape style="position:absolute;left:5;top:412;width:9578;height:2" coordorigin="5,412" coordsize="9578,0" path="m5,412l9582,412e" filled="false" stroked="true" strokeweight=".48pt" strokecolor="#000000">
                <v:path arrowok="t"/>
              </v:shape>
            </v:group>
            <v:group style="position:absolute;left:10;top:5;width:2;height:402" coordorigin="10,5" coordsize="2,402">
              <v:shape style="position:absolute;left:10;top:5;width:2;height:402" coordorigin="10,5" coordsize="0,402" path="m10,5l10,407e" filled="false" stroked="true" strokeweight=".48pt" strokecolor="#000000">
                <v:path arrowok="t"/>
              </v:shape>
            </v:group>
            <v:group style="position:absolute;left:4789;top:5;width:2;height:402" coordorigin="4789,5" coordsize="2,402">
              <v:shape style="position:absolute;left:4789;top:5;width:2;height:402" coordorigin="4789,5" coordsize="0,402" path="m4789,5l4789,407e" filled="false" stroked="true" strokeweight=".48pt" strokecolor="#000000">
                <v:path arrowok="t"/>
              </v:shape>
            </v:group>
            <v:group style="position:absolute;left:9577;top:5;width:2;height:402" coordorigin="9577,5" coordsize="2,402">
              <v:shape style="position:absolute;left:9577;top:5;width:2;height:402" coordorigin="9577,5" coordsize="0,402" path="m9577,5l9577,407e" filled="false" stroked="true" strokeweight=".48pt" strokecolor="#000000">
                <v:path arrowok="t"/>
              </v:shape>
              <v:shape style="position:absolute;left:2218;top:11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7002;top:11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group>
          </v:group>
        </w:pict>
      </w:r>
      <w:r>
        <w:rPr>
          <w:rFonts w:ascii="宋体" w:hAnsi="宋体" w:cs="宋体" w:eastAsia="宋体" w:hint="default"/>
          <w:position w:val="-7"/>
          <w:sz w:val="20"/>
          <w:szCs w:val="20"/>
        </w:rPr>
      </w:r>
    </w:p>
    <w:p>
      <w:pPr>
        <w:pStyle w:val="BodyText"/>
        <w:spacing w:line="240" w:lineRule="auto" w:before="49"/>
        <w:ind w:right="0"/>
        <w:jc w:val="left"/>
      </w:pPr>
      <w:r>
        <w:rPr/>
        <w:t>其他说明：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38</w:t>
      </w:r>
      <w:r>
        <w:rPr/>
        <w:t>、合同负债</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1"/>
        <w:gridCol w:w="3191"/>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240" w:lineRule="auto" w:before="49"/>
        <w:ind w:right="0"/>
        <w:jc w:val="left"/>
      </w:pPr>
      <w:r>
        <w:rPr/>
        <w:t>报告期内账面价值发生重大变动的金额和原因</w:t>
      </w:r>
    </w:p>
    <w:p>
      <w:pPr>
        <w:pStyle w:val="BodyText"/>
        <w:spacing w:line="240" w:lineRule="auto" w:before="116"/>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205"/>
        <w:gridCol w:w="2419"/>
        <w:gridCol w:w="4944"/>
      </w:tblGrid>
      <w:tr>
        <w:trPr>
          <w:trHeight w:val="402" w:hRule="exact"/>
        </w:trPr>
        <w:tc>
          <w:tcPr>
            <w:tcW w:w="220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41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变动金额</w:t>
            </w:r>
          </w:p>
        </w:tc>
        <w:tc>
          <w:tcPr>
            <w:tcW w:w="494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变动原因</w:t>
            </w:r>
          </w:p>
        </w:tc>
      </w:tr>
    </w:tbl>
    <w:p>
      <w:pPr>
        <w:spacing w:after="0" w:line="240" w:lineRule="auto"/>
        <w:jc w:val="center"/>
        <w:rPr>
          <w:rFonts w:ascii="宋体" w:hAnsi="宋体" w:cs="宋体" w:eastAsia="宋体" w:hint="default"/>
          <w:sz w:val="18"/>
          <w:szCs w:val="18"/>
        </w:rPr>
        <w:sectPr>
          <w:pgSz w:w="11910" w:h="16840"/>
          <w:pgMar w:header="906" w:footer="1018" w:top="1100" w:bottom="1200" w:left="1020" w:right="0"/>
        </w:sectPr>
      </w:pPr>
    </w:p>
    <w:p>
      <w:pPr>
        <w:spacing w:line="240" w:lineRule="auto" w:before="9"/>
        <w:rPr>
          <w:rFonts w:ascii="宋体" w:hAnsi="宋体" w:cs="宋体" w:eastAsia="宋体" w:hint="default"/>
          <w:sz w:val="21"/>
          <w:szCs w:val="21"/>
        </w:rPr>
      </w:pPr>
    </w:p>
    <w:p>
      <w:pPr>
        <w:pStyle w:val="Heading3"/>
        <w:spacing w:line="240" w:lineRule="auto" w:before="35"/>
        <w:ind w:right="0"/>
        <w:jc w:val="left"/>
        <w:rPr>
          <w:b w:val="0"/>
          <w:bCs w:val="0"/>
        </w:rPr>
      </w:pPr>
      <w:r>
        <w:rPr>
          <w:rFonts w:ascii="Times New Roman" w:hAnsi="Times New Roman" w:cs="Times New Roman" w:eastAsia="Times New Roman" w:hint="default"/>
        </w:rPr>
        <w:t>39</w:t>
      </w:r>
      <w:r>
        <w:rPr/>
        <w:t>、应付职工薪酬</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t>（</w:t>
      </w:r>
      <w:r>
        <w:rPr>
          <w:rFonts w:ascii="Times New Roman" w:hAnsi="Times New Roman" w:cs="Times New Roman" w:eastAsia="Times New Roman" w:hint="default"/>
        </w:rPr>
        <w:t>1</w:t>
      </w:r>
      <w:r>
        <w:rPr/>
        <w:t>）应付职工薪酬列示</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1"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59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3"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一、短期薪酬</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4,186,034.33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202,261,532.76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201,716,064.07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4,731,503.02</w:t>
            </w: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49"/>
              <w:ind w:left="102" w:right="117"/>
              <w:jc w:val="left"/>
              <w:rPr>
                <w:rFonts w:ascii="宋体" w:hAnsi="宋体" w:cs="宋体" w:eastAsia="宋体" w:hint="default"/>
                <w:sz w:val="18"/>
                <w:szCs w:val="18"/>
              </w:rPr>
            </w:pPr>
            <w:r>
              <w:rPr>
                <w:rFonts w:ascii="宋体" w:hAnsi="宋体" w:cs="宋体" w:eastAsia="宋体" w:hint="default"/>
                <w:sz w:val="18"/>
                <w:szCs w:val="18"/>
              </w:rPr>
              <w:t>二、离职后福利</w:t>
            </w:r>
            <w:r>
              <w:rPr>
                <w:rFonts w:ascii="Times New Roman" w:hAnsi="Times New Roman" w:cs="Times New Roman" w:eastAsia="Times New Roman" w:hint="default"/>
                <w:sz w:val="18"/>
                <w:szCs w:val="18"/>
              </w:rPr>
              <w:t>-</w:t>
            </w:r>
            <w:r>
              <w:rPr>
                <w:rFonts w:ascii="宋体" w:hAnsi="宋体" w:cs="宋体" w:eastAsia="宋体" w:hint="default"/>
                <w:sz w:val="18"/>
                <w:szCs w:val="18"/>
              </w:rPr>
              <w:t>设定 提存计划</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89,054.79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11,526,106.33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2"/>
                <w:sz w:val="18"/>
              </w:rPr>
              <w:t>11,511,099.37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104,061.75</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三、辞退福利</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83,500.00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83,500.00</w:t>
            </w: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4,275,089.12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213,871,139.09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213,310,663.44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4,835,564.77</w:t>
            </w:r>
          </w:p>
        </w:tc>
      </w:tr>
    </w:tbl>
    <w:p>
      <w:pPr>
        <w:spacing w:line="240" w:lineRule="auto" w:before="1"/>
        <w:rPr>
          <w:rFonts w:ascii="宋体" w:hAnsi="宋体" w:cs="宋体" w:eastAsia="宋体" w:hint="default"/>
          <w:sz w:val="19"/>
          <w:szCs w:val="19"/>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2</w:t>
      </w:r>
      <w:r>
        <w:rPr/>
        <w:t>）短期薪酬列示</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1"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59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715"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49"/>
              <w:ind w:left="102" w:right="101"/>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、工资、奖金、津贴</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和补贴</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4,141,836.59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183,670,750.87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183,128,993.37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4,683,594.09</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、职工福利费</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1,357,337.57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1,357,337.57</w:t>
            </w: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、社会保险费</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6,272,825.35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6,272,357.52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467.83</w:t>
            </w: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其中：医疗保险</w:t>
            </w:r>
          </w:p>
          <w:p>
            <w:pPr>
              <w:pStyle w:val="TableParagraph"/>
              <w:spacing w:line="240" w:lineRule="auto" w:before="76"/>
              <w:ind w:left="102" w:right="0"/>
              <w:jc w:val="left"/>
              <w:rPr>
                <w:rFonts w:ascii="宋体" w:hAnsi="宋体" w:cs="宋体" w:eastAsia="宋体" w:hint="default"/>
                <w:sz w:val="18"/>
                <w:szCs w:val="18"/>
              </w:rPr>
            </w:pPr>
            <w:r>
              <w:rPr>
                <w:rFonts w:ascii="宋体" w:hAnsi="宋体" w:cs="宋体" w:eastAsia="宋体" w:hint="default"/>
                <w:sz w:val="18"/>
                <w:szCs w:val="18"/>
              </w:rPr>
              <w:t>费</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5,643,563.78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5,643,095.95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467.83</w:t>
            </w: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02" w:right="0"/>
              <w:jc w:val="left"/>
              <w:rPr>
                <w:rFonts w:ascii="宋体" w:hAnsi="宋体" w:cs="宋体" w:eastAsia="宋体" w:hint="default"/>
                <w:sz w:val="18"/>
                <w:szCs w:val="18"/>
              </w:rPr>
            </w:pPr>
            <w:r>
              <w:rPr>
                <w:rFonts w:ascii="宋体" w:hAnsi="宋体" w:cs="宋体" w:eastAsia="宋体" w:hint="default"/>
                <w:sz w:val="18"/>
                <w:szCs w:val="18"/>
              </w:rPr>
              <w:t>工伤保险</w:t>
            </w:r>
          </w:p>
          <w:p>
            <w:pPr>
              <w:pStyle w:val="TableParagraph"/>
              <w:spacing w:line="240" w:lineRule="auto" w:before="76"/>
              <w:ind w:left="102" w:right="0"/>
              <w:jc w:val="left"/>
              <w:rPr>
                <w:rFonts w:ascii="宋体" w:hAnsi="宋体" w:cs="宋体" w:eastAsia="宋体" w:hint="default"/>
                <w:sz w:val="18"/>
                <w:szCs w:val="18"/>
              </w:rPr>
            </w:pPr>
            <w:r>
              <w:rPr>
                <w:rFonts w:ascii="宋体" w:hAnsi="宋体" w:cs="宋体" w:eastAsia="宋体" w:hint="default"/>
                <w:sz w:val="18"/>
                <w:szCs w:val="18"/>
              </w:rPr>
              <w:t>费</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257,157.48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257,157.48</w:t>
            </w: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02" w:right="0"/>
              <w:jc w:val="left"/>
              <w:rPr>
                <w:rFonts w:ascii="宋体" w:hAnsi="宋体" w:cs="宋体" w:eastAsia="宋体" w:hint="default"/>
                <w:sz w:val="18"/>
                <w:szCs w:val="18"/>
              </w:rPr>
            </w:pPr>
            <w:r>
              <w:rPr>
                <w:rFonts w:ascii="宋体" w:hAnsi="宋体" w:cs="宋体" w:eastAsia="宋体" w:hint="default"/>
                <w:sz w:val="18"/>
                <w:szCs w:val="18"/>
              </w:rPr>
              <w:t>生育保险</w:t>
            </w:r>
          </w:p>
          <w:p>
            <w:pPr>
              <w:pStyle w:val="TableParagraph"/>
              <w:spacing w:line="240" w:lineRule="auto" w:before="76"/>
              <w:ind w:left="102" w:right="0"/>
              <w:jc w:val="left"/>
              <w:rPr>
                <w:rFonts w:ascii="宋体" w:hAnsi="宋体" w:cs="宋体" w:eastAsia="宋体" w:hint="default"/>
                <w:sz w:val="18"/>
                <w:szCs w:val="18"/>
              </w:rPr>
            </w:pPr>
            <w:r>
              <w:rPr>
                <w:rFonts w:ascii="宋体" w:hAnsi="宋体" w:cs="宋体" w:eastAsia="宋体" w:hint="default"/>
                <w:sz w:val="18"/>
                <w:szCs w:val="18"/>
              </w:rPr>
              <w:t>费</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372,104.09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372,104.09</w:t>
            </w: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、住房公积金</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9,725,459.58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9,723,734.58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1,725.00</w:t>
            </w: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49"/>
              <w:ind w:left="102" w:right="101"/>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5</w:t>
            </w:r>
            <w:r>
              <w:rPr>
                <w:rFonts w:ascii="宋体" w:hAnsi="宋体" w:cs="宋体" w:eastAsia="宋体" w:hint="default"/>
                <w:spacing w:val="-2"/>
                <w:sz w:val="18"/>
                <w:szCs w:val="18"/>
              </w:rPr>
              <w:t>、工会经费和职工教</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育经费</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44,197.74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386,865.39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385,347.03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45,716.10</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8</w:t>
            </w:r>
            <w:r>
              <w:rPr>
                <w:rFonts w:ascii="宋体" w:hAnsi="宋体" w:cs="宋体" w:eastAsia="宋体" w:hint="default"/>
                <w:sz w:val="18"/>
                <w:szCs w:val="18"/>
              </w:rPr>
              <w:t>、补充医疗保险</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848,294.00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848,294.00</w:t>
            </w: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4,186,034.33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202,261,532.76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201,716,064.07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4,731,503.02</w:t>
            </w:r>
          </w:p>
        </w:tc>
      </w:tr>
    </w:tbl>
    <w:p>
      <w:pPr>
        <w:spacing w:line="240" w:lineRule="auto" w:before="1"/>
        <w:rPr>
          <w:rFonts w:ascii="宋体" w:hAnsi="宋体" w:cs="宋体" w:eastAsia="宋体" w:hint="default"/>
          <w:sz w:val="19"/>
          <w:szCs w:val="19"/>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3</w:t>
      </w:r>
      <w:r>
        <w:rPr/>
        <w:t>）设定提存计划列示</w:t>
      </w:r>
      <w:r>
        <w:rPr>
          <w:b w:val="0"/>
          <w:bCs w:val="0"/>
        </w:rPr>
      </w:r>
    </w:p>
    <w:p>
      <w:pPr>
        <w:spacing w:line="240" w:lineRule="auto" w:before="2"/>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59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、基本养老保险</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82" w:right="0"/>
              <w:jc w:val="left"/>
              <w:rPr>
                <w:rFonts w:ascii="Times New Roman" w:hAnsi="Times New Roman" w:cs="Times New Roman" w:eastAsia="Times New Roman" w:hint="default"/>
                <w:sz w:val="18"/>
                <w:szCs w:val="18"/>
              </w:rPr>
            </w:pPr>
            <w:r>
              <w:rPr>
                <w:rFonts w:ascii="Times New Roman"/>
                <w:sz w:val="18"/>
              </w:rPr>
              <w:t>89,054.79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11,171,368.46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11,156,361.50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90" w:right="0"/>
              <w:jc w:val="left"/>
              <w:rPr>
                <w:rFonts w:ascii="Times New Roman" w:hAnsi="Times New Roman" w:cs="Times New Roman" w:eastAsia="Times New Roman" w:hint="default"/>
                <w:sz w:val="18"/>
                <w:szCs w:val="18"/>
              </w:rPr>
            </w:pPr>
            <w:r>
              <w:rPr>
                <w:rFonts w:ascii="Times New Roman"/>
                <w:sz w:val="18"/>
              </w:rPr>
              <w:t>104,061.75</w:t>
            </w:r>
          </w:p>
        </w:tc>
      </w:tr>
      <w:tr>
        <w:trPr>
          <w:trHeight w:val="401"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、失业保险费</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354,737.87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354,737.87</w:t>
            </w:r>
          </w:p>
        </w:tc>
        <w:tc>
          <w:tcPr>
            <w:tcW w:w="191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6" w:footer="1018" w:top="1100" w:bottom="1200" w:left="1020" w:right="0"/>
        </w:sectPr>
      </w:pPr>
    </w:p>
    <w:p>
      <w:pPr>
        <w:spacing w:line="240" w:lineRule="auto" w:before="7"/>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82" w:right="0"/>
              <w:jc w:val="left"/>
              <w:rPr>
                <w:rFonts w:ascii="Times New Roman" w:hAnsi="Times New Roman" w:cs="Times New Roman" w:eastAsia="Times New Roman" w:hint="default"/>
                <w:sz w:val="18"/>
                <w:szCs w:val="18"/>
              </w:rPr>
            </w:pPr>
            <w:r>
              <w:rPr>
                <w:rFonts w:ascii="Times New Roman"/>
                <w:sz w:val="18"/>
              </w:rPr>
              <w:t>89,054.79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72" w:right="0"/>
              <w:jc w:val="left"/>
              <w:rPr>
                <w:rFonts w:ascii="Times New Roman" w:hAnsi="Times New Roman" w:cs="Times New Roman" w:eastAsia="Times New Roman" w:hint="default"/>
                <w:sz w:val="18"/>
                <w:szCs w:val="18"/>
              </w:rPr>
            </w:pPr>
            <w:r>
              <w:rPr>
                <w:rFonts w:ascii="Times New Roman"/>
                <w:sz w:val="18"/>
              </w:rPr>
              <w:t>11,526,106.33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80" w:right="0"/>
              <w:jc w:val="left"/>
              <w:rPr>
                <w:rFonts w:ascii="Times New Roman" w:hAnsi="Times New Roman" w:cs="Times New Roman" w:eastAsia="Times New Roman" w:hint="default"/>
                <w:sz w:val="18"/>
                <w:szCs w:val="18"/>
              </w:rPr>
            </w:pPr>
            <w:r>
              <w:rPr>
                <w:rFonts w:ascii="Times New Roman"/>
                <w:sz w:val="18"/>
              </w:rPr>
              <w:t>11,511,099.37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90" w:right="0"/>
              <w:jc w:val="left"/>
              <w:rPr>
                <w:rFonts w:ascii="Times New Roman" w:hAnsi="Times New Roman" w:cs="Times New Roman" w:eastAsia="Times New Roman" w:hint="default"/>
                <w:sz w:val="18"/>
                <w:szCs w:val="18"/>
              </w:rPr>
            </w:pPr>
            <w:r>
              <w:rPr>
                <w:rFonts w:ascii="Times New Roman"/>
                <w:sz w:val="18"/>
              </w:rPr>
              <w:t>104,061.75</w:t>
            </w:r>
          </w:p>
        </w:tc>
      </w:tr>
    </w:tbl>
    <w:p>
      <w:pPr>
        <w:pStyle w:val="BodyText"/>
        <w:spacing w:line="240" w:lineRule="auto" w:before="50"/>
        <w:ind w:right="0"/>
        <w:jc w:val="left"/>
      </w:pPr>
      <w:r>
        <w:rPr/>
        <w:t>其他说明：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40</w:t>
      </w:r>
      <w:r>
        <w:rPr/>
        <w:t>、应交税费</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4,801,538.74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3,407,908.64</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5,300,152.84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1,468,230.69</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个人所得税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1,254,202.70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428,787.73</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369,732.20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268,084.83</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264,094.44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191,489.17</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房产税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254,153.03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302,912.07</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土地使用税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116,125.00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116,125.00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印花税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112,687.00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132,372.20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6,640.44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7,938.31</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12,479,326.39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6,323,848.64</w:t>
            </w:r>
          </w:p>
        </w:tc>
      </w:tr>
    </w:tbl>
    <w:p>
      <w:pPr>
        <w:pStyle w:val="BodyText"/>
        <w:spacing w:line="240" w:lineRule="auto" w:before="50"/>
        <w:ind w:right="0"/>
        <w:jc w:val="left"/>
      </w:pPr>
      <w:r>
        <w:rPr/>
        <w:t>其他说明：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41</w:t>
      </w:r>
      <w:r>
        <w:rPr/>
        <w:t>、其他应付款</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22,780,263.36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16,939,453.26</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22,780,263.36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16,939,453.26</w:t>
            </w:r>
          </w:p>
        </w:tc>
      </w:tr>
    </w:tbl>
    <w:p>
      <w:pPr>
        <w:spacing w:line="240" w:lineRule="auto" w:before="1"/>
        <w:rPr>
          <w:rFonts w:ascii="宋体" w:hAnsi="宋体" w:cs="宋体" w:eastAsia="宋体" w:hint="default"/>
          <w:sz w:val="19"/>
          <w:szCs w:val="19"/>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1</w:t>
      </w:r>
      <w:r>
        <w:rPr/>
        <w:t>）应付利息</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240" w:lineRule="auto" w:before="49"/>
        <w:ind w:right="0"/>
        <w:jc w:val="left"/>
      </w:pPr>
      <w:r>
        <w:rPr/>
        <w:t>重要的已逾期未支付的利息情况：</w:t>
      </w:r>
    </w:p>
    <w:p>
      <w:pPr>
        <w:pStyle w:val="BodyText"/>
        <w:spacing w:line="240" w:lineRule="auto" w:before="116"/>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借款单位</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逾期金额</w:t>
            </w:r>
          </w:p>
        </w:tc>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逾期原因</w:t>
            </w:r>
          </w:p>
        </w:tc>
      </w:tr>
    </w:tbl>
    <w:p>
      <w:pPr>
        <w:pStyle w:val="BodyText"/>
        <w:spacing w:line="240" w:lineRule="auto" w:before="49"/>
        <w:ind w:right="0"/>
        <w:jc w:val="left"/>
      </w:pPr>
      <w:r>
        <w:rPr/>
        <w:t>其他说明：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t>（</w:t>
      </w:r>
      <w:r>
        <w:rPr>
          <w:rFonts w:ascii="Times New Roman" w:hAnsi="Times New Roman" w:cs="Times New Roman" w:eastAsia="Times New Roman" w:hint="default"/>
        </w:rPr>
        <w:t>2</w:t>
      </w:r>
      <w:r>
        <w:rPr/>
        <w:t>）应付股利</w:t>
      </w:r>
      <w:r>
        <w:rPr>
          <w:b w:val="0"/>
          <w:bCs w:val="0"/>
        </w:rPr>
      </w:r>
    </w:p>
    <w:p>
      <w:pPr>
        <w:spacing w:line="240" w:lineRule="auto" w:before="2"/>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after="0" w:line="240" w:lineRule="auto"/>
        <w:jc w:val="right"/>
        <w:sectPr>
          <w:pgSz w:w="11910" w:h="16840"/>
          <w:pgMar w:header="906" w:footer="1018" w:top="1100" w:bottom="1200" w:left="1020" w:right="0"/>
        </w:sectPr>
      </w:pPr>
    </w:p>
    <w:p>
      <w:pPr>
        <w:spacing w:line="240" w:lineRule="auto" w:before="7"/>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240" w:lineRule="auto" w:before="50"/>
        <w:ind w:right="0"/>
        <w:jc w:val="left"/>
      </w:pPr>
      <w:r>
        <w:rPr/>
        <w:t>其他说明，包括重要的超过</w:t>
      </w:r>
      <w:r>
        <w:rPr>
          <w:spacing w:val="-46"/>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年未支付的应付股利，应披露未支付原因：</w:t>
      </w:r>
    </w:p>
    <w:p>
      <w:pPr>
        <w:spacing w:line="240" w:lineRule="auto" w:before="11"/>
        <w:rPr>
          <w:rFonts w:ascii="宋体" w:hAnsi="宋体" w:cs="宋体" w:eastAsia="宋体" w:hint="default"/>
          <w:sz w:val="25"/>
          <w:szCs w:val="25"/>
        </w:rPr>
      </w:pPr>
    </w:p>
    <w:p>
      <w:pPr>
        <w:pStyle w:val="Heading3"/>
        <w:spacing w:line="240" w:lineRule="auto"/>
        <w:ind w:right="0"/>
        <w:jc w:val="left"/>
        <w:rPr>
          <w:b w:val="0"/>
          <w:bCs w:val="0"/>
        </w:rPr>
      </w:pPr>
      <w:r>
        <w:rPr/>
        <w:t>（</w:t>
      </w:r>
      <w:r>
        <w:rPr>
          <w:rFonts w:ascii="Times New Roman" w:hAnsi="Times New Roman" w:cs="Times New Roman" w:eastAsia="Times New Roman" w:hint="default"/>
        </w:rPr>
        <w:t>3</w:t>
      </w:r>
      <w:r>
        <w:rPr/>
        <w:t>）其他应付款</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rFonts w:ascii="Times New Roman" w:hAnsi="Times New Roman" w:cs="Times New Roman" w:eastAsia="Times New Roman" w:hint="default"/>
        </w:rPr>
        <w:t>1</w:t>
      </w:r>
      <w:r>
        <w:rPr/>
        <w:t>）按款项性质列示其他应付款</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预提成本费用款项</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21,167,690.16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12,988,556.39</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押金及保证金</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1,155,150.00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3,689,500.00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应付暂收款项</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366,000.00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245,928.87</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91,423.20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15,468.00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22,780,263.36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16,939,453.26</w:t>
            </w:r>
          </w:p>
        </w:tc>
      </w:tr>
    </w:tbl>
    <w:p>
      <w:pPr>
        <w:spacing w:line="240" w:lineRule="auto" w:before="1"/>
        <w:rPr>
          <w:rFonts w:ascii="宋体" w:hAnsi="宋体" w:cs="宋体" w:eastAsia="宋体" w:hint="default"/>
          <w:sz w:val="19"/>
          <w:szCs w:val="19"/>
        </w:rPr>
      </w:pPr>
    </w:p>
    <w:p>
      <w:pPr>
        <w:pStyle w:val="Heading3"/>
        <w:spacing w:line="240" w:lineRule="auto" w:before="35"/>
        <w:ind w:right="0"/>
        <w:jc w:val="left"/>
        <w:rPr>
          <w:b w:val="0"/>
          <w:bCs w:val="0"/>
        </w:rPr>
      </w:pPr>
      <w:r>
        <w:rPr>
          <w:rFonts w:ascii="Times New Roman" w:hAnsi="Times New Roman" w:cs="Times New Roman" w:eastAsia="Times New Roman" w:hint="default"/>
        </w:rPr>
        <w:t>2</w:t>
      </w:r>
      <w:r>
        <w:rPr/>
        <w:t>）账龄超过</w:t>
      </w:r>
      <w:r>
        <w:rPr>
          <w:spacing w:val="-56"/>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年的重要其他应付款</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778"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8,011,207.56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未到结算期</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8,011,207.56</w:t>
            </w:r>
          </w:p>
        </w:tc>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0"/>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49"/>
        <w:ind w:right="0"/>
        <w:jc w:val="left"/>
      </w:pPr>
      <w:r>
        <w:rPr/>
        <w:t>其他说明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42</w:t>
      </w:r>
      <w:r>
        <w:rPr/>
        <w:t>、持有待售负债</w:t>
      </w:r>
      <w:r>
        <w:rPr>
          <w:b w:val="0"/>
          <w:bCs w:val="0"/>
        </w:rPr>
      </w:r>
    </w:p>
    <w:p>
      <w:pPr>
        <w:spacing w:line="240" w:lineRule="auto" w:before="2"/>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240" w:lineRule="auto" w:before="50"/>
        <w:ind w:right="0"/>
        <w:jc w:val="left"/>
      </w:pPr>
      <w:r>
        <w:rPr/>
        <w:t>其他说明：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43</w:t>
      </w:r>
      <w:r>
        <w:rPr/>
        <w:t>、一年内到期的非流动负债</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240" w:lineRule="auto" w:before="49"/>
        <w:ind w:right="0"/>
        <w:jc w:val="left"/>
      </w:pPr>
      <w:r>
        <w:rPr/>
        <w:t>其他说明：</w:t>
      </w:r>
    </w:p>
    <w:p>
      <w:pPr>
        <w:spacing w:line="240" w:lineRule="auto" w:before="13"/>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44</w:t>
      </w:r>
      <w:r>
        <w:rPr/>
        <w:t>、其他流动负债</w:t>
      </w:r>
      <w:r>
        <w:rPr>
          <w:b w:val="0"/>
          <w:bCs w:val="0"/>
        </w:rPr>
      </w:r>
    </w:p>
    <w:p>
      <w:pPr>
        <w:spacing w:line="240" w:lineRule="auto" w:before="1"/>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906" w:footer="1018" w:top="1100" w:bottom="1200" w:left="1020" w:right="0"/>
        </w:sectPr>
      </w:pPr>
    </w:p>
    <w:p>
      <w:pPr>
        <w:pStyle w:val="BodyText"/>
        <w:spacing w:line="240" w:lineRule="auto" w:before="44"/>
        <w:ind w:right="-20"/>
        <w:jc w:val="left"/>
      </w:pPr>
      <w:r>
        <w:rPr/>
        <w:t>是否已执行新收入准则</w:t>
      </w:r>
    </w:p>
    <w:p>
      <w:pPr>
        <w:pStyle w:val="BodyText"/>
        <w:spacing w:line="240" w:lineRule="auto" w:before="116"/>
        <w:ind w:right="-20"/>
        <w:jc w:val="left"/>
      </w:pPr>
      <w:r>
        <w:rPr/>
        <w:t>□ 是 √ 否</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pStyle w:val="BodyText"/>
        <w:spacing w:line="240" w:lineRule="auto"/>
        <w:ind w:right="0"/>
        <w:jc w:val="left"/>
      </w:pPr>
      <w:r>
        <w:rPr/>
        <w:t>单位：</w:t>
      </w:r>
      <w:r>
        <w:rPr>
          <w:spacing w:val="-1"/>
        </w:rPr>
        <w:t> </w:t>
      </w:r>
      <w:r>
        <w:rPr/>
        <w:t>元</w:t>
      </w:r>
    </w:p>
    <w:p>
      <w:pPr>
        <w:spacing w:after="0" w:line="240" w:lineRule="auto"/>
        <w:jc w:val="left"/>
        <w:sectPr>
          <w:type w:val="continuous"/>
          <w:pgSz w:w="11910" w:h="16840"/>
          <w:pgMar w:top="1100" w:bottom="1200" w:left="1020" w:right="0"/>
          <w:cols w:num="2" w:equalWidth="0">
            <w:col w:w="1914" w:space="6914"/>
            <w:col w:w="2062"/>
          </w:cols>
        </w:sectPr>
      </w:pPr>
    </w:p>
    <w:p>
      <w:pPr>
        <w:spacing w:line="240" w:lineRule="auto" w:before="7"/>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240" w:lineRule="auto" w:before="50"/>
        <w:ind w:right="0"/>
        <w:jc w:val="left"/>
      </w:pPr>
      <w:r>
        <w:rPr/>
        <w:t>短期应付债券的增减变动：</w:t>
      </w:r>
    </w:p>
    <w:p>
      <w:pPr>
        <w:pStyle w:val="BodyText"/>
        <w:spacing w:line="240" w:lineRule="auto" w:before="116"/>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798"/>
        <w:gridCol w:w="798"/>
        <w:gridCol w:w="798"/>
        <w:gridCol w:w="798"/>
        <w:gridCol w:w="798"/>
        <w:gridCol w:w="798"/>
        <w:gridCol w:w="798"/>
        <w:gridCol w:w="798"/>
        <w:gridCol w:w="798"/>
        <w:gridCol w:w="798"/>
        <w:gridCol w:w="798"/>
        <w:gridCol w:w="798"/>
      </w:tblGrid>
      <w:tr>
        <w:trPr>
          <w:trHeight w:val="1026" w:hRule="exact"/>
        </w:trPr>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303" w:right="122" w:hanging="180"/>
              <w:jc w:val="left"/>
              <w:rPr>
                <w:rFonts w:ascii="宋体" w:hAnsi="宋体" w:cs="宋体" w:eastAsia="宋体" w:hint="default"/>
                <w:sz w:val="18"/>
                <w:szCs w:val="18"/>
              </w:rPr>
            </w:pPr>
            <w:r>
              <w:rPr>
                <w:rFonts w:ascii="宋体" w:hAnsi="宋体" w:cs="宋体" w:eastAsia="宋体" w:hint="default"/>
                <w:sz w:val="18"/>
                <w:szCs w:val="18"/>
              </w:rPr>
              <w:t>债券名 称</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213" w:right="0"/>
              <w:jc w:val="left"/>
              <w:rPr>
                <w:rFonts w:ascii="宋体" w:hAnsi="宋体" w:cs="宋体" w:eastAsia="宋体" w:hint="default"/>
                <w:sz w:val="18"/>
                <w:szCs w:val="18"/>
              </w:rPr>
            </w:pPr>
            <w:r>
              <w:rPr>
                <w:rFonts w:ascii="宋体" w:hAnsi="宋体" w:cs="宋体" w:eastAsia="宋体" w:hint="default"/>
                <w:sz w:val="18"/>
                <w:szCs w:val="18"/>
              </w:rPr>
              <w:t>面值</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303" w:right="122" w:hanging="180"/>
              <w:jc w:val="left"/>
              <w:rPr>
                <w:rFonts w:ascii="宋体" w:hAnsi="宋体" w:cs="宋体" w:eastAsia="宋体" w:hint="default"/>
                <w:sz w:val="18"/>
                <w:szCs w:val="18"/>
              </w:rPr>
            </w:pPr>
            <w:r>
              <w:rPr>
                <w:rFonts w:ascii="宋体" w:hAnsi="宋体" w:cs="宋体" w:eastAsia="宋体" w:hint="default"/>
                <w:sz w:val="18"/>
                <w:szCs w:val="18"/>
              </w:rPr>
              <w:t>发行日 期</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303" w:right="122" w:hanging="180"/>
              <w:jc w:val="left"/>
              <w:rPr>
                <w:rFonts w:ascii="宋体" w:hAnsi="宋体" w:cs="宋体" w:eastAsia="宋体" w:hint="default"/>
                <w:sz w:val="18"/>
                <w:szCs w:val="18"/>
              </w:rPr>
            </w:pPr>
            <w:r>
              <w:rPr>
                <w:rFonts w:ascii="宋体" w:hAnsi="宋体" w:cs="宋体" w:eastAsia="宋体" w:hint="default"/>
                <w:sz w:val="18"/>
                <w:szCs w:val="18"/>
              </w:rPr>
              <w:t>债券期 限</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303" w:right="122" w:hanging="180"/>
              <w:jc w:val="left"/>
              <w:rPr>
                <w:rFonts w:ascii="宋体" w:hAnsi="宋体" w:cs="宋体" w:eastAsia="宋体" w:hint="default"/>
                <w:sz w:val="18"/>
                <w:szCs w:val="18"/>
              </w:rPr>
            </w:pPr>
            <w:r>
              <w:rPr>
                <w:rFonts w:ascii="宋体" w:hAnsi="宋体" w:cs="宋体" w:eastAsia="宋体" w:hint="default"/>
                <w:sz w:val="18"/>
                <w:szCs w:val="18"/>
              </w:rPr>
              <w:t>发行金 额</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303" w:right="122" w:hanging="180"/>
              <w:jc w:val="left"/>
              <w:rPr>
                <w:rFonts w:ascii="宋体" w:hAnsi="宋体" w:cs="宋体" w:eastAsia="宋体" w:hint="default"/>
                <w:sz w:val="18"/>
                <w:szCs w:val="18"/>
              </w:rPr>
            </w:pPr>
            <w:r>
              <w:rPr>
                <w:rFonts w:ascii="宋体" w:hAnsi="宋体" w:cs="宋体" w:eastAsia="宋体" w:hint="default"/>
                <w:sz w:val="18"/>
                <w:szCs w:val="18"/>
              </w:rPr>
              <w:t>期初余 额</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303" w:right="122" w:hanging="180"/>
              <w:jc w:val="left"/>
              <w:rPr>
                <w:rFonts w:ascii="宋体" w:hAnsi="宋体" w:cs="宋体" w:eastAsia="宋体" w:hint="default"/>
                <w:sz w:val="18"/>
                <w:szCs w:val="18"/>
              </w:rPr>
            </w:pPr>
            <w:r>
              <w:rPr>
                <w:rFonts w:ascii="宋体" w:hAnsi="宋体" w:cs="宋体" w:eastAsia="宋体" w:hint="default"/>
                <w:sz w:val="18"/>
                <w:szCs w:val="18"/>
              </w:rPr>
              <w:t>本期发 行</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23" w:right="122"/>
              <w:jc w:val="center"/>
              <w:rPr>
                <w:rFonts w:ascii="宋体" w:hAnsi="宋体" w:cs="宋体" w:eastAsia="宋体" w:hint="default"/>
                <w:sz w:val="18"/>
                <w:szCs w:val="18"/>
              </w:rPr>
            </w:pPr>
            <w:r>
              <w:rPr>
                <w:rFonts w:ascii="宋体" w:hAnsi="宋体" w:cs="宋体" w:eastAsia="宋体" w:hint="default"/>
                <w:sz w:val="18"/>
                <w:szCs w:val="18"/>
              </w:rPr>
              <w:t>按面值 计提利 息</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213" w:right="122" w:hanging="90"/>
              <w:jc w:val="left"/>
              <w:rPr>
                <w:rFonts w:ascii="宋体" w:hAnsi="宋体" w:cs="宋体" w:eastAsia="宋体" w:hint="default"/>
                <w:sz w:val="18"/>
                <w:szCs w:val="18"/>
              </w:rPr>
            </w:pPr>
            <w:r>
              <w:rPr>
                <w:rFonts w:ascii="宋体" w:hAnsi="宋体" w:cs="宋体" w:eastAsia="宋体" w:hint="default"/>
                <w:sz w:val="18"/>
                <w:szCs w:val="18"/>
              </w:rPr>
              <w:t>溢折价 摊销</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303" w:right="122" w:hanging="180"/>
              <w:jc w:val="left"/>
              <w:rPr>
                <w:rFonts w:ascii="宋体" w:hAnsi="宋体" w:cs="宋体" w:eastAsia="宋体" w:hint="default"/>
                <w:sz w:val="18"/>
                <w:szCs w:val="18"/>
              </w:rPr>
            </w:pPr>
            <w:r>
              <w:rPr>
                <w:rFonts w:ascii="宋体" w:hAnsi="宋体" w:cs="宋体" w:eastAsia="宋体" w:hint="default"/>
                <w:sz w:val="18"/>
                <w:szCs w:val="18"/>
              </w:rPr>
              <w:t>本期偿 还</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303" w:right="122" w:hanging="180"/>
              <w:jc w:val="left"/>
              <w:rPr>
                <w:rFonts w:ascii="宋体" w:hAnsi="宋体" w:cs="宋体" w:eastAsia="宋体" w:hint="default"/>
                <w:sz w:val="18"/>
                <w:szCs w:val="18"/>
              </w:rPr>
            </w:pPr>
            <w:r>
              <w:rPr>
                <w:rFonts w:ascii="宋体" w:hAnsi="宋体" w:cs="宋体" w:eastAsia="宋体" w:hint="default"/>
                <w:sz w:val="18"/>
                <w:szCs w:val="18"/>
              </w:rPr>
              <w:t>期末余 额</w:t>
            </w:r>
          </w:p>
        </w:tc>
      </w:tr>
    </w:tbl>
    <w:p>
      <w:pPr>
        <w:pStyle w:val="BodyText"/>
        <w:spacing w:line="240" w:lineRule="auto" w:before="50"/>
        <w:ind w:right="0"/>
        <w:jc w:val="left"/>
      </w:pPr>
      <w:r>
        <w:rPr/>
        <w:t>其他说明：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45</w:t>
      </w:r>
      <w:r>
        <w:rPr/>
        <w:t>、长期借款</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t>（</w:t>
      </w:r>
      <w:r>
        <w:rPr>
          <w:rFonts w:ascii="Times New Roman" w:hAnsi="Times New Roman" w:cs="Times New Roman" w:eastAsia="Times New Roman" w:hint="default"/>
        </w:rPr>
        <w:t>1</w:t>
      </w:r>
      <w:r>
        <w:rPr/>
        <w:t>）长期借款分类</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357" w:lineRule="auto" w:before="49"/>
        <w:ind w:right="8592"/>
        <w:jc w:val="left"/>
      </w:pPr>
      <w:r>
        <w:rPr/>
        <w:t>长期借款分类的说明： 其他说明，包括利率区间：</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r>
        <w:rPr>
          <w:rFonts w:ascii="Times New Roman" w:hAnsi="Times New Roman" w:cs="Times New Roman" w:eastAsia="Times New Roman" w:hint="default"/>
        </w:rPr>
        <w:t>46</w:t>
      </w:r>
      <w:r>
        <w:rPr/>
        <w:t>、应付债券</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t>（</w:t>
      </w:r>
      <w:r>
        <w:rPr>
          <w:rFonts w:ascii="Times New Roman" w:hAnsi="Times New Roman" w:cs="Times New Roman" w:eastAsia="Times New Roman" w:hint="default"/>
        </w:rPr>
        <w:t>1</w:t>
      </w:r>
      <w:r>
        <w:rPr/>
        <w:t>）应付债券</w:t>
      </w:r>
      <w:r>
        <w:rPr>
          <w:b w:val="0"/>
          <w:bCs w:val="0"/>
        </w:rPr>
      </w:r>
    </w:p>
    <w:p>
      <w:pPr>
        <w:spacing w:line="240" w:lineRule="auto" w:before="2"/>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2</w:t>
      </w:r>
      <w:r>
        <w:rPr/>
        <w:t>）应付债券的增减变动（不包括划分为金融负债的优先股、永续债等其他金融工具）</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798"/>
        <w:gridCol w:w="798"/>
        <w:gridCol w:w="798"/>
        <w:gridCol w:w="798"/>
        <w:gridCol w:w="798"/>
        <w:gridCol w:w="798"/>
        <w:gridCol w:w="798"/>
        <w:gridCol w:w="798"/>
        <w:gridCol w:w="798"/>
        <w:gridCol w:w="798"/>
        <w:gridCol w:w="798"/>
        <w:gridCol w:w="798"/>
      </w:tblGrid>
      <w:tr>
        <w:trPr>
          <w:trHeight w:val="1025" w:hRule="exact"/>
        </w:trPr>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303" w:right="122" w:hanging="180"/>
              <w:jc w:val="left"/>
              <w:rPr>
                <w:rFonts w:ascii="宋体" w:hAnsi="宋体" w:cs="宋体" w:eastAsia="宋体" w:hint="default"/>
                <w:sz w:val="18"/>
                <w:szCs w:val="18"/>
              </w:rPr>
            </w:pPr>
            <w:r>
              <w:rPr>
                <w:rFonts w:ascii="宋体" w:hAnsi="宋体" w:cs="宋体" w:eastAsia="宋体" w:hint="default"/>
                <w:sz w:val="18"/>
                <w:szCs w:val="18"/>
              </w:rPr>
              <w:t>债券名 称</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
              <w:jc w:val="center"/>
              <w:rPr>
                <w:rFonts w:ascii="宋体" w:hAnsi="宋体" w:cs="宋体" w:eastAsia="宋体" w:hint="default"/>
                <w:sz w:val="18"/>
                <w:szCs w:val="18"/>
              </w:rPr>
            </w:pPr>
            <w:r>
              <w:rPr>
                <w:rFonts w:ascii="宋体" w:hAnsi="宋体" w:cs="宋体" w:eastAsia="宋体" w:hint="default"/>
                <w:sz w:val="18"/>
                <w:szCs w:val="18"/>
              </w:rPr>
              <w:t>面值</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303" w:right="122" w:hanging="180"/>
              <w:jc w:val="left"/>
              <w:rPr>
                <w:rFonts w:ascii="宋体" w:hAnsi="宋体" w:cs="宋体" w:eastAsia="宋体" w:hint="default"/>
                <w:sz w:val="18"/>
                <w:szCs w:val="18"/>
              </w:rPr>
            </w:pPr>
            <w:r>
              <w:rPr>
                <w:rFonts w:ascii="宋体" w:hAnsi="宋体" w:cs="宋体" w:eastAsia="宋体" w:hint="default"/>
                <w:sz w:val="18"/>
                <w:szCs w:val="18"/>
              </w:rPr>
              <w:t>发行日 期</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303" w:right="122" w:hanging="180"/>
              <w:jc w:val="left"/>
              <w:rPr>
                <w:rFonts w:ascii="宋体" w:hAnsi="宋体" w:cs="宋体" w:eastAsia="宋体" w:hint="default"/>
                <w:sz w:val="18"/>
                <w:szCs w:val="18"/>
              </w:rPr>
            </w:pPr>
            <w:r>
              <w:rPr>
                <w:rFonts w:ascii="宋体" w:hAnsi="宋体" w:cs="宋体" w:eastAsia="宋体" w:hint="default"/>
                <w:sz w:val="18"/>
                <w:szCs w:val="18"/>
              </w:rPr>
              <w:t>债券期 限</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303" w:right="122" w:hanging="180"/>
              <w:jc w:val="left"/>
              <w:rPr>
                <w:rFonts w:ascii="宋体" w:hAnsi="宋体" w:cs="宋体" w:eastAsia="宋体" w:hint="default"/>
                <w:sz w:val="18"/>
                <w:szCs w:val="18"/>
              </w:rPr>
            </w:pPr>
            <w:r>
              <w:rPr>
                <w:rFonts w:ascii="宋体" w:hAnsi="宋体" w:cs="宋体" w:eastAsia="宋体" w:hint="default"/>
                <w:sz w:val="18"/>
                <w:szCs w:val="18"/>
              </w:rPr>
              <w:t>发行金 额</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303" w:right="122" w:hanging="180"/>
              <w:jc w:val="left"/>
              <w:rPr>
                <w:rFonts w:ascii="宋体" w:hAnsi="宋体" w:cs="宋体" w:eastAsia="宋体" w:hint="default"/>
                <w:sz w:val="18"/>
                <w:szCs w:val="18"/>
              </w:rPr>
            </w:pPr>
            <w:r>
              <w:rPr>
                <w:rFonts w:ascii="宋体" w:hAnsi="宋体" w:cs="宋体" w:eastAsia="宋体" w:hint="default"/>
                <w:sz w:val="18"/>
                <w:szCs w:val="18"/>
              </w:rPr>
              <w:t>期初余 额</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303" w:right="122" w:hanging="180"/>
              <w:jc w:val="left"/>
              <w:rPr>
                <w:rFonts w:ascii="宋体" w:hAnsi="宋体" w:cs="宋体" w:eastAsia="宋体" w:hint="default"/>
                <w:sz w:val="18"/>
                <w:szCs w:val="18"/>
              </w:rPr>
            </w:pPr>
            <w:r>
              <w:rPr>
                <w:rFonts w:ascii="宋体" w:hAnsi="宋体" w:cs="宋体" w:eastAsia="宋体" w:hint="default"/>
                <w:sz w:val="18"/>
                <w:szCs w:val="18"/>
              </w:rPr>
              <w:t>本期发 行</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23" w:right="122"/>
              <w:jc w:val="center"/>
              <w:rPr>
                <w:rFonts w:ascii="宋体" w:hAnsi="宋体" w:cs="宋体" w:eastAsia="宋体" w:hint="default"/>
                <w:sz w:val="18"/>
                <w:szCs w:val="18"/>
              </w:rPr>
            </w:pPr>
            <w:r>
              <w:rPr>
                <w:rFonts w:ascii="宋体" w:hAnsi="宋体" w:cs="宋体" w:eastAsia="宋体" w:hint="default"/>
                <w:sz w:val="18"/>
                <w:szCs w:val="18"/>
              </w:rPr>
              <w:t>按面值 计提利 息</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13" w:right="122" w:hanging="90"/>
              <w:jc w:val="left"/>
              <w:rPr>
                <w:rFonts w:ascii="宋体" w:hAnsi="宋体" w:cs="宋体" w:eastAsia="宋体" w:hint="default"/>
                <w:sz w:val="18"/>
                <w:szCs w:val="18"/>
              </w:rPr>
            </w:pPr>
            <w:r>
              <w:rPr>
                <w:rFonts w:ascii="宋体" w:hAnsi="宋体" w:cs="宋体" w:eastAsia="宋体" w:hint="default"/>
                <w:sz w:val="18"/>
                <w:szCs w:val="18"/>
              </w:rPr>
              <w:t>溢折价 摊销</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303" w:right="122" w:hanging="180"/>
              <w:jc w:val="left"/>
              <w:rPr>
                <w:rFonts w:ascii="宋体" w:hAnsi="宋体" w:cs="宋体" w:eastAsia="宋体" w:hint="default"/>
                <w:sz w:val="18"/>
                <w:szCs w:val="18"/>
              </w:rPr>
            </w:pPr>
            <w:r>
              <w:rPr>
                <w:rFonts w:ascii="宋体" w:hAnsi="宋体" w:cs="宋体" w:eastAsia="宋体" w:hint="default"/>
                <w:sz w:val="18"/>
                <w:szCs w:val="18"/>
              </w:rPr>
              <w:t>本期偿 还</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303" w:right="122" w:hanging="180"/>
              <w:jc w:val="left"/>
              <w:rPr>
                <w:rFonts w:ascii="宋体" w:hAnsi="宋体" w:cs="宋体" w:eastAsia="宋体" w:hint="default"/>
                <w:sz w:val="18"/>
                <w:szCs w:val="18"/>
              </w:rPr>
            </w:pPr>
            <w:r>
              <w:rPr>
                <w:rFonts w:ascii="宋体" w:hAnsi="宋体" w:cs="宋体" w:eastAsia="宋体" w:hint="default"/>
                <w:sz w:val="18"/>
                <w:szCs w:val="18"/>
              </w:rPr>
              <w:t>期末余 额</w:t>
            </w:r>
          </w:p>
        </w:tc>
      </w:tr>
      <w:tr>
        <w:trPr>
          <w:trHeight w:val="403" w:hRule="exact"/>
        </w:trPr>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21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0"/>
              <w:ind w:left="1" w:right="0"/>
              <w:jc w:val="center"/>
              <w:rPr>
                <w:rFonts w:ascii="Times New Roman" w:hAnsi="Times New Roman" w:cs="Times New Roman" w:eastAsia="Times New Roman" w:hint="default"/>
                <w:sz w:val="18"/>
                <w:szCs w:val="18"/>
              </w:rPr>
            </w:pPr>
            <w:r>
              <w:rPr>
                <w:rFonts w:ascii="Times New Roman"/>
                <w:sz w:val="18"/>
              </w:rPr>
              <w:t>--</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0"/>
              <w:ind w:right="0"/>
              <w:jc w:val="center"/>
              <w:rPr>
                <w:rFonts w:ascii="Times New Roman" w:hAnsi="Times New Roman" w:cs="Times New Roman" w:eastAsia="Times New Roman" w:hint="default"/>
                <w:sz w:val="18"/>
                <w:szCs w:val="18"/>
              </w:rPr>
            </w:pPr>
            <w:r>
              <w:rPr>
                <w:rFonts w:ascii="Times New Roman"/>
                <w:sz w:val="18"/>
              </w:rPr>
              <w:t>--</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0"/>
              <w:ind w:left="1" w:right="0"/>
              <w:jc w:val="center"/>
              <w:rPr>
                <w:rFonts w:ascii="Times New Roman" w:hAnsi="Times New Roman" w:cs="Times New Roman" w:eastAsia="Times New Roman" w:hint="default"/>
                <w:sz w:val="18"/>
                <w:szCs w:val="18"/>
              </w:rPr>
            </w:pPr>
            <w:r>
              <w:rPr>
                <w:rFonts w:ascii="Times New Roman"/>
                <w:sz w:val="18"/>
              </w:rPr>
              <w:t>--</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
        <w:rPr>
          <w:rFonts w:ascii="宋体" w:hAnsi="宋体" w:cs="宋体" w:eastAsia="宋体" w:hint="default"/>
          <w:sz w:val="19"/>
          <w:szCs w:val="19"/>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3</w:t>
      </w:r>
      <w:r>
        <w:rPr/>
        <w:t>）可转换公司债券的转股条件、转股时间说明</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t>（</w:t>
      </w:r>
      <w:r>
        <w:rPr>
          <w:rFonts w:ascii="Times New Roman" w:hAnsi="Times New Roman" w:cs="Times New Roman" w:eastAsia="Times New Roman" w:hint="default"/>
        </w:rPr>
        <w:t>4</w:t>
      </w:r>
      <w:r>
        <w:rPr/>
        <w:t>）划分为金融负债的其他金融工具说明</w:t>
      </w:r>
      <w:r>
        <w:rPr>
          <w:b w:val="0"/>
          <w:bCs w:val="0"/>
        </w:rPr>
      </w:r>
    </w:p>
    <w:p>
      <w:pPr>
        <w:spacing w:line="240" w:lineRule="auto" w:before="2"/>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906" w:footer="1018" w:top="1100" w:bottom="1200" w:left="1020" w:right="0"/>
        </w:sectPr>
      </w:pPr>
    </w:p>
    <w:p>
      <w:pPr>
        <w:pStyle w:val="BodyText"/>
        <w:spacing w:line="357" w:lineRule="auto" w:before="44"/>
        <w:ind w:right="-20"/>
        <w:jc w:val="left"/>
      </w:pPr>
      <w:r>
        <w:rPr/>
        <w:t>期末发行在外的优先股、永续债等其他金融工具基本情况 期末发行在外的优先股、永续债等金融工具变动情况表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pStyle w:val="BodyText"/>
        <w:spacing w:line="240" w:lineRule="auto"/>
        <w:ind w:right="0"/>
        <w:jc w:val="left"/>
      </w:pPr>
      <w:r>
        <w:rPr/>
        <w:t>单位：</w:t>
      </w:r>
      <w:r>
        <w:rPr>
          <w:spacing w:val="-1"/>
        </w:rPr>
        <w:t> </w:t>
      </w:r>
      <w:r>
        <w:rPr/>
        <w:t>元</w:t>
      </w:r>
    </w:p>
    <w:p>
      <w:pPr>
        <w:spacing w:after="0" w:line="240" w:lineRule="auto"/>
        <w:jc w:val="left"/>
        <w:sectPr>
          <w:type w:val="continuous"/>
          <w:pgSz w:w="11910" w:h="16840"/>
          <w:pgMar w:top="1100" w:bottom="1200" w:left="1020" w:right="0"/>
          <w:cols w:num="2" w:equalWidth="0">
            <w:col w:w="4614" w:space="4214"/>
            <w:col w:w="2062"/>
          </w:cols>
        </w:sectPr>
      </w:pP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065"/>
        <w:gridCol w:w="2130"/>
        <w:gridCol w:w="2126"/>
        <w:gridCol w:w="2124"/>
        <w:gridCol w:w="2124"/>
      </w:tblGrid>
      <w:tr>
        <w:trPr>
          <w:trHeight w:val="401" w:hRule="exact"/>
        </w:trPr>
        <w:tc>
          <w:tcPr>
            <w:tcW w:w="106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0"/>
              <w:ind w:left="166" w:right="0"/>
              <w:jc w:val="left"/>
              <w:rPr>
                <w:rFonts w:ascii="宋体" w:hAnsi="宋体" w:cs="宋体" w:eastAsia="宋体" w:hint="default"/>
                <w:sz w:val="18"/>
                <w:szCs w:val="18"/>
              </w:rPr>
            </w:pPr>
            <w:r>
              <w:rPr>
                <w:rFonts w:ascii="宋体" w:hAnsi="宋体" w:cs="宋体" w:eastAsia="宋体" w:hint="default"/>
                <w:sz w:val="18"/>
                <w:szCs w:val="18"/>
              </w:rPr>
              <w:t>发行在外</w:t>
            </w:r>
          </w:p>
        </w:tc>
        <w:tc>
          <w:tcPr>
            <w:tcW w:w="213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w:t>
            </w:r>
          </w:p>
        </w:tc>
        <w:tc>
          <w:tcPr>
            <w:tcW w:w="212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697"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212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697"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212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w:t>
            </w:r>
          </w:p>
        </w:tc>
      </w:tr>
    </w:tbl>
    <w:p>
      <w:pPr>
        <w:spacing w:after="0" w:line="240" w:lineRule="auto"/>
        <w:jc w:val="center"/>
        <w:rPr>
          <w:rFonts w:ascii="宋体" w:hAnsi="宋体" w:cs="宋体" w:eastAsia="宋体" w:hint="default"/>
          <w:sz w:val="18"/>
          <w:szCs w:val="18"/>
        </w:rPr>
        <w:sectPr>
          <w:type w:val="continuous"/>
          <w:pgSz w:w="11910" w:h="16840"/>
          <w:pgMar w:top="1100" w:bottom="1200" w:left="1020" w:right="0"/>
        </w:sectPr>
      </w:pPr>
    </w:p>
    <w:p>
      <w:pPr>
        <w:spacing w:line="240" w:lineRule="auto" w:before="7"/>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065"/>
        <w:gridCol w:w="1067"/>
        <w:gridCol w:w="1063"/>
        <w:gridCol w:w="1063"/>
        <w:gridCol w:w="1063"/>
        <w:gridCol w:w="1062"/>
        <w:gridCol w:w="1062"/>
        <w:gridCol w:w="1062"/>
        <w:gridCol w:w="1062"/>
      </w:tblGrid>
      <w:tr>
        <w:trPr>
          <w:trHeight w:val="674" w:hRule="exact"/>
        </w:trPr>
        <w:tc>
          <w:tcPr>
            <w:tcW w:w="106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10"/>
              <w:ind w:left="436" w:right="166" w:hanging="270"/>
              <w:jc w:val="left"/>
              <w:rPr>
                <w:rFonts w:ascii="宋体" w:hAnsi="宋体" w:cs="宋体" w:eastAsia="宋体" w:hint="default"/>
                <w:sz w:val="18"/>
                <w:szCs w:val="18"/>
              </w:rPr>
            </w:pPr>
            <w:r>
              <w:rPr>
                <w:rFonts w:ascii="宋体" w:hAnsi="宋体" w:cs="宋体" w:eastAsia="宋体" w:hint="default"/>
                <w:sz w:val="18"/>
                <w:szCs w:val="18"/>
              </w:rPr>
              <w:t>的金融工 具</w:t>
            </w:r>
          </w:p>
        </w:tc>
        <w:tc>
          <w:tcPr>
            <w:tcW w:w="10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348"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345"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346"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346"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pStyle w:val="BodyText"/>
        <w:spacing w:line="360" w:lineRule="auto" w:before="49"/>
        <w:ind w:right="7512"/>
        <w:jc w:val="left"/>
      </w:pPr>
      <w:r>
        <w:rPr/>
        <w:t>其他金融工具划分为金融负债的依据说明 其他说明</w:t>
      </w:r>
    </w:p>
    <w:p>
      <w:pPr>
        <w:spacing w:line="240" w:lineRule="auto" w:before="0"/>
        <w:rPr>
          <w:rFonts w:ascii="宋体" w:hAnsi="宋体" w:cs="宋体" w:eastAsia="宋体" w:hint="default"/>
          <w:sz w:val="20"/>
          <w:szCs w:val="20"/>
        </w:rPr>
      </w:pPr>
    </w:p>
    <w:p>
      <w:pPr>
        <w:pStyle w:val="Heading3"/>
        <w:spacing w:line="240" w:lineRule="auto"/>
        <w:ind w:right="0"/>
        <w:jc w:val="left"/>
        <w:rPr>
          <w:b w:val="0"/>
          <w:bCs w:val="0"/>
        </w:rPr>
      </w:pPr>
      <w:r>
        <w:rPr>
          <w:rFonts w:ascii="Times New Roman" w:hAnsi="Times New Roman" w:cs="Times New Roman" w:eastAsia="Times New Roman" w:hint="default"/>
        </w:rPr>
        <w:t>47</w:t>
      </w:r>
      <w:r>
        <w:rPr/>
        <w:t>、租赁负债</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spacing w:val="-1"/>
        </w:rPr>
        <w:t>单位：</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240" w:lineRule="auto" w:before="50"/>
        <w:ind w:right="0"/>
        <w:jc w:val="left"/>
      </w:pPr>
      <w:r>
        <w:rPr/>
        <w:t>其他说明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48</w:t>
      </w:r>
      <w:r>
        <w:rPr/>
        <w:t>、长期应付款</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1</w:t>
      </w:r>
      <w:r>
        <w:rPr/>
        <w:t>）按款项性质列示长期应付款</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240" w:lineRule="auto" w:before="49"/>
        <w:ind w:right="0"/>
        <w:jc w:val="left"/>
      </w:pPr>
      <w:r>
        <w:rPr/>
        <w:t>其他说明：</w:t>
      </w:r>
    </w:p>
    <w:p>
      <w:pPr>
        <w:spacing w:line="240" w:lineRule="auto" w:before="13"/>
        <w:rPr>
          <w:rFonts w:ascii="宋体" w:hAnsi="宋体" w:cs="宋体" w:eastAsia="宋体" w:hint="default"/>
          <w:sz w:val="26"/>
          <w:szCs w:val="26"/>
        </w:rPr>
      </w:pPr>
    </w:p>
    <w:p>
      <w:pPr>
        <w:pStyle w:val="Heading3"/>
        <w:spacing w:line="240" w:lineRule="auto"/>
        <w:ind w:right="0"/>
        <w:jc w:val="left"/>
        <w:rPr>
          <w:b w:val="0"/>
          <w:bCs w:val="0"/>
        </w:rPr>
      </w:pPr>
      <w:r>
        <w:rPr/>
        <w:t>（</w:t>
      </w:r>
      <w:r>
        <w:rPr>
          <w:rFonts w:ascii="Times New Roman" w:hAnsi="Times New Roman" w:cs="Times New Roman" w:eastAsia="Times New Roman" w:hint="default"/>
        </w:rPr>
        <w:t>2</w:t>
      </w:r>
      <w:r>
        <w:rPr/>
        <w:t>）专项应付款</w:t>
      </w:r>
      <w:r>
        <w:rPr>
          <w:b w:val="0"/>
          <w:bCs w:val="0"/>
        </w:rPr>
      </w:r>
    </w:p>
    <w:p>
      <w:pPr>
        <w:spacing w:line="240" w:lineRule="auto" w:before="2"/>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594"/>
        <w:gridCol w:w="1596"/>
        <w:gridCol w:w="1594"/>
        <w:gridCol w:w="1594"/>
        <w:gridCol w:w="1594"/>
        <w:gridCol w:w="1594"/>
      </w:tblGrid>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3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3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3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3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31" w:right="0"/>
              <w:jc w:val="left"/>
              <w:rPr>
                <w:rFonts w:ascii="宋体" w:hAnsi="宋体" w:cs="宋体" w:eastAsia="宋体" w:hint="default"/>
                <w:sz w:val="18"/>
                <w:szCs w:val="18"/>
              </w:rPr>
            </w:pPr>
            <w:r>
              <w:rPr>
                <w:rFonts w:ascii="宋体" w:hAnsi="宋体" w:cs="宋体" w:eastAsia="宋体" w:hint="default"/>
                <w:sz w:val="18"/>
                <w:szCs w:val="18"/>
              </w:rPr>
              <w:t>形成原因</w:t>
            </w:r>
          </w:p>
        </w:tc>
      </w:tr>
    </w:tbl>
    <w:p>
      <w:pPr>
        <w:pStyle w:val="BodyText"/>
        <w:spacing w:line="240" w:lineRule="auto" w:before="50"/>
        <w:ind w:right="0"/>
        <w:jc w:val="left"/>
      </w:pPr>
      <w:r>
        <w:rPr/>
        <w:t>其他说明：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49</w:t>
      </w:r>
      <w:r>
        <w:rPr/>
        <w:t>、长期应付职工薪酬</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t>（</w:t>
      </w:r>
      <w:r>
        <w:rPr>
          <w:rFonts w:ascii="Times New Roman" w:hAnsi="Times New Roman" w:cs="Times New Roman" w:eastAsia="Times New Roman" w:hint="default"/>
        </w:rPr>
        <w:t>1</w:t>
      </w:r>
      <w:r>
        <w:rPr/>
        <w:t>）长期应付职工薪酬表</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2</w:t>
      </w:r>
      <w:r>
        <w:rPr/>
        <w:t>）设定受益计划变动情况</w:t>
      </w:r>
      <w:r>
        <w:rPr>
          <w:b w:val="0"/>
          <w:bCs w:val="0"/>
        </w:rPr>
      </w:r>
    </w:p>
    <w:p>
      <w:pPr>
        <w:spacing w:line="240" w:lineRule="auto" w:before="2"/>
        <w:rPr>
          <w:rFonts w:ascii="宋体" w:hAnsi="宋体" w:cs="宋体" w:eastAsia="宋体" w:hint="default"/>
          <w:b/>
          <w:bCs/>
          <w:sz w:val="23"/>
          <w:szCs w:val="23"/>
        </w:rPr>
      </w:pPr>
    </w:p>
    <w:p>
      <w:pPr>
        <w:pStyle w:val="BodyText"/>
        <w:spacing w:line="240" w:lineRule="auto" w:before="44"/>
        <w:ind w:right="0"/>
        <w:jc w:val="left"/>
      </w:pPr>
      <w:r>
        <w:rPr/>
        <w:t>设定受益计划义务现值：</w:t>
      </w:r>
    </w:p>
    <w:p>
      <w:pPr>
        <w:pStyle w:val="BodyText"/>
        <w:spacing w:line="240" w:lineRule="auto" w:before="116"/>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pStyle w:val="BodyText"/>
        <w:spacing w:line="240" w:lineRule="auto" w:before="49"/>
        <w:ind w:right="0"/>
        <w:jc w:val="left"/>
      </w:pPr>
      <w:r>
        <w:rPr/>
        <w:t>计划资产：</w:t>
      </w:r>
    </w:p>
    <w:p>
      <w:pPr>
        <w:spacing w:after="0" w:line="240" w:lineRule="auto"/>
        <w:jc w:val="left"/>
        <w:sectPr>
          <w:pgSz w:w="11910" w:h="16840"/>
          <w:pgMar w:header="906" w:footer="1018" w:top="1100" w:bottom="1200" w:left="1020" w:right="0"/>
        </w:sectPr>
      </w:pPr>
    </w:p>
    <w:p>
      <w:pPr>
        <w:spacing w:line="240" w:lineRule="auto" w:before="11"/>
        <w:rPr>
          <w:rFonts w:ascii="宋体" w:hAnsi="宋体" w:cs="宋体" w:eastAsia="宋体" w:hint="default"/>
          <w:sz w:val="22"/>
          <w:szCs w:val="22"/>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pStyle w:val="BodyText"/>
        <w:spacing w:line="240" w:lineRule="auto" w:before="50"/>
        <w:ind w:right="0"/>
        <w:jc w:val="left"/>
      </w:pPr>
      <w:r>
        <w:rPr/>
        <w:t>设定受益计划净负债（净资产）</w:t>
      </w:r>
    </w:p>
    <w:p>
      <w:pPr>
        <w:pStyle w:val="BodyText"/>
        <w:spacing w:line="240" w:lineRule="auto" w:before="116"/>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pStyle w:val="BodyText"/>
        <w:spacing w:line="357" w:lineRule="auto" w:before="49"/>
        <w:ind w:right="3552"/>
        <w:jc w:val="left"/>
      </w:pPr>
      <w:r>
        <w:rPr/>
        <w:t>设定受益计划的内容及与之相关风险、对公司未来现金流量、时间和不确定性的影响说明： 设定受益计划重大精算假设及敏感性分析结果说明：</w:t>
      </w:r>
    </w:p>
    <w:p>
      <w:pPr>
        <w:pStyle w:val="BodyText"/>
        <w:spacing w:line="240" w:lineRule="auto" w:before="28"/>
        <w:ind w:right="0"/>
        <w:jc w:val="left"/>
      </w:pPr>
      <w:r>
        <w:rPr/>
        <w:t>其他说明：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50</w:t>
      </w:r>
      <w:r>
        <w:rPr/>
        <w:t>、预计负债</w:t>
      </w:r>
      <w:r>
        <w:rPr>
          <w:b w:val="0"/>
          <w:bCs w:val="0"/>
        </w:rPr>
      </w:r>
    </w:p>
    <w:p>
      <w:pPr>
        <w:spacing w:line="240" w:lineRule="auto" w:before="1"/>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906" w:footer="1018" w:top="1100" w:bottom="1200" w:left="1020" w:right="0"/>
        </w:sectPr>
      </w:pPr>
    </w:p>
    <w:p>
      <w:pPr>
        <w:pStyle w:val="BodyText"/>
        <w:spacing w:line="240" w:lineRule="auto" w:before="44"/>
        <w:ind w:right="-20"/>
        <w:jc w:val="left"/>
      </w:pPr>
      <w:r>
        <w:rPr/>
        <w:t>是否已执行新收入准则</w:t>
      </w:r>
    </w:p>
    <w:p>
      <w:pPr>
        <w:pStyle w:val="BodyText"/>
        <w:spacing w:line="240" w:lineRule="auto" w:before="116"/>
        <w:ind w:right="-20"/>
        <w:jc w:val="left"/>
      </w:pPr>
      <w:r>
        <w:rPr/>
        <w:t>□ 是 √ 否</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pStyle w:val="BodyText"/>
        <w:spacing w:line="240" w:lineRule="auto"/>
        <w:ind w:right="0"/>
        <w:jc w:val="left"/>
      </w:pPr>
      <w:r>
        <w:rPr/>
        <w:t>单位：</w:t>
      </w:r>
      <w:r>
        <w:rPr>
          <w:spacing w:val="-1"/>
        </w:rPr>
        <w:t> </w:t>
      </w:r>
      <w:r>
        <w:rPr/>
        <w:t>元</w:t>
      </w:r>
    </w:p>
    <w:p>
      <w:pPr>
        <w:spacing w:after="0" w:line="240" w:lineRule="auto"/>
        <w:jc w:val="left"/>
        <w:sectPr>
          <w:type w:val="continuous"/>
          <w:pgSz w:w="11910" w:h="16840"/>
          <w:pgMar w:top="1100" w:bottom="1200" w:left="1020" w:right="0"/>
          <w:cols w:num="2" w:equalWidth="0">
            <w:col w:w="1914" w:space="6914"/>
            <w:col w:w="2062"/>
          </w:cols>
        </w:sectPr>
      </w:pP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89"/>
        <w:gridCol w:w="2395"/>
        <w:gridCol w:w="2392"/>
        <w:gridCol w:w="2392"/>
      </w:tblGrid>
      <w:tr>
        <w:trPr>
          <w:trHeight w:val="402" w:hRule="exact"/>
        </w:trPr>
        <w:tc>
          <w:tcPr>
            <w:tcW w:w="23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3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形成原因</w:t>
            </w:r>
          </w:p>
        </w:tc>
      </w:tr>
    </w:tbl>
    <w:p>
      <w:pPr>
        <w:pStyle w:val="BodyText"/>
        <w:spacing w:line="240" w:lineRule="auto" w:before="50"/>
        <w:ind w:right="0"/>
        <w:jc w:val="left"/>
      </w:pPr>
      <w:r>
        <w:rPr/>
        <w:t>其他说明，包括重要预计负债的相关重要假设、估计说明：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51</w:t>
      </w:r>
      <w:r>
        <w:rPr/>
        <w:t>、递延收益</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594"/>
        <w:gridCol w:w="1596"/>
        <w:gridCol w:w="1594"/>
        <w:gridCol w:w="1594"/>
        <w:gridCol w:w="1594"/>
        <w:gridCol w:w="1594"/>
      </w:tblGrid>
      <w:tr>
        <w:trPr>
          <w:trHeight w:val="401"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3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3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3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3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形成原因</w:t>
            </w:r>
          </w:p>
        </w:tc>
      </w:tr>
      <w:tr>
        <w:trPr>
          <w:trHeight w:val="715"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1,693,776.25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980,000.00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558,345.00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2,115,431.25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103" w:right="219"/>
              <w:jc w:val="left"/>
              <w:rPr>
                <w:rFonts w:ascii="宋体" w:hAnsi="宋体" w:cs="宋体" w:eastAsia="宋体" w:hint="default"/>
                <w:sz w:val="18"/>
                <w:szCs w:val="18"/>
              </w:rPr>
            </w:pPr>
            <w:r>
              <w:rPr>
                <w:rFonts w:ascii="宋体" w:hAnsi="宋体" w:cs="宋体" w:eastAsia="宋体" w:hint="default"/>
                <w:sz w:val="18"/>
                <w:szCs w:val="18"/>
              </w:rPr>
              <w:t>项目补助专项资 金</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1,693,776.25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980,000.00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558,345.00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2,115,431.25</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0"/>
              <w:ind w:left="1"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49"/>
        <w:ind w:right="0"/>
        <w:jc w:val="left"/>
      </w:pPr>
      <w:r>
        <w:rPr/>
        <w:t>涉及政府补助的项目：</w:t>
      </w:r>
    </w:p>
    <w:p>
      <w:pPr>
        <w:pStyle w:val="BodyText"/>
        <w:spacing w:line="240" w:lineRule="auto" w:before="116"/>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012"/>
        <w:gridCol w:w="1249"/>
        <w:gridCol w:w="1010"/>
        <w:gridCol w:w="1010"/>
        <w:gridCol w:w="1010"/>
        <w:gridCol w:w="1010"/>
        <w:gridCol w:w="1010"/>
        <w:gridCol w:w="1248"/>
        <w:gridCol w:w="1010"/>
      </w:tblGrid>
      <w:tr>
        <w:trPr>
          <w:trHeight w:val="1025" w:hRule="exact"/>
        </w:trPr>
        <w:tc>
          <w:tcPr>
            <w:tcW w:w="10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41" w:right="0"/>
              <w:jc w:val="left"/>
              <w:rPr>
                <w:rFonts w:ascii="宋体" w:hAnsi="宋体" w:cs="宋体" w:eastAsia="宋体" w:hint="default"/>
                <w:sz w:val="18"/>
                <w:szCs w:val="18"/>
              </w:rPr>
            </w:pPr>
            <w:r>
              <w:rPr>
                <w:rFonts w:ascii="宋体" w:hAnsi="宋体" w:cs="宋体" w:eastAsia="宋体" w:hint="default"/>
                <w:sz w:val="18"/>
                <w:szCs w:val="18"/>
              </w:rPr>
              <w:t>负债项目</w:t>
            </w:r>
          </w:p>
        </w:tc>
        <w:tc>
          <w:tcPr>
            <w:tcW w:w="124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c>
          <w:tcPr>
            <w:tcW w:w="101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39" w:right="138"/>
              <w:jc w:val="left"/>
              <w:rPr>
                <w:rFonts w:ascii="宋体" w:hAnsi="宋体" w:cs="宋体" w:eastAsia="宋体" w:hint="default"/>
                <w:sz w:val="18"/>
                <w:szCs w:val="18"/>
              </w:rPr>
            </w:pPr>
            <w:r>
              <w:rPr>
                <w:rFonts w:ascii="宋体" w:hAnsi="宋体" w:cs="宋体" w:eastAsia="宋体" w:hint="default"/>
                <w:sz w:val="18"/>
                <w:szCs w:val="18"/>
              </w:rPr>
              <w:t>本期新增 补助金额</w:t>
            </w:r>
          </w:p>
        </w:tc>
        <w:tc>
          <w:tcPr>
            <w:tcW w:w="101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40" w:right="138"/>
              <w:jc w:val="both"/>
              <w:rPr>
                <w:rFonts w:ascii="宋体" w:hAnsi="宋体" w:cs="宋体" w:eastAsia="宋体" w:hint="default"/>
                <w:sz w:val="18"/>
                <w:szCs w:val="18"/>
              </w:rPr>
            </w:pPr>
            <w:r>
              <w:rPr>
                <w:rFonts w:ascii="宋体" w:hAnsi="宋体" w:cs="宋体" w:eastAsia="宋体" w:hint="default"/>
                <w:sz w:val="18"/>
                <w:szCs w:val="18"/>
              </w:rPr>
              <w:t>本期计入 营业外收 入金额</w:t>
            </w:r>
          </w:p>
        </w:tc>
        <w:tc>
          <w:tcPr>
            <w:tcW w:w="101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39" w:right="138"/>
              <w:jc w:val="center"/>
              <w:rPr>
                <w:rFonts w:ascii="宋体" w:hAnsi="宋体" w:cs="宋体" w:eastAsia="宋体" w:hint="default"/>
                <w:sz w:val="18"/>
                <w:szCs w:val="18"/>
              </w:rPr>
            </w:pPr>
            <w:r>
              <w:rPr>
                <w:rFonts w:ascii="宋体" w:hAnsi="宋体" w:cs="宋体" w:eastAsia="宋体" w:hint="default"/>
                <w:sz w:val="18"/>
                <w:szCs w:val="18"/>
              </w:rPr>
              <w:t>本期计入 其他收益 金额</w:t>
            </w:r>
          </w:p>
        </w:tc>
        <w:tc>
          <w:tcPr>
            <w:tcW w:w="101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39" w:right="138"/>
              <w:jc w:val="center"/>
              <w:rPr>
                <w:rFonts w:ascii="宋体" w:hAnsi="宋体" w:cs="宋体" w:eastAsia="宋体" w:hint="default"/>
                <w:sz w:val="18"/>
                <w:szCs w:val="18"/>
              </w:rPr>
            </w:pPr>
            <w:r>
              <w:rPr>
                <w:rFonts w:ascii="宋体" w:hAnsi="宋体" w:cs="宋体" w:eastAsia="宋体" w:hint="default"/>
                <w:sz w:val="18"/>
                <w:szCs w:val="18"/>
              </w:rPr>
              <w:t>本期冲减 成本费用 金额</w:t>
            </w:r>
          </w:p>
        </w:tc>
        <w:tc>
          <w:tcPr>
            <w:tcW w:w="101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40" w:right="0"/>
              <w:jc w:val="left"/>
              <w:rPr>
                <w:rFonts w:ascii="宋体" w:hAnsi="宋体" w:cs="宋体" w:eastAsia="宋体" w:hint="default"/>
                <w:sz w:val="18"/>
                <w:szCs w:val="18"/>
              </w:rPr>
            </w:pPr>
            <w:r>
              <w:rPr>
                <w:rFonts w:ascii="宋体" w:hAnsi="宋体" w:cs="宋体" w:eastAsia="宋体" w:hint="default"/>
                <w:sz w:val="18"/>
                <w:szCs w:val="18"/>
              </w:rPr>
              <w:t>其他变动</w:t>
            </w:r>
          </w:p>
        </w:tc>
        <w:tc>
          <w:tcPr>
            <w:tcW w:w="124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58"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01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9" w:lineRule="auto" w:before="49"/>
              <w:ind w:left="114" w:right="113"/>
              <w:jc w:val="center"/>
              <w:rPr>
                <w:rFonts w:ascii="宋体" w:hAnsi="宋体" w:cs="宋体" w:eastAsia="宋体" w:hint="default"/>
                <w:sz w:val="18"/>
                <w:szCs w:val="18"/>
              </w:rPr>
            </w:pPr>
            <w:r>
              <w:rPr>
                <w:rFonts w:ascii="宋体" w:hAnsi="宋体" w:cs="宋体" w:eastAsia="宋体" w:hint="default"/>
                <w:sz w:val="18"/>
                <w:szCs w:val="18"/>
              </w:rPr>
              <w:t>与资产相 关</w:t>
            </w:r>
            <w:r>
              <w:rPr>
                <w:rFonts w:ascii="Times New Roman" w:hAnsi="Times New Roman" w:cs="Times New Roman" w:eastAsia="Times New Roman" w:hint="default"/>
                <w:sz w:val="18"/>
                <w:szCs w:val="18"/>
              </w:rPr>
              <w:t>/</w:t>
            </w:r>
            <w:r>
              <w:rPr>
                <w:rFonts w:ascii="宋体" w:hAnsi="宋体" w:cs="宋体" w:eastAsia="宋体" w:hint="default"/>
                <w:sz w:val="18"/>
                <w:szCs w:val="18"/>
              </w:rPr>
              <w:t>与收益 相关</w:t>
            </w:r>
          </w:p>
        </w:tc>
      </w:tr>
      <w:tr>
        <w:trPr>
          <w:trHeight w:val="356" w:hRule="exact"/>
        </w:trPr>
        <w:tc>
          <w:tcPr>
            <w:tcW w:w="101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促进制造</w:t>
            </w:r>
          </w:p>
        </w:tc>
        <w:tc>
          <w:tcPr>
            <w:tcW w:w="1249" w:type="dxa"/>
            <w:tcBorders>
              <w:top w:val="single" w:sz="4" w:space="0" w:color="000000"/>
              <w:left w:val="single" w:sz="4" w:space="0" w:color="000000"/>
              <w:bottom w:val="nil" w:sz="6" w:space="0" w:color="auto"/>
              <w:right w:val="single" w:sz="4" w:space="0" w:color="000000"/>
            </w:tcBorders>
          </w:tcPr>
          <w:p>
            <w:pPr/>
          </w:p>
        </w:tc>
        <w:tc>
          <w:tcPr>
            <w:tcW w:w="1010" w:type="dxa"/>
            <w:vMerge w:val="restart"/>
            <w:tcBorders>
              <w:top w:val="single" w:sz="4" w:space="0" w:color="000000"/>
              <w:left w:val="single" w:sz="4" w:space="0" w:color="000000"/>
              <w:right w:val="single" w:sz="4" w:space="0" w:color="000000"/>
            </w:tcBorders>
          </w:tcPr>
          <w:p>
            <w:pPr/>
          </w:p>
        </w:tc>
        <w:tc>
          <w:tcPr>
            <w:tcW w:w="1010" w:type="dxa"/>
            <w:vMerge w:val="restart"/>
            <w:tcBorders>
              <w:top w:val="single" w:sz="4" w:space="0" w:color="000000"/>
              <w:left w:val="single" w:sz="4" w:space="0" w:color="000000"/>
              <w:right w:val="single" w:sz="4" w:space="0" w:color="000000"/>
            </w:tcBorders>
          </w:tcPr>
          <w:p>
            <w:pPr/>
          </w:p>
        </w:tc>
        <w:tc>
          <w:tcPr>
            <w:tcW w:w="1010" w:type="dxa"/>
            <w:tcBorders>
              <w:top w:val="single" w:sz="4" w:space="0" w:color="000000"/>
              <w:left w:val="single" w:sz="4" w:space="0" w:color="000000"/>
              <w:bottom w:val="nil" w:sz="6" w:space="0" w:color="auto"/>
              <w:right w:val="single" w:sz="4" w:space="0" w:color="000000"/>
            </w:tcBorders>
          </w:tcPr>
          <w:p>
            <w:pPr/>
          </w:p>
        </w:tc>
        <w:tc>
          <w:tcPr>
            <w:tcW w:w="1010" w:type="dxa"/>
            <w:vMerge w:val="restart"/>
            <w:tcBorders>
              <w:top w:val="single" w:sz="4" w:space="0" w:color="000000"/>
              <w:left w:val="single" w:sz="4" w:space="0" w:color="000000"/>
              <w:right w:val="single" w:sz="4" w:space="0" w:color="000000"/>
            </w:tcBorders>
          </w:tcPr>
          <w:p>
            <w:pPr/>
          </w:p>
        </w:tc>
        <w:tc>
          <w:tcPr>
            <w:tcW w:w="1010" w:type="dxa"/>
            <w:vMerge w:val="restart"/>
            <w:tcBorders>
              <w:top w:val="single" w:sz="4" w:space="0" w:color="000000"/>
              <w:left w:val="single" w:sz="4" w:space="0" w:color="000000"/>
              <w:right w:val="single" w:sz="4" w:space="0" w:color="000000"/>
            </w:tcBorders>
          </w:tcPr>
          <w:p>
            <w:pPr/>
          </w:p>
        </w:tc>
        <w:tc>
          <w:tcPr>
            <w:tcW w:w="1248" w:type="dxa"/>
            <w:tcBorders>
              <w:top w:val="single" w:sz="4" w:space="0" w:color="000000"/>
              <w:left w:val="single" w:sz="4" w:space="0" w:color="000000"/>
              <w:bottom w:val="nil" w:sz="6" w:space="0" w:color="auto"/>
              <w:right w:val="single" w:sz="4" w:space="0" w:color="000000"/>
            </w:tcBorders>
          </w:tcPr>
          <w:p>
            <w:pPr/>
          </w:p>
        </w:tc>
        <w:tc>
          <w:tcPr>
            <w:tcW w:w="1010"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101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业与互联</w:t>
            </w:r>
          </w:p>
        </w:tc>
        <w:tc>
          <w:tcPr>
            <w:tcW w:w="1249" w:type="dxa"/>
            <w:tcBorders>
              <w:top w:val="nil" w:sz="6" w:space="0" w:color="auto"/>
              <w:left w:val="single" w:sz="4" w:space="0" w:color="000000"/>
              <w:bottom w:val="nil" w:sz="6" w:space="0" w:color="auto"/>
              <w:right w:val="single" w:sz="4" w:space="0" w:color="000000"/>
            </w:tcBorders>
          </w:tcPr>
          <w:p>
            <w:pPr/>
          </w:p>
        </w:tc>
        <w:tc>
          <w:tcPr>
            <w:tcW w:w="1010" w:type="dxa"/>
            <w:vMerge/>
            <w:tcBorders>
              <w:left w:val="single" w:sz="4" w:space="0" w:color="000000"/>
              <w:right w:val="single" w:sz="4" w:space="0" w:color="000000"/>
            </w:tcBorders>
          </w:tcPr>
          <w:p>
            <w:pPr/>
          </w:p>
        </w:tc>
        <w:tc>
          <w:tcPr>
            <w:tcW w:w="1010" w:type="dxa"/>
            <w:vMerge/>
            <w:tcBorders>
              <w:left w:val="single" w:sz="4" w:space="0" w:color="000000"/>
              <w:right w:val="single" w:sz="4" w:space="0" w:color="000000"/>
            </w:tcBorders>
          </w:tcPr>
          <w:p>
            <w:pPr/>
          </w:p>
        </w:tc>
        <w:tc>
          <w:tcPr>
            <w:tcW w:w="1010" w:type="dxa"/>
            <w:tcBorders>
              <w:top w:val="nil" w:sz="6" w:space="0" w:color="auto"/>
              <w:left w:val="single" w:sz="4" w:space="0" w:color="000000"/>
              <w:bottom w:val="nil" w:sz="6" w:space="0" w:color="auto"/>
              <w:right w:val="single" w:sz="4" w:space="0" w:color="000000"/>
            </w:tcBorders>
          </w:tcPr>
          <w:p>
            <w:pPr/>
          </w:p>
        </w:tc>
        <w:tc>
          <w:tcPr>
            <w:tcW w:w="1010" w:type="dxa"/>
            <w:vMerge/>
            <w:tcBorders>
              <w:left w:val="single" w:sz="4" w:space="0" w:color="000000"/>
              <w:right w:val="single" w:sz="4" w:space="0" w:color="000000"/>
            </w:tcBorders>
          </w:tcPr>
          <w:p>
            <w:pPr/>
          </w:p>
        </w:tc>
        <w:tc>
          <w:tcPr>
            <w:tcW w:w="1010" w:type="dxa"/>
            <w:vMerge/>
            <w:tcBorders>
              <w:left w:val="single" w:sz="4" w:space="0" w:color="000000"/>
              <w:right w:val="single" w:sz="4" w:space="0" w:color="000000"/>
            </w:tcBorders>
          </w:tcPr>
          <w:p>
            <w:pPr/>
          </w:p>
        </w:tc>
        <w:tc>
          <w:tcPr>
            <w:tcW w:w="1248" w:type="dxa"/>
            <w:tcBorders>
              <w:top w:val="nil" w:sz="6" w:space="0" w:color="auto"/>
              <w:left w:val="single" w:sz="4" w:space="0" w:color="000000"/>
              <w:bottom w:val="nil" w:sz="6" w:space="0" w:color="auto"/>
              <w:right w:val="single" w:sz="4" w:space="0" w:color="000000"/>
            </w:tcBorders>
          </w:tcPr>
          <w:p>
            <w:pPr/>
          </w:p>
        </w:tc>
        <w:tc>
          <w:tcPr>
            <w:tcW w:w="1010" w:type="dxa"/>
            <w:tcBorders>
              <w:top w:val="nil" w:sz="6" w:space="0" w:color="auto"/>
              <w:left w:val="single" w:sz="4" w:space="0" w:color="000000"/>
              <w:bottom w:val="nil" w:sz="6" w:space="0" w:color="auto"/>
              <w:right w:val="single" w:sz="4" w:space="0" w:color="000000"/>
            </w:tcBorders>
          </w:tcPr>
          <w:p>
            <w:pPr/>
          </w:p>
        </w:tc>
      </w:tr>
      <w:tr>
        <w:trPr>
          <w:trHeight w:val="628" w:hRule="exact"/>
        </w:trPr>
        <w:tc>
          <w:tcPr>
            <w:tcW w:w="1012"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2" w:right="177"/>
              <w:jc w:val="left"/>
              <w:rPr>
                <w:rFonts w:ascii="宋体" w:hAnsi="宋体" w:cs="宋体" w:eastAsia="宋体" w:hint="default"/>
                <w:sz w:val="18"/>
                <w:szCs w:val="18"/>
              </w:rPr>
            </w:pPr>
            <w:r>
              <w:rPr>
                <w:rFonts w:ascii="宋体" w:hAnsi="宋体" w:cs="宋体" w:eastAsia="宋体" w:hint="default"/>
                <w:sz w:val="18"/>
                <w:szCs w:val="18"/>
              </w:rPr>
              <w:t>网融合发 展的大数</w:t>
            </w:r>
          </w:p>
        </w:tc>
        <w:tc>
          <w:tcPr>
            <w:tcW w:w="1249"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88" w:right="0"/>
              <w:jc w:val="center"/>
              <w:rPr>
                <w:rFonts w:ascii="Times New Roman" w:hAnsi="Times New Roman" w:cs="Times New Roman" w:eastAsia="Times New Roman" w:hint="default"/>
                <w:sz w:val="18"/>
                <w:szCs w:val="18"/>
              </w:rPr>
            </w:pPr>
            <w:r>
              <w:rPr>
                <w:rFonts w:ascii="Times New Roman"/>
                <w:sz w:val="18"/>
              </w:rPr>
              <w:t>1,600,000.00</w:t>
            </w:r>
          </w:p>
        </w:tc>
        <w:tc>
          <w:tcPr>
            <w:tcW w:w="1010" w:type="dxa"/>
            <w:vMerge/>
            <w:tcBorders>
              <w:left w:val="single" w:sz="4" w:space="0" w:color="000000"/>
              <w:right w:val="single" w:sz="4" w:space="0" w:color="000000"/>
            </w:tcBorders>
          </w:tcPr>
          <w:p>
            <w:pPr/>
          </w:p>
        </w:tc>
        <w:tc>
          <w:tcPr>
            <w:tcW w:w="1010" w:type="dxa"/>
            <w:vMerge/>
            <w:tcBorders>
              <w:left w:val="single" w:sz="4" w:space="0" w:color="000000"/>
              <w:right w:val="single" w:sz="4" w:space="0" w:color="000000"/>
            </w:tcBorders>
          </w:tcPr>
          <w:p>
            <w:pPr/>
          </w:p>
        </w:tc>
        <w:tc>
          <w:tcPr>
            <w:tcW w:w="1010"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400,000.0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010" w:type="dxa"/>
            <w:vMerge/>
            <w:tcBorders>
              <w:left w:val="single" w:sz="4" w:space="0" w:color="000000"/>
              <w:right w:val="single" w:sz="4" w:space="0" w:color="000000"/>
            </w:tcBorders>
          </w:tcPr>
          <w:p>
            <w:pPr/>
          </w:p>
        </w:tc>
        <w:tc>
          <w:tcPr>
            <w:tcW w:w="1010" w:type="dxa"/>
            <w:vMerge/>
            <w:tcBorders>
              <w:left w:val="single" w:sz="4" w:space="0" w:color="000000"/>
              <w:right w:val="single" w:sz="4" w:space="0" w:color="000000"/>
            </w:tcBorders>
          </w:tcPr>
          <w:p>
            <w:pPr/>
          </w:p>
        </w:tc>
        <w:tc>
          <w:tcPr>
            <w:tcW w:w="124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1,200,000.00</w:t>
            </w:r>
          </w:p>
        </w:tc>
        <w:tc>
          <w:tcPr>
            <w:tcW w:w="1010"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2" w:right="175"/>
              <w:jc w:val="left"/>
              <w:rPr>
                <w:rFonts w:ascii="宋体" w:hAnsi="宋体" w:cs="宋体" w:eastAsia="宋体" w:hint="default"/>
                <w:sz w:val="18"/>
                <w:szCs w:val="18"/>
              </w:rPr>
            </w:pPr>
            <w:r>
              <w:rPr>
                <w:rFonts w:ascii="宋体" w:hAnsi="宋体" w:cs="宋体" w:eastAsia="宋体" w:hint="default"/>
                <w:sz w:val="18"/>
                <w:szCs w:val="18"/>
              </w:rPr>
              <w:t>与资产相 关</w:t>
            </w:r>
          </w:p>
        </w:tc>
      </w:tr>
      <w:tr>
        <w:trPr>
          <w:trHeight w:val="308" w:hRule="exact"/>
        </w:trPr>
        <w:tc>
          <w:tcPr>
            <w:tcW w:w="101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据项目补</w:t>
            </w:r>
          </w:p>
        </w:tc>
        <w:tc>
          <w:tcPr>
            <w:tcW w:w="1249" w:type="dxa"/>
            <w:tcBorders>
              <w:top w:val="nil" w:sz="6" w:space="0" w:color="auto"/>
              <w:left w:val="single" w:sz="4" w:space="0" w:color="000000"/>
              <w:bottom w:val="nil" w:sz="6" w:space="0" w:color="auto"/>
              <w:right w:val="single" w:sz="4" w:space="0" w:color="000000"/>
            </w:tcBorders>
          </w:tcPr>
          <w:p>
            <w:pPr/>
          </w:p>
        </w:tc>
        <w:tc>
          <w:tcPr>
            <w:tcW w:w="1010" w:type="dxa"/>
            <w:vMerge/>
            <w:tcBorders>
              <w:left w:val="single" w:sz="4" w:space="0" w:color="000000"/>
              <w:right w:val="single" w:sz="4" w:space="0" w:color="000000"/>
            </w:tcBorders>
          </w:tcPr>
          <w:p>
            <w:pPr/>
          </w:p>
        </w:tc>
        <w:tc>
          <w:tcPr>
            <w:tcW w:w="1010" w:type="dxa"/>
            <w:vMerge/>
            <w:tcBorders>
              <w:left w:val="single" w:sz="4" w:space="0" w:color="000000"/>
              <w:right w:val="single" w:sz="4" w:space="0" w:color="000000"/>
            </w:tcBorders>
          </w:tcPr>
          <w:p>
            <w:pPr/>
          </w:p>
        </w:tc>
        <w:tc>
          <w:tcPr>
            <w:tcW w:w="1010" w:type="dxa"/>
            <w:tcBorders>
              <w:top w:val="nil" w:sz="6" w:space="0" w:color="auto"/>
              <w:left w:val="single" w:sz="4" w:space="0" w:color="000000"/>
              <w:bottom w:val="nil" w:sz="6" w:space="0" w:color="auto"/>
              <w:right w:val="single" w:sz="4" w:space="0" w:color="000000"/>
            </w:tcBorders>
          </w:tcPr>
          <w:p>
            <w:pPr/>
          </w:p>
        </w:tc>
        <w:tc>
          <w:tcPr>
            <w:tcW w:w="1010" w:type="dxa"/>
            <w:vMerge/>
            <w:tcBorders>
              <w:left w:val="single" w:sz="4" w:space="0" w:color="000000"/>
              <w:right w:val="single" w:sz="4" w:space="0" w:color="000000"/>
            </w:tcBorders>
          </w:tcPr>
          <w:p>
            <w:pPr/>
          </w:p>
        </w:tc>
        <w:tc>
          <w:tcPr>
            <w:tcW w:w="1010" w:type="dxa"/>
            <w:vMerge/>
            <w:tcBorders>
              <w:left w:val="single" w:sz="4" w:space="0" w:color="000000"/>
              <w:right w:val="single" w:sz="4" w:space="0" w:color="000000"/>
            </w:tcBorders>
          </w:tcPr>
          <w:p>
            <w:pPr/>
          </w:p>
        </w:tc>
        <w:tc>
          <w:tcPr>
            <w:tcW w:w="1248" w:type="dxa"/>
            <w:tcBorders>
              <w:top w:val="nil" w:sz="6" w:space="0" w:color="auto"/>
              <w:left w:val="single" w:sz="4" w:space="0" w:color="000000"/>
              <w:bottom w:val="nil" w:sz="6" w:space="0" w:color="auto"/>
              <w:right w:val="single" w:sz="4" w:space="0" w:color="000000"/>
            </w:tcBorders>
          </w:tcPr>
          <w:p>
            <w:pPr/>
          </w:p>
        </w:tc>
        <w:tc>
          <w:tcPr>
            <w:tcW w:w="1010" w:type="dxa"/>
            <w:tcBorders>
              <w:top w:val="nil" w:sz="6" w:space="0" w:color="auto"/>
              <w:left w:val="single" w:sz="4" w:space="0" w:color="000000"/>
              <w:bottom w:val="nil" w:sz="6" w:space="0" w:color="auto"/>
              <w:right w:val="single" w:sz="4" w:space="0" w:color="000000"/>
            </w:tcBorders>
          </w:tcPr>
          <w:p>
            <w:pPr/>
          </w:p>
        </w:tc>
      </w:tr>
      <w:tr>
        <w:trPr>
          <w:trHeight w:val="359" w:hRule="exact"/>
        </w:trPr>
        <w:tc>
          <w:tcPr>
            <w:tcW w:w="101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助资金</w:t>
            </w:r>
          </w:p>
        </w:tc>
        <w:tc>
          <w:tcPr>
            <w:tcW w:w="1249" w:type="dxa"/>
            <w:tcBorders>
              <w:top w:val="nil" w:sz="6" w:space="0" w:color="auto"/>
              <w:left w:val="single" w:sz="4" w:space="0" w:color="000000"/>
              <w:bottom w:val="single" w:sz="4" w:space="0" w:color="000000"/>
              <w:right w:val="single" w:sz="4" w:space="0" w:color="000000"/>
            </w:tcBorders>
          </w:tcPr>
          <w:p>
            <w:pPr/>
          </w:p>
        </w:tc>
        <w:tc>
          <w:tcPr>
            <w:tcW w:w="1010" w:type="dxa"/>
            <w:vMerge/>
            <w:tcBorders>
              <w:left w:val="single" w:sz="4" w:space="0" w:color="000000"/>
              <w:bottom w:val="single" w:sz="4" w:space="0" w:color="000000"/>
              <w:right w:val="single" w:sz="4" w:space="0" w:color="000000"/>
            </w:tcBorders>
          </w:tcPr>
          <w:p>
            <w:pPr/>
          </w:p>
        </w:tc>
        <w:tc>
          <w:tcPr>
            <w:tcW w:w="1010" w:type="dxa"/>
            <w:vMerge/>
            <w:tcBorders>
              <w:left w:val="single" w:sz="4" w:space="0" w:color="000000"/>
              <w:bottom w:val="single" w:sz="4" w:space="0" w:color="000000"/>
              <w:right w:val="single" w:sz="4" w:space="0" w:color="000000"/>
            </w:tcBorders>
          </w:tcPr>
          <w:p>
            <w:pPr/>
          </w:p>
        </w:tc>
        <w:tc>
          <w:tcPr>
            <w:tcW w:w="1010" w:type="dxa"/>
            <w:tcBorders>
              <w:top w:val="nil" w:sz="6" w:space="0" w:color="auto"/>
              <w:left w:val="single" w:sz="4" w:space="0" w:color="000000"/>
              <w:bottom w:val="single" w:sz="4" w:space="0" w:color="000000"/>
              <w:right w:val="single" w:sz="4" w:space="0" w:color="000000"/>
            </w:tcBorders>
          </w:tcPr>
          <w:p>
            <w:pPr/>
          </w:p>
        </w:tc>
        <w:tc>
          <w:tcPr>
            <w:tcW w:w="1010" w:type="dxa"/>
            <w:vMerge/>
            <w:tcBorders>
              <w:left w:val="single" w:sz="4" w:space="0" w:color="000000"/>
              <w:bottom w:val="single" w:sz="4" w:space="0" w:color="000000"/>
              <w:right w:val="single" w:sz="4" w:space="0" w:color="000000"/>
            </w:tcBorders>
          </w:tcPr>
          <w:p>
            <w:pPr/>
          </w:p>
        </w:tc>
        <w:tc>
          <w:tcPr>
            <w:tcW w:w="1010" w:type="dxa"/>
            <w:vMerge/>
            <w:tcBorders>
              <w:left w:val="single" w:sz="4" w:space="0" w:color="000000"/>
              <w:bottom w:val="single" w:sz="4" w:space="0" w:color="000000"/>
              <w:right w:val="single" w:sz="4" w:space="0" w:color="000000"/>
            </w:tcBorders>
          </w:tcPr>
          <w:p>
            <w:pPr/>
          </w:p>
        </w:tc>
        <w:tc>
          <w:tcPr>
            <w:tcW w:w="1248" w:type="dxa"/>
            <w:tcBorders>
              <w:top w:val="nil" w:sz="6" w:space="0" w:color="auto"/>
              <w:left w:val="single" w:sz="4" w:space="0" w:color="000000"/>
              <w:bottom w:val="single" w:sz="4" w:space="0" w:color="000000"/>
              <w:right w:val="single" w:sz="4" w:space="0" w:color="000000"/>
            </w:tcBorders>
          </w:tcPr>
          <w:p>
            <w:pPr/>
          </w:p>
        </w:tc>
        <w:tc>
          <w:tcPr>
            <w:tcW w:w="1010" w:type="dxa"/>
            <w:tcBorders>
              <w:top w:val="nil" w:sz="6" w:space="0" w:color="auto"/>
              <w:left w:val="single" w:sz="4" w:space="0" w:color="000000"/>
              <w:bottom w:val="single" w:sz="4" w:space="0" w:color="000000"/>
              <w:right w:val="single" w:sz="4" w:space="0" w:color="000000"/>
            </w:tcBorders>
          </w:tcPr>
          <w:p>
            <w:pPr/>
          </w:p>
        </w:tc>
      </w:tr>
      <w:tr>
        <w:trPr>
          <w:trHeight w:val="355" w:hRule="exact"/>
        </w:trPr>
        <w:tc>
          <w:tcPr>
            <w:tcW w:w="101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基于国产</w:t>
            </w:r>
          </w:p>
        </w:tc>
        <w:tc>
          <w:tcPr>
            <w:tcW w:w="1249" w:type="dxa"/>
            <w:vMerge w:val="restart"/>
            <w:tcBorders>
              <w:top w:val="single" w:sz="4" w:space="0" w:color="000000"/>
              <w:left w:val="single" w:sz="4" w:space="0" w:color="000000"/>
              <w:right w:val="single" w:sz="4" w:space="0" w:color="000000"/>
            </w:tcBorders>
          </w:tcPr>
          <w:p>
            <w:pPr/>
          </w:p>
        </w:tc>
        <w:tc>
          <w:tcPr>
            <w:tcW w:w="1010" w:type="dxa"/>
            <w:tcBorders>
              <w:top w:val="single" w:sz="4" w:space="0" w:color="000000"/>
              <w:left w:val="single" w:sz="4" w:space="0" w:color="000000"/>
              <w:bottom w:val="nil" w:sz="6" w:space="0" w:color="auto"/>
              <w:right w:val="single" w:sz="4" w:space="0" w:color="000000"/>
            </w:tcBorders>
          </w:tcPr>
          <w:p>
            <w:pPr/>
          </w:p>
        </w:tc>
        <w:tc>
          <w:tcPr>
            <w:tcW w:w="1010" w:type="dxa"/>
            <w:vMerge w:val="restart"/>
            <w:tcBorders>
              <w:top w:val="single" w:sz="4" w:space="0" w:color="000000"/>
              <w:left w:val="single" w:sz="4" w:space="0" w:color="000000"/>
              <w:right w:val="single" w:sz="4" w:space="0" w:color="000000"/>
            </w:tcBorders>
          </w:tcPr>
          <w:p>
            <w:pPr/>
          </w:p>
        </w:tc>
        <w:tc>
          <w:tcPr>
            <w:tcW w:w="1010" w:type="dxa"/>
            <w:vMerge w:val="restart"/>
            <w:tcBorders>
              <w:top w:val="single" w:sz="4" w:space="0" w:color="000000"/>
              <w:left w:val="single" w:sz="4" w:space="0" w:color="000000"/>
              <w:right w:val="single" w:sz="4" w:space="0" w:color="000000"/>
            </w:tcBorders>
          </w:tcPr>
          <w:p>
            <w:pPr/>
          </w:p>
        </w:tc>
        <w:tc>
          <w:tcPr>
            <w:tcW w:w="1010" w:type="dxa"/>
            <w:vMerge w:val="restart"/>
            <w:tcBorders>
              <w:top w:val="single" w:sz="4" w:space="0" w:color="000000"/>
              <w:left w:val="single" w:sz="4" w:space="0" w:color="000000"/>
              <w:right w:val="single" w:sz="4" w:space="0" w:color="000000"/>
            </w:tcBorders>
          </w:tcPr>
          <w:p>
            <w:pPr/>
          </w:p>
        </w:tc>
        <w:tc>
          <w:tcPr>
            <w:tcW w:w="1010" w:type="dxa"/>
            <w:vMerge w:val="restart"/>
            <w:tcBorders>
              <w:top w:val="single" w:sz="4" w:space="0" w:color="000000"/>
              <w:left w:val="single" w:sz="4" w:space="0" w:color="000000"/>
              <w:right w:val="single" w:sz="4" w:space="0" w:color="000000"/>
            </w:tcBorders>
          </w:tcPr>
          <w:p>
            <w:pPr/>
          </w:p>
        </w:tc>
        <w:tc>
          <w:tcPr>
            <w:tcW w:w="1248" w:type="dxa"/>
            <w:tcBorders>
              <w:top w:val="single" w:sz="4" w:space="0" w:color="000000"/>
              <w:left w:val="single" w:sz="4" w:space="0" w:color="000000"/>
              <w:bottom w:val="nil" w:sz="6" w:space="0" w:color="auto"/>
              <w:right w:val="single" w:sz="4" w:space="0" w:color="000000"/>
            </w:tcBorders>
          </w:tcPr>
          <w:p>
            <w:pPr/>
          </w:p>
        </w:tc>
        <w:tc>
          <w:tcPr>
            <w:tcW w:w="1010" w:type="dxa"/>
            <w:tcBorders>
              <w:top w:val="single" w:sz="4" w:space="0" w:color="000000"/>
              <w:left w:val="single" w:sz="4" w:space="0" w:color="000000"/>
              <w:bottom w:val="nil" w:sz="6" w:space="0" w:color="auto"/>
              <w:right w:val="single" w:sz="4" w:space="0" w:color="000000"/>
            </w:tcBorders>
          </w:tcPr>
          <w:p>
            <w:pPr/>
          </w:p>
        </w:tc>
      </w:tr>
      <w:tr>
        <w:trPr>
          <w:trHeight w:val="936" w:hRule="exact"/>
        </w:trPr>
        <w:tc>
          <w:tcPr>
            <w:tcW w:w="1012"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2" w:right="177"/>
              <w:jc w:val="both"/>
              <w:rPr>
                <w:rFonts w:ascii="宋体" w:hAnsi="宋体" w:cs="宋体" w:eastAsia="宋体" w:hint="default"/>
                <w:sz w:val="18"/>
                <w:szCs w:val="18"/>
              </w:rPr>
            </w:pPr>
            <w:r>
              <w:rPr>
                <w:rFonts w:ascii="宋体" w:hAnsi="宋体" w:cs="宋体" w:eastAsia="宋体" w:hint="default"/>
                <w:sz w:val="18"/>
                <w:szCs w:val="18"/>
              </w:rPr>
              <w:t>芯片和国 密算法的 物联网安</w:t>
            </w:r>
          </w:p>
        </w:tc>
        <w:tc>
          <w:tcPr>
            <w:tcW w:w="1249" w:type="dxa"/>
            <w:vMerge/>
            <w:tcBorders>
              <w:left w:val="single" w:sz="4" w:space="0" w:color="000000"/>
              <w:right w:val="single" w:sz="4" w:space="0" w:color="000000"/>
            </w:tcBorders>
          </w:tcPr>
          <w:p>
            <w:pPr/>
          </w:p>
        </w:tc>
        <w:tc>
          <w:tcPr>
            <w:tcW w:w="101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480,000.0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010" w:type="dxa"/>
            <w:vMerge/>
            <w:tcBorders>
              <w:left w:val="single" w:sz="4" w:space="0" w:color="000000"/>
              <w:right w:val="single" w:sz="4" w:space="0" w:color="000000"/>
            </w:tcBorders>
          </w:tcPr>
          <w:p>
            <w:pPr/>
          </w:p>
        </w:tc>
        <w:tc>
          <w:tcPr>
            <w:tcW w:w="1010" w:type="dxa"/>
            <w:vMerge/>
            <w:tcBorders>
              <w:left w:val="single" w:sz="4" w:space="0" w:color="000000"/>
              <w:right w:val="single" w:sz="4" w:space="0" w:color="000000"/>
            </w:tcBorders>
          </w:tcPr>
          <w:p>
            <w:pPr/>
          </w:p>
        </w:tc>
        <w:tc>
          <w:tcPr>
            <w:tcW w:w="1010" w:type="dxa"/>
            <w:vMerge/>
            <w:tcBorders>
              <w:left w:val="single" w:sz="4" w:space="0" w:color="000000"/>
              <w:right w:val="single" w:sz="4" w:space="0" w:color="000000"/>
            </w:tcBorders>
          </w:tcPr>
          <w:p>
            <w:pPr/>
          </w:p>
        </w:tc>
        <w:tc>
          <w:tcPr>
            <w:tcW w:w="1010" w:type="dxa"/>
            <w:vMerge/>
            <w:tcBorders>
              <w:left w:val="single" w:sz="4" w:space="0" w:color="000000"/>
              <w:right w:val="single" w:sz="4" w:space="0" w:color="000000"/>
            </w:tcBorders>
          </w:tcPr>
          <w:p>
            <w:pPr/>
          </w:p>
        </w:tc>
        <w:tc>
          <w:tcPr>
            <w:tcW w:w="1248"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480,000.00</w:t>
            </w:r>
          </w:p>
        </w:tc>
        <w:tc>
          <w:tcPr>
            <w:tcW w:w="1010" w:type="dxa"/>
            <w:tcBorders>
              <w:top w:val="nil" w:sz="6" w:space="0" w:color="auto"/>
              <w:left w:val="single" w:sz="4" w:space="0" w:color="000000"/>
              <w:bottom w:val="nil" w:sz="6" w:space="0" w:color="auto"/>
              <w:right w:val="single" w:sz="4" w:space="0" w:color="000000"/>
            </w:tcBorders>
          </w:tcPr>
          <w:p>
            <w:pPr>
              <w:pStyle w:val="TableParagraph"/>
              <w:spacing w:line="319" w:lineRule="auto" w:before="146"/>
              <w:ind w:left="102" w:right="175"/>
              <w:jc w:val="left"/>
              <w:rPr>
                <w:rFonts w:ascii="宋体" w:hAnsi="宋体" w:cs="宋体" w:eastAsia="宋体" w:hint="default"/>
                <w:sz w:val="18"/>
                <w:szCs w:val="18"/>
              </w:rPr>
            </w:pPr>
            <w:r>
              <w:rPr>
                <w:rFonts w:ascii="宋体" w:hAnsi="宋体" w:cs="宋体" w:eastAsia="宋体" w:hint="default"/>
                <w:sz w:val="18"/>
                <w:szCs w:val="18"/>
              </w:rPr>
              <w:t>与资产相 关</w:t>
            </w:r>
          </w:p>
        </w:tc>
      </w:tr>
      <w:tr>
        <w:trPr>
          <w:trHeight w:val="318" w:hRule="exact"/>
        </w:trPr>
        <w:tc>
          <w:tcPr>
            <w:tcW w:w="101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全认证</w:t>
            </w:r>
          </w:p>
        </w:tc>
        <w:tc>
          <w:tcPr>
            <w:tcW w:w="1249" w:type="dxa"/>
            <w:vMerge/>
            <w:tcBorders>
              <w:left w:val="single" w:sz="4" w:space="0" w:color="000000"/>
              <w:bottom w:val="single" w:sz="4" w:space="0" w:color="000000"/>
              <w:right w:val="single" w:sz="4" w:space="0" w:color="000000"/>
            </w:tcBorders>
          </w:tcPr>
          <w:p>
            <w:pPr/>
          </w:p>
        </w:tc>
        <w:tc>
          <w:tcPr>
            <w:tcW w:w="1010" w:type="dxa"/>
            <w:tcBorders>
              <w:top w:val="nil" w:sz="6" w:space="0" w:color="auto"/>
              <w:left w:val="single" w:sz="4" w:space="0" w:color="000000"/>
              <w:bottom w:val="single" w:sz="4" w:space="0" w:color="000000"/>
              <w:right w:val="single" w:sz="4" w:space="0" w:color="000000"/>
            </w:tcBorders>
          </w:tcPr>
          <w:p>
            <w:pPr/>
          </w:p>
        </w:tc>
        <w:tc>
          <w:tcPr>
            <w:tcW w:w="1010" w:type="dxa"/>
            <w:vMerge/>
            <w:tcBorders>
              <w:left w:val="single" w:sz="4" w:space="0" w:color="000000"/>
              <w:bottom w:val="single" w:sz="4" w:space="0" w:color="000000"/>
              <w:right w:val="single" w:sz="4" w:space="0" w:color="000000"/>
            </w:tcBorders>
          </w:tcPr>
          <w:p>
            <w:pPr/>
          </w:p>
        </w:tc>
        <w:tc>
          <w:tcPr>
            <w:tcW w:w="1010" w:type="dxa"/>
            <w:vMerge/>
            <w:tcBorders>
              <w:left w:val="single" w:sz="4" w:space="0" w:color="000000"/>
              <w:bottom w:val="single" w:sz="4" w:space="0" w:color="000000"/>
              <w:right w:val="single" w:sz="4" w:space="0" w:color="000000"/>
            </w:tcBorders>
          </w:tcPr>
          <w:p>
            <w:pPr/>
          </w:p>
        </w:tc>
        <w:tc>
          <w:tcPr>
            <w:tcW w:w="1010" w:type="dxa"/>
            <w:vMerge/>
            <w:tcBorders>
              <w:left w:val="single" w:sz="4" w:space="0" w:color="000000"/>
              <w:bottom w:val="single" w:sz="4" w:space="0" w:color="000000"/>
              <w:right w:val="single" w:sz="4" w:space="0" w:color="000000"/>
            </w:tcBorders>
          </w:tcPr>
          <w:p>
            <w:pPr/>
          </w:p>
        </w:tc>
        <w:tc>
          <w:tcPr>
            <w:tcW w:w="1010" w:type="dxa"/>
            <w:vMerge/>
            <w:tcBorders>
              <w:left w:val="single" w:sz="4" w:space="0" w:color="000000"/>
              <w:bottom w:val="single" w:sz="4" w:space="0" w:color="000000"/>
              <w:right w:val="single" w:sz="4" w:space="0" w:color="000000"/>
            </w:tcBorders>
          </w:tcPr>
          <w:p>
            <w:pPr/>
          </w:p>
        </w:tc>
        <w:tc>
          <w:tcPr>
            <w:tcW w:w="1248" w:type="dxa"/>
            <w:tcBorders>
              <w:top w:val="nil" w:sz="6" w:space="0" w:color="auto"/>
              <w:left w:val="single" w:sz="4" w:space="0" w:color="000000"/>
              <w:bottom w:val="single" w:sz="4" w:space="0" w:color="000000"/>
              <w:right w:val="single" w:sz="4" w:space="0" w:color="000000"/>
            </w:tcBorders>
          </w:tcPr>
          <w:p>
            <w:pPr/>
          </w:p>
        </w:tc>
        <w:tc>
          <w:tcPr>
            <w:tcW w:w="1010" w:type="dxa"/>
            <w:tcBorders>
              <w:top w:val="nil" w:sz="6" w:space="0" w:color="auto"/>
              <w:left w:val="single" w:sz="4" w:space="0" w:color="000000"/>
              <w:bottom w:val="single" w:sz="4" w:space="0" w:color="000000"/>
              <w:right w:val="single" w:sz="4" w:space="0" w:color="000000"/>
            </w:tcBorders>
          </w:tcPr>
          <w:p>
            <w:pPr/>
          </w:p>
        </w:tc>
      </w:tr>
    </w:tbl>
    <w:p>
      <w:pPr>
        <w:spacing w:after="0"/>
        <w:sectPr>
          <w:type w:val="continuous"/>
          <w:pgSz w:w="11910" w:h="16840"/>
          <w:pgMar w:top="1100" w:bottom="1200" w:left="1020" w:right="0"/>
        </w:sectPr>
      </w:pPr>
    </w:p>
    <w:p>
      <w:pPr>
        <w:spacing w:line="240" w:lineRule="auto" w:before="7"/>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012"/>
        <w:gridCol w:w="1249"/>
        <w:gridCol w:w="1010"/>
        <w:gridCol w:w="1010"/>
        <w:gridCol w:w="1010"/>
        <w:gridCol w:w="1010"/>
        <w:gridCol w:w="1010"/>
        <w:gridCol w:w="1248"/>
        <w:gridCol w:w="1010"/>
      </w:tblGrid>
      <w:tr>
        <w:trPr>
          <w:trHeight w:val="1298" w:hRule="exact"/>
        </w:trPr>
        <w:tc>
          <w:tcPr>
            <w:tcW w:w="1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ESIM</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的</w:t>
            </w:r>
          </w:p>
          <w:p>
            <w:pPr>
              <w:pStyle w:val="TableParagraph"/>
              <w:spacing w:line="316" w:lineRule="auto" w:before="63"/>
              <w:ind w:left="102" w:right="177"/>
              <w:jc w:val="both"/>
              <w:rPr>
                <w:rFonts w:ascii="宋体" w:hAnsi="宋体" w:cs="宋体" w:eastAsia="宋体" w:hint="default"/>
                <w:sz w:val="18"/>
                <w:szCs w:val="18"/>
              </w:rPr>
            </w:pPr>
            <w:r>
              <w:rPr>
                <w:rFonts w:ascii="宋体" w:hAnsi="宋体" w:cs="宋体" w:eastAsia="宋体" w:hint="default"/>
                <w:sz w:val="18"/>
                <w:szCs w:val="18"/>
              </w:rPr>
              <w:t>研发及产 业化补助 资金</w:t>
            </w:r>
          </w:p>
        </w:tc>
        <w:tc>
          <w:tcPr>
            <w:tcW w:w="1249" w:type="dxa"/>
            <w:tcBorders>
              <w:top w:val="single" w:sz="4" w:space="0" w:color="000000"/>
              <w:left w:val="single" w:sz="4" w:space="0" w:color="000000"/>
              <w:bottom w:val="single" w:sz="4" w:space="0" w:color="000000"/>
              <w:right w:val="single" w:sz="4" w:space="0" w:color="000000"/>
            </w:tcBorders>
          </w:tcPr>
          <w:p>
            <w:pPr/>
          </w:p>
        </w:tc>
        <w:tc>
          <w:tcPr>
            <w:tcW w:w="1010" w:type="dxa"/>
            <w:tcBorders>
              <w:top w:val="single" w:sz="4" w:space="0" w:color="000000"/>
              <w:left w:val="single" w:sz="4" w:space="0" w:color="000000"/>
              <w:bottom w:val="single" w:sz="4" w:space="0" w:color="000000"/>
              <w:right w:val="single" w:sz="4" w:space="0" w:color="000000"/>
            </w:tcBorders>
          </w:tcPr>
          <w:p>
            <w:pPr/>
          </w:p>
        </w:tc>
        <w:tc>
          <w:tcPr>
            <w:tcW w:w="1010" w:type="dxa"/>
            <w:tcBorders>
              <w:top w:val="single" w:sz="4" w:space="0" w:color="000000"/>
              <w:left w:val="single" w:sz="4" w:space="0" w:color="000000"/>
              <w:bottom w:val="single" w:sz="4" w:space="0" w:color="000000"/>
              <w:right w:val="single" w:sz="4" w:space="0" w:color="000000"/>
            </w:tcBorders>
          </w:tcPr>
          <w:p>
            <w:pPr/>
          </w:p>
        </w:tc>
        <w:tc>
          <w:tcPr>
            <w:tcW w:w="1010" w:type="dxa"/>
            <w:tcBorders>
              <w:top w:val="single" w:sz="4" w:space="0" w:color="000000"/>
              <w:left w:val="single" w:sz="4" w:space="0" w:color="000000"/>
              <w:bottom w:val="single" w:sz="4" w:space="0" w:color="000000"/>
              <w:right w:val="single" w:sz="4" w:space="0" w:color="000000"/>
            </w:tcBorders>
          </w:tcPr>
          <w:p>
            <w:pPr/>
          </w:p>
        </w:tc>
        <w:tc>
          <w:tcPr>
            <w:tcW w:w="1010" w:type="dxa"/>
            <w:tcBorders>
              <w:top w:val="single" w:sz="4" w:space="0" w:color="000000"/>
              <w:left w:val="single" w:sz="4" w:space="0" w:color="000000"/>
              <w:bottom w:val="single" w:sz="4" w:space="0" w:color="000000"/>
              <w:right w:val="single" w:sz="4" w:space="0" w:color="000000"/>
            </w:tcBorders>
          </w:tcPr>
          <w:p>
            <w:pPr/>
          </w:p>
        </w:tc>
        <w:tc>
          <w:tcPr>
            <w:tcW w:w="1010"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010" w:type="dxa"/>
            <w:tcBorders>
              <w:top w:val="single" w:sz="4" w:space="0" w:color="000000"/>
              <w:left w:val="single" w:sz="4" w:space="0" w:color="000000"/>
              <w:bottom w:val="single" w:sz="4" w:space="0" w:color="000000"/>
              <w:right w:val="single" w:sz="4" w:space="0" w:color="000000"/>
            </w:tcBorders>
          </w:tcPr>
          <w:p>
            <w:pPr/>
          </w:p>
        </w:tc>
      </w:tr>
      <w:tr>
        <w:trPr>
          <w:trHeight w:val="361" w:hRule="exact"/>
        </w:trPr>
        <w:tc>
          <w:tcPr>
            <w:tcW w:w="101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5G</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移动通</w:t>
            </w:r>
          </w:p>
        </w:tc>
        <w:tc>
          <w:tcPr>
            <w:tcW w:w="1249" w:type="dxa"/>
            <w:vMerge w:val="restart"/>
            <w:tcBorders>
              <w:top w:val="single" w:sz="4" w:space="0" w:color="000000"/>
              <w:left w:val="single" w:sz="4" w:space="0" w:color="000000"/>
              <w:right w:val="single" w:sz="4" w:space="0" w:color="000000"/>
            </w:tcBorders>
          </w:tcPr>
          <w:p>
            <w:pPr/>
          </w:p>
        </w:tc>
        <w:tc>
          <w:tcPr>
            <w:tcW w:w="1010" w:type="dxa"/>
            <w:tcBorders>
              <w:top w:val="single" w:sz="4" w:space="0" w:color="000000"/>
              <w:left w:val="single" w:sz="4" w:space="0" w:color="000000"/>
              <w:bottom w:val="nil" w:sz="6" w:space="0" w:color="auto"/>
              <w:right w:val="single" w:sz="4" w:space="0" w:color="000000"/>
            </w:tcBorders>
          </w:tcPr>
          <w:p>
            <w:pPr/>
          </w:p>
        </w:tc>
        <w:tc>
          <w:tcPr>
            <w:tcW w:w="1010" w:type="dxa"/>
            <w:vMerge w:val="restart"/>
            <w:tcBorders>
              <w:top w:val="single" w:sz="4" w:space="0" w:color="000000"/>
              <w:left w:val="single" w:sz="4" w:space="0" w:color="000000"/>
              <w:right w:val="single" w:sz="4" w:space="0" w:color="000000"/>
            </w:tcBorders>
          </w:tcPr>
          <w:p>
            <w:pPr/>
          </w:p>
        </w:tc>
        <w:tc>
          <w:tcPr>
            <w:tcW w:w="1010" w:type="dxa"/>
            <w:tcBorders>
              <w:top w:val="single" w:sz="4" w:space="0" w:color="000000"/>
              <w:left w:val="single" w:sz="4" w:space="0" w:color="000000"/>
              <w:bottom w:val="nil" w:sz="6" w:space="0" w:color="auto"/>
              <w:right w:val="single" w:sz="4" w:space="0" w:color="000000"/>
            </w:tcBorders>
          </w:tcPr>
          <w:p>
            <w:pPr/>
          </w:p>
        </w:tc>
        <w:tc>
          <w:tcPr>
            <w:tcW w:w="1010" w:type="dxa"/>
            <w:vMerge w:val="restart"/>
            <w:tcBorders>
              <w:top w:val="single" w:sz="4" w:space="0" w:color="000000"/>
              <w:left w:val="single" w:sz="4" w:space="0" w:color="000000"/>
              <w:right w:val="single" w:sz="4" w:space="0" w:color="000000"/>
            </w:tcBorders>
          </w:tcPr>
          <w:p>
            <w:pPr/>
          </w:p>
        </w:tc>
        <w:tc>
          <w:tcPr>
            <w:tcW w:w="1010" w:type="dxa"/>
            <w:vMerge w:val="restart"/>
            <w:tcBorders>
              <w:top w:val="single" w:sz="4" w:space="0" w:color="000000"/>
              <w:left w:val="single" w:sz="4" w:space="0" w:color="000000"/>
              <w:right w:val="single" w:sz="4" w:space="0" w:color="000000"/>
            </w:tcBorders>
          </w:tcPr>
          <w:p>
            <w:pPr/>
          </w:p>
        </w:tc>
        <w:tc>
          <w:tcPr>
            <w:tcW w:w="1248" w:type="dxa"/>
            <w:tcBorders>
              <w:top w:val="single" w:sz="4" w:space="0" w:color="000000"/>
              <w:left w:val="single" w:sz="4" w:space="0" w:color="000000"/>
              <w:bottom w:val="nil" w:sz="6" w:space="0" w:color="auto"/>
              <w:right w:val="single" w:sz="4" w:space="0" w:color="000000"/>
            </w:tcBorders>
          </w:tcPr>
          <w:p>
            <w:pPr/>
          </w:p>
        </w:tc>
        <w:tc>
          <w:tcPr>
            <w:tcW w:w="1010" w:type="dxa"/>
            <w:tcBorders>
              <w:top w:val="single" w:sz="4" w:space="0" w:color="000000"/>
              <w:left w:val="single" w:sz="4" w:space="0" w:color="000000"/>
              <w:bottom w:val="nil" w:sz="6" w:space="0" w:color="auto"/>
              <w:right w:val="single" w:sz="4" w:space="0" w:color="000000"/>
            </w:tcBorders>
          </w:tcPr>
          <w:p>
            <w:pPr/>
          </w:p>
        </w:tc>
      </w:tr>
      <w:tr>
        <w:trPr>
          <w:trHeight w:val="307" w:hRule="exact"/>
        </w:trPr>
        <w:tc>
          <w:tcPr>
            <w:tcW w:w="101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信网络身</w:t>
            </w:r>
          </w:p>
        </w:tc>
        <w:tc>
          <w:tcPr>
            <w:tcW w:w="1249" w:type="dxa"/>
            <w:vMerge/>
            <w:tcBorders>
              <w:left w:val="single" w:sz="4" w:space="0" w:color="000000"/>
              <w:right w:val="single" w:sz="4" w:space="0" w:color="000000"/>
            </w:tcBorders>
          </w:tcPr>
          <w:p>
            <w:pPr/>
          </w:p>
        </w:tc>
        <w:tc>
          <w:tcPr>
            <w:tcW w:w="1010" w:type="dxa"/>
            <w:tcBorders>
              <w:top w:val="nil" w:sz="6" w:space="0" w:color="auto"/>
              <w:left w:val="single" w:sz="4" w:space="0" w:color="000000"/>
              <w:bottom w:val="nil" w:sz="6" w:space="0" w:color="auto"/>
              <w:right w:val="single" w:sz="4" w:space="0" w:color="000000"/>
            </w:tcBorders>
          </w:tcPr>
          <w:p>
            <w:pPr/>
          </w:p>
        </w:tc>
        <w:tc>
          <w:tcPr>
            <w:tcW w:w="1010" w:type="dxa"/>
            <w:vMerge/>
            <w:tcBorders>
              <w:left w:val="single" w:sz="4" w:space="0" w:color="000000"/>
              <w:right w:val="single" w:sz="4" w:space="0" w:color="000000"/>
            </w:tcBorders>
          </w:tcPr>
          <w:p>
            <w:pPr/>
          </w:p>
        </w:tc>
        <w:tc>
          <w:tcPr>
            <w:tcW w:w="1010" w:type="dxa"/>
            <w:tcBorders>
              <w:top w:val="nil" w:sz="6" w:space="0" w:color="auto"/>
              <w:left w:val="single" w:sz="4" w:space="0" w:color="000000"/>
              <w:bottom w:val="nil" w:sz="6" w:space="0" w:color="auto"/>
              <w:right w:val="single" w:sz="4" w:space="0" w:color="000000"/>
            </w:tcBorders>
          </w:tcPr>
          <w:p>
            <w:pPr/>
          </w:p>
        </w:tc>
        <w:tc>
          <w:tcPr>
            <w:tcW w:w="1010" w:type="dxa"/>
            <w:vMerge/>
            <w:tcBorders>
              <w:left w:val="single" w:sz="4" w:space="0" w:color="000000"/>
              <w:right w:val="single" w:sz="4" w:space="0" w:color="000000"/>
            </w:tcBorders>
          </w:tcPr>
          <w:p>
            <w:pPr/>
          </w:p>
        </w:tc>
        <w:tc>
          <w:tcPr>
            <w:tcW w:w="1010" w:type="dxa"/>
            <w:vMerge/>
            <w:tcBorders>
              <w:left w:val="single" w:sz="4" w:space="0" w:color="000000"/>
              <w:right w:val="single" w:sz="4" w:space="0" w:color="000000"/>
            </w:tcBorders>
          </w:tcPr>
          <w:p>
            <w:pPr/>
          </w:p>
        </w:tc>
        <w:tc>
          <w:tcPr>
            <w:tcW w:w="1248" w:type="dxa"/>
            <w:tcBorders>
              <w:top w:val="nil" w:sz="6" w:space="0" w:color="auto"/>
              <w:left w:val="single" w:sz="4" w:space="0" w:color="000000"/>
              <w:bottom w:val="nil" w:sz="6" w:space="0" w:color="auto"/>
              <w:right w:val="single" w:sz="4" w:space="0" w:color="000000"/>
            </w:tcBorders>
          </w:tcPr>
          <w:p>
            <w:pPr/>
          </w:p>
        </w:tc>
        <w:tc>
          <w:tcPr>
            <w:tcW w:w="1010" w:type="dxa"/>
            <w:tcBorders>
              <w:top w:val="nil" w:sz="6" w:space="0" w:color="auto"/>
              <w:left w:val="single" w:sz="4" w:space="0" w:color="000000"/>
              <w:bottom w:val="nil" w:sz="6" w:space="0" w:color="auto"/>
              <w:right w:val="single" w:sz="4" w:space="0" w:color="000000"/>
            </w:tcBorders>
          </w:tcPr>
          <w:p>
            <w:pPr/>
          </w:p>
        </w:tc>
      </w:tr>
      <w:tr>
        <w:trPr>
          <w:trHeight w:val="629" w:hRule="exact"/>
        </w:trPr>
        <w:tc>
          <w:tcPr>
            <w:tcW w:w="1012" w:type="dxa"/>
            <w:tcBorders>
              <w:top w:val="nil" w:sz="6" w:space="0" w:color="auto"/>
              <w:left w:val="single" w:sz="4" w:space="0" w:color="000000"/>
              <w:bottom w:val="nil" w:sz="6" w:space="0" w:color="auto"/>
              <w:right w:val="single" w:sz="4" w:space="0" w:color="000000"/>
            </w:tcBorders>
          </w:tcPr>
          <w:p>
            <w:pPr>
              <w:pStyle w:val="TableParagraph"/>
              <w:spacing w:line="319" w:lineRule="auto" w:before="10"/>
              <w:ind w:left="102" w:right="177"/>
              <w:jc w:val="left"/>
              <w:rPr>
                <w:rFonts w:ascii="宋体" w:hAnsi="宋体" w:cs="宋体" w:eastAsia="宋体" w:hint="default"/>
                <w:sz w:val="18"/>
                <w:szCs w:val="18"/>
              </w:rPr>
            </w:pPr>
            <w:r>
              <w:rPr>
                <w:rFonts w:ascii="宋体" w:hAnsi="宋体" w:cs="宋体" w:eastAsia="宋体" w:hint="default"/>
                <w:sz w:val="18"/>
                <w:szCs w:val="18"/>
              </w:rPr>
              <w:t>份识别模 块研发及</w:t>
            </w:r>
          </w:p>
        </w:tc>
        <w:tc>
          <w:tcPr>
            <w:tcW w:w="1249" w:type="dxa"/>
            <w:vMerge/>
            <w:tcBorders>
              <w:left w:val="single" w:sz="4" w:space="0" w:color="000000"/>
              <w:right w:val="single" w:sz="4" w:space="0" w:color="000000"/>
            </w:tcBorders>
          </w:tcPr>
          <w:p>
            <w:pPr/>
          </w:p>
        </w:tc>
        <w:tc>
          <w:tcPr>
            <w:tcW w:w="1010"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z w:val="18"/>
              </w:rPr>
              <w:t>500,000.0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010" w:type="dxa"/>
            <w:vMerge/>
            <w:tcBorders>
              <w:left w:val="single" w:sz="4" w:space="0" w:color="000000"/>
              <w:right w:val="single" w:sz="4" w:space="0" w:color="000000"/>
            </w:tcBorders>
          </w:tcPr>
          <w:p>
            <w:pPr/>
          </w:p>
        </w:tc>
        <w:tc>
          <w:tcPr>
            <w:tcW w:w="1010"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87,500.00</w:t>
            </w:r>
          </w:p>
        </w:tc>
        <w:tc>
          <w:tcPr>
            <w:tcW w:w="1010" w:type="dxa"/>
            <w:vMerge/>
            <w:tcBorders>
              <w:left w:val="single" w:sz="4" w:space="0" w:color="000000"/>
              <w:right w:val="single" w:sz="4" w:space="0" w:color="000000"/>
            </w:tcBorders>
          </w:tcPr>
          <w:p>
            <w:pPr/>
          </w:p>
        </w:tc>
        <w:tc>
          <w:tcPr>
            <w:tcW w:w="1010" w:type="dxa"/>
            <w:vMerge/>
            <w:tcBorders>
              <w:left w:val="single" w:sz="4" w:space="0" w:color="000000"/>
              <w:right w:val="single" w:sz="4" w:space="0" w:color="000000"/>
            </w:tcBorders>
          </w:tcPr>
          <w:p>
            <w:pPr/>
          </w:p>
        </w:tc>
        <w:tc>
          <w:tcPr>
            <w:tcW w:w="124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412,500.00</w:t>
            </w:r>
          </w:p>
        </w:tc>
        <w:tc>
          <w:tcPr>
            <w:tcW w:w="1010" w:type="dxa"/>
            <w:tcBorders>
              <w:top w:val="nil" w:sz="6" w:space="0" w:color="auto"/>
              <w:left w:val="single" w:sz="4" w:space="0" w:color="000000"/>
              <w:bottom w:val="nil" w:sz="6" w:space="0" w:color="auto"/>
              <w:right w:val="single" w:sz="4" w:space="0" w:color="000000"/>
            </w:tcBorders>
          </w:tcPr>
          <w:p>
            <w:pPr>
              <w:pStyle w:val="TableParagraph"/>
              <w:spacing w:line="319" w:lineRule="auto" w:before="10"/>
              <w:ind w:left="102" w:right="175"/>
              <w:jc w:val="left"/>
              <w:rPr>
                <w:rFonts w:ascii="宋体" w:hAnsi="宋体" w:cs="宋体" w:eastAsia="宋体" w:hint="default"/>
                <w:sz w:val="18"/>
                <w:szCs w:val="18"/>
              </w:rPr>
            </w:pPr>
            <w:r>
              <w:rPr>
                <w:rFonts w:ascii="宋体" w:hAnsi="宋体" w:cs="宋体" w:eastAsia="宋体" w:hint="default"/>
                <w:sz w:val="18"/>
                <w:szCs w:val="18"/>
              </w:rPr>
              <w:t>与资产相 关</w:t>
            </w:r>
          </w:p>
        </w:tc>
      </w:tr>
      <w:tr>
        <w:trPr>
          <w:trHeight w:val="307" w:hRule="exact"/>
        </w:trPr>
        <w:tc>
          <w:tcPr>
            <w:tcW w:w="101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产业化补</w:t>
            </w:r>
          </w:p>
        </w:tc>
        <w:tc>
          <w:tcPr>
            <w:tcW w:w="1249" w:type="dxa"/>
            <w:vMerge/>
            <w:tcBorders>
              <w:left w:val="single" w:sz="4" w:space="0" w:color="000000"/>
              <w:right w:val="single" w:sz="4" w:space="0" w:color="000000"/>
            </w:tcBorders>
          </w:tcPr>
          <w:p>
            <w:pPr/>
          </w:p>
        </w:tc>
        <w:tc>
          <w:tcPr>
            <w:tcW w:w="1010" w:type="dxa"/>
            <w:tcBorders>
              <w:top w:val="nil" w:sz="6" w:space="0" w:color="auto"/>
              <w:left w:val="single" w:sz="4" w:space="0" w:color="000000"/>
              <w:bottom w:val="nil" w:sz="6" w:space="0" w:color="auto"/>
              <w:right w:val="single" w:sz="4" w:space="0" w:color="000000"/>
            </w:tcBorders>
          </w:tcPr>
          <w:p>
            <w:pPr/>
          </w:p>
        </w:tc>
        <w:tc>
          <w:tcPr>
            <w:tcW w:w="1010" w:type="dxa"/>
            <w:vMerge/>
            <w:tcBorders>
              <w:left w:val="single" w:sz="4" w:space="0" w:color="000000"/>
              <w:right w:val="single" w:sz="4" w:space="0" w:color="000000"/>
            </w:tcBorders>
          </w:tcPr>
          <w:p>
            <w:pPr/>
          </w:p>
        </w:tc>
        <w:tc>
          <w:tcPr>
            <w:tcW w:w="1010" w:type="dxa"/>
            <w:tcBorders>
              <w:top w:val="nil" w:sz="6" w:space="0" w:color="auto"/>
              <w:left w:val="single" w:sz="4" w:space="0" w:color="000000"/>
              <w:bottom w:val="nil" w:sz="6" w:space="0" w:color="auto"/>
              <w:right w:val="single" w:sz="4" w:space="0" w:color="000000"/>
            </w:tcBorders>
          </w:tcPr>
          <w:p>
            <w:pPr/>
          </w:p>
        </w:tc>
        <w:tc>
          <w:tcPr>
            <w:tcW w:w="1010" w:type="dxa"/>
            <w:vMerge/>
            <w:tcBorders>
              <w:left w:val="single" w:sz="4" w:space="0" w:color="000000"/>
              <w:right w:val="single" w:sz="4" w:space="0" w:color="000000"/>
            </w:tcBorders>
          </w:tcPr>
          <w:p>
            <w:pPr/>
          </w:p>
        </w:tc>
        <w:tc>
          <w:tcPr>
            <w:tcW w:w="1010" w:type="dxa"/>
            <w:vMerge/>
            <w:tcBorders>
              <w:left w:val="single" w:sz="4" w:space="0" w:color="000000"/>
              <w:right w:val="single" w:sz="4" w:space="0" w:color="000000"/>
            </w:tcBorders>
          </w:tcPr>
          <w:p>
            <w:pPr/>
          </w:p>
        </w:tc>
        <w:tc>
          <w:tcPr>
            <w:tcW w:w="1248" w:type="dxa"/>
            <w:tcBorders>
              <w:top w:val="nil" w:sz="6" w:space="0" w:color="auto"/>
              <w:left w:val="single" w:sz="4" w:space="0" w:color="000000"/>
              <w:bottom w:val="nil" w:sz="6" w:space="0" w:color="auto"/>
              <w:right w:val="single" w:sz="4" w:space="0" w:color="000000"/>
            </w:tcBorders>
          </w:tcPr>
          <w:p>
            <w:pPr/>
          </w:p>
        </w:tc>
        <w:tc>
          <w:tcPr>
            <w:tcW w:w="1010" w:type="dxa"/>
            <w:tcBorders>
              <w:top w:val="nil" w:sz="6" w:space="0" w:color="auto"/>
              <w:left w:val="single" w:sz="4" w:space="0" w:color="000000"/>
              <w:bottom w:val="nil" w:sz="6" w:space="0" w:color="auto"/>
              <w:right w:val="single" w:sz="4" w:space="0" w:color="000000"/>
            </w:tcBorders>
          </w:tcPr>
          <w:p>
            <w:pPr/>
          </w:p>
        </w:tc>
      </w:tr>
      <w:tr>
        <w:trPr>
          <w:trHeight w:val="358" w:hRule="exact"/>
        </w:trPr>
        <w:tc>
          <w:tcPr>
            <w:tcW w:w="101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助资金</w:t>
            </w:r>
          </w:p>
        </w:tc>
        <w:tc>
          <w:tcPr>
            <w:tcW w:w="1249" w:type="dxa"/>
            <w:vMerge/>
            <w:tcBorders>
              <w:left w:val="single" w:sz="4" w:space="0" w:color="000000"/>
              <w:bottom w:val="single" w:sz="4" w:space="0" w:color="000000"/>
              <w:right w:val="single" w:sz="4" w:space="0" w:color="000000"/>
            </w:tcBorders>
          </w:tcPr>
          <w:p>
            <w:pPr/>
          </w:p>
        </w:tc>
        <w:tc>
          <w:tcPr>
            <w:tcW w:w="1010" w:type="dxa"/>
            <w:tcBorders>
              <w:top w:val="nil" w:sz="6" w:space="0" w:color="auto"/>
              <w:left w:val="single" w:sz="4" w:space="0" w:color="000000"/>
              <w:bottom w:val="single" w:sz="4" w:space="0" w:color="000000"/>
              <w:right w:val="single" w:sz="4" w:space="0" w:color="000000"/>
            </w:tcBorders>
          </w:tcPr>
          <w:p>
            <w:pPr/>
          </w:p>
        </w:tc>
        <w:tc>
          <w:tcPr>
            <w:tcW w:w="1010" w:type="dxa"/>
            <w:vMerge/>
            <w:tcBorders>
              <w:left w:val="single" w:sz="4" w:space="0" w:color="000000"/>
              <w:bottom w:val="single" w:sz="4" w:space="0" w:color="000000"/>
              <w:right w:val="single" w:sz="4" w:space="0" w:color="000000"/>
            </w:tcBorders>
          </w:tcPr>
          <w:p>
            <w:pPr/>
          </w:p>
        </w:tc>
        <w:tc>
          <w:tcPr>
            <w:tcW w:w="1010" w:type="dxa"/>
            <w:tcBorders>
              <w:top w:val="nil" w:sz="6" w:space="0" w:color="auto"/>
              <w:left w:val="single" w:sz="4" w:space="0" w:color="000000"/>
              <w:bottom w:val="single" w:sz="4" w:space="0" w:color="000000"/>
              <w:right w:val="single" w:sz="4" w:space="0" w:color="000000"/>
            </w:tcBorders>
          </w:tcPr>
          <w:p>
            <w:pPr/>
          </w:p>
        </w:tc>
        <w:tc>
          <w:tcPr>
            <w:tcW w:w="1010" w:type="dxa"/>
            <w:vMerge/>
            <w:tcBorders>
              <w:left w:val="single" w:sz="4" w:space="0" w:color="000000"/>
              <w:bottom w:val="single" w:sz="4" w:space="0" w:color="000000"/>
              <w:right w:val="single" w:sz="4" w:space="0" w:color="000000"/>
            </w:tcBorders>
          </w:tcPr>
          <w:p>
            <w:pPr/>
          </w:p>
        </w:tc>
        <w:tc>
          <w:tcPr>
            <w:tcW w:w="1010" w:type="dxa"/>
            <w:vMerge/>
            <w:tcBorders>
              <w:left w:val="single" w:sz="4" w:space="0" w:color="000000"/>
              <w:bottom w:val="single" w:sz="4" w:space="0" w:color="000000"/>
              <w:right w:val="single" w:sz="4" w:space="0" w:color="000000"/>
            </w:tcBorders>
          </w:tcPr>
          <w:p>
            <w:pPr/>
          </w:p>
        </w:tc>
        <w:tc>
          <w:tcPr>
            <w:tcW w:w="1248" w:type="dxa"/>
            <w:tcBorders>
              <w:top w:val="nil" w:sz="6" w:space="0" w:color="auto"/>
              <w:left w:val="single" w:sz="4" w:space="0" w:color="000000"/>
              <w:bottom w:val="single" w:sz="4" w:space="0" w:color="000000"/>
              <w:right w:val="single" w:sz="4" w:space="0" w:color="000000"/>
            </w:tcBorders>
          </w:tcPr>
          <w:p>
            <w:pPr/>
          </w:p>
        </w:tc>
        <w:tc>
          <w:tcPr>
            <w:tcW w:w="1010" w:type="dxa"/>
            <w:tcBorders>
              <w:top w:val="nil" w:sz="6" w:space="0" w:color="auto"/>
              <w:left w:val="single" w:sz="4" w:space="0" w:color="000000"/>
              <w:bottom w:val="single" w:sz="4" w:space="0" w:color="000000"/>
              <w:right w:val="single" w:sz="4" w:space="0" w:color="000000"/>
            </w:tcBorders>
          </w:tcPr>
          <w:p>
            <w:pPr/>
          </w:p>
        </w:tc>
      </w:tr>
      <w:tr>
        <w:trPr>
          <w:trHeight w:val="356" w:hRule="exact"/>
        </w:trPr>
        <w:tc>
          <w:tcPr>
            <w:tcW w:w="101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云会员移</w:t>
            </w:r>
          </w:p>
        </w:tc>
        <w:tc>
          <w:tcPr>
            <w:tcW w:w="1249" w:type="dxa"/>
            <w:tcBorders>
              <w:top w:val="single" w:sz="4" w:space="0" w:color="000000"/>
              <w:left w:val="single" w:sz="4" w:space="0" w:color="000000"/>
              <w:bottom w:val="nil" w:sz="6" w:space="0" w:color="auto"/>
              <w:right w:val="single" w:sz="4" w:space="0" w:color="000000"/>
            </w:tcBorders>
          </w:tcPr>
          <w:p>
            <w:pPr/>
          </w:p>
        </w:tc>
        <w:tc>
          <w:tcPr>
            <w:tcW w:w="1010" w:type="dxa"/>
            <w:vMerge w:val="restart"/>
            <w:tcBorders>
              <w:top w:val="single" w:sz="4" w:space="0" w:color="000000"/>
              <w:left w:val="single" w:sz="4" w:space="0" w:color="000000"/>
              <w:right w:val="single" w:sz="4" w:space="0" w:color="000000"/>
            </w:tcBorders>
          </w:tcPr>
          <w:p>
            <w:pPr/>
          </w:p>
        </w:tc>
        <w:tc>
          <w:tcPr>
            <w:tcW w:w="1010" w:type="dxa"/>
            <w:vMerge w:val="restart"/>
            <w:tcBorders>
              <w:top w:val="single" w:sz="4" w:space="0" w:color="000000"/>
              <w:left w:val="single" w:sz="4" w:space="0" w:color="000000"/>
              <w:right w:val="single" w:sz="4" w:space="0" w:color="000000"/>
            </w:tcBorders>
          </w:tcPr>
          <w:p>
            <w:pPr/>
          </w:p>
        </w:tc>
        <w:tc>
          <w:tcPr>
            <w:tcW w:w="1010" w:type="dxa"/>
            <w:tcBorders>
              <w:top w:val="single" w:sz="4" w:space="0" w:color="000000"/>
              <w:left w:val="single" w:sz="4" w:space="0" w:color="000000"/>
              <w:bottom w:val="nil" w:sz="6" w:space="0" w:color="auto"/>
              <w:right w:val="single" w:sz="4" w:space="0" w:color="000000"/>
            </w:tcBorders>
          </w:tcPr>
          <w:p>
            <w:pPr/>
          </w:p>
        </w:tc>
        <w:tc>
          <w:tcPr>
            <w:tcW w:w="1010" w:type="dxa"/>
            <w:vMerge w:val="restart"/>
            <w:tcBorders>
              <w:top w:val="single" w:sz="4" w:space="0" w:color="000000"/>
              <w:left w:val="single" w:sz="4" w:space="0" w:color="000000"/>
              <w:right w:val="single" w:sz="4" w:space="0" w:color="000000"/>
            </w:tcBorders>
          </w:tcPr>
          <w:p>
            <w:pPr/>
          </w:p>
        </w:tc>
        <w:tc>
          <w:tcPr>
            <w:tcW w:w="1010" w:type="dxa"/>
            <w:vMerge w:val="restart"/>
            <w:tcBorders>
              <w:top w:val="single" w:sz="4" w:space="0" w:color="000000"/>
              <w:left w:val="single" w:sz="4" w:space="0" w:color="000000"/>
              <w:right w:val="single" w:sz="4" w:space="0" w:color="000000"/>
            </w:tcBorders>
          </w:tcPr>
          <w:p>
            <w:pPr/>
          </w:p>
        </w:tc>
        <w:tc>
          <w:tcPr>
            <w:tcW w:w="1248" w:type="dxa"/>
            <w:tcBorders>
              <w:top w:val="single" w:sz="4" w:space="0" w:color="000000"/>
              <w:left w:val="single" w:sz="4" w:space="0" w:color="000000"/>
              <w:bottom w:val="nil" w:sz="6" w:space="0" w:color="auto"/>
              <w:right w:val="single" w:sz="4" w:space="0" w:color="000000"/>
            </w:tcBorders>
          </w:tcPr>
          <w:p>
            <w:pPr/>
          </w:p>
        </w:tc>
        <w:tc>
          <w:tcPr>
            <w:tcW w:w="1010" w:type="dxa"/>
            <w:tcBorders>
              <w:top w:val="single" w:sz="4" w:space="0" w:color="000000"/>
              <w:left w:val="single" w:sz="4" w:space="0" w:color="000000"/>
              <w:bottom w:val="nil" w:sz="6" w:space="0" w:color="auto"/>
              <w:right w:val="single" w:sz="4" w:space="0" w:color="000000"/>
            </w:tcBorders>
          </w:tcPr>
          <w:p>
            <w:pPr/>
          </w:p>
        </w:tc>
      </w:tr>
      <w:tr>
        <w:trPr>
          <w:trHeight w:val="936" w:hRule="exact"/>
        </w:trPr>
        <w:tc>
          <w:tcPr>
            <w:tcW w:w="1012"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2" w:right="177"/>
              <w:jc w:val="both"/>
              <w:rPr>
                <w:rFonts w:ascii="宋体" w:hAnsi="宋体" w:cs="宋体" w:eastAsia="宋体" w:hint="default"/>
                <w:sz w:val="18"/>
                <w:szCs w:val="18"/>
              </w:rPr>
            </w:pPr>
            <w:r>
              <w:rPr>
                <w:rFonts w:ascii="宋体" w:hAnsi="宋体" w:cs="宋体" w:eastAsia="宋体" w:hint="default"/>
                <w:sz w:val="18"/>
                <w:szCs w:val="18"/>
              </w:rPr>
              <w:t>动互联网 营销服务 平台补助</w:t>
            </w:r>
          </w:p>
        </w:tc>
        <w:tc>
          <w:tcPr>
            <w:tcW w:w="124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01"/>
              <w:jc w:val="right"/>
              <w:rPr>
                <w:rFonts w:ascii="Times New Roman" w:hAnsi="Times New Roman" w:cs="Times New Roman" w:eastAsia="Times New Roman" w:hint="default"/>
                <w:sz w:val="18"/>
                <w:szCs w:val="18"/>
              </w:rPr>
            </w:pPr>
            <w:r>
              <w:rPr>
                <w:rFonts w:ascii="Times New Roman"/>
                <w:sz w:val="18"/>
              </w:rPr>
              <w:t>93,776.25</w:t>
            </w:r>
          </w:p>
        </w:tc>
        <w:tc>
          <w:tcPr>
            <w:tcW w:w="1010" w:type="dxa"/>
            <w:vMerge/>
            <w:tcBorders>
              <w:left w:val="single" w:sz="4" w:space="0" w:color="000000"/>
              <w:right w:val="single" w:sz="4" w:space="0" w:color="000000"/>
            </w:tcBorders>
          </w:tcPr>
          <w:p>
            <w:pPr/>
          </w:p>
        </w:tc>
        <w:tc>
          <w:tcPr>
            <w:tcW w:w="1010" w:type="dxa"/>
            <w:vMerge/>
            <w:tcBorders>
              <w:left w:val="single" w:sz="4" w:space="0" w:color="000000"/>
              <w:right w:val="single" w:sz="4" w:space="0" w:color="000000"/>
            </w:tcBorders>
          </w:tcPr>
          <w:p>
            <w:pPr/>
          </w:p>
        </w:tc>
        <w:tc>
          <w:tcPr>
            <w:tcW w:w="10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01"/>
              <w:jc w:val="right"/>
              <w:rPr>
                <w:rFonts w:ascii="Times New Roman" w:hAnsi="Times New Roman" w:cs="Times New Roman" w:eastAsia="Times New Roman" w:hint="default"/>
                <w:sz w:val="18"/>
                <w:szCs w:val="18"/>
              </w:rPr>
            </w:pPr>
            <w:r>
              <w:rPr>
                <w:rFonts w:ascii="Times New Roman"/>
                <w:sz w:val="18"/>
              </w:rPr>
              <w:t>70,845.00</w:t>
            </w:r>
          </w:p>
        </w:tc>
        <w:tc>
          <w:tcPr>
            <w:tcW w:w="1010" w:type="dxa"/>
            <w:vMerge/>
            <w:tcBorders>
              <w:left w:val="single" w:sz="4" w:space="0" w:color="000000"/>
              <w:right w:val="single" w:sz="4" w:space="0" w:color="000000"/>
            </w:tcBorders>
          </w:tcPr>
          <w:p>
            <w:pPr/>
          </w:p>
        </w:tc>
        <w:tc>
          <w:tcPr>
            <w:tcW w:w="1010" w:type="dxa"/>
            <w:vMerge/>
            <w:tcBorders>
              <w:left w:val="single" w:sz="4" w:space="0" w:color="000000"/>
              <w:right w:val="single" w:sz="4" w:space="0" w:color="000000"/>
            </w:tcBorders>
          </w:tcPr>
          <w:p>
            <w:pPr/>
          </w:p>
        </w:tc>
        <w:tc>
          <w:tcPr>
            <w:tcW w:w="124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01"/>
              <w:jc w:val="right"/>
              <w:rPr>
                <w:rFonts w:ascii="Times New Roman" w:hAnsi="Times New Roman" w:cs="Times New Roman" w:eastAsia="Times New Roman" w:hint="default"/>
                <w:sz w:val="18"/>
                <w:szCs w:val="18"/>
              </w:rPr>
            </w:pPr>
            <w:r>
              <w:rPr>
                <w:rFonts w:ascii="Times New Roman"/>
                <w:sz w:val="18"/>
              </w:rPr>
              <w:t>22,931.25</w:t>
            </w:r>
          </w:p>
        </w:tc>
        <w:tc>
          <w:tcPr>
            <w:tcW w:w="101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02" w:right="175"/>
              <w:jc w:val="left"/>
              <w:rPr>
                <w:rFonts w:ascii="宋体" w:hAnsi="宋体" w:cs="宋体" w:eastAsia="宋体" w:hint="default"/>
                <w:sz w:val="18"/>
                <w:szCs w:val="18"/>
              </w:rPr>
            </w:pPr>
            <w:r>
              <w:rPr>
                <w:rFonts w:ascii="宋体" w:hAnsi="宋体" w:cs="宋体" w:eastAsia="宋体" w:hint="default"/>
                <w:sz w:val="18"/>
                <w:szCs w:val="18"/>
              </w:rPr>
              <w:t>与资产相 关</w:t>
            </w:r>
          </w:p>
        </w:tc>
      </w:tr>
      <w:tr>
        <w:trPr>
          <w:trHeight w:val="358" w:hRule="exact"/>
        </w:trPr>
        <w:tc>
          <w:tcPr>
            <w:tcW w:w="101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资金</w:t>
            </w:r>
          </w:p>
        </w:tc>
        <w:tc>
          <w:tcPr>
            <w:tcW w:w="1249" w:type="dxa"/>
            <w:tcBorders>
              <w:top w:val="nil" w:sz="6" w:space="0" w:color="auto"/>
              <w:left w:val="single" w:sz="4" w:space="0" w:color="000000"/>
              <w:bottom w:val="single" w:sz="4" w:space="0" w:color="000000"/>
              <w:right w:val="single" w:sz="4" w:space="0" w:color="000000"/>
            </w:tcBorders>
          </w:tcPr>
          <w:p>
            <w:pPr/>
          </w:p>
        </w:tc>
        <w:tc>
          <w:tcPr>
            <w:tcW w:w="1010" w:type="dxa"/>
            <w:vMerge/>
            <w:tcBorders>
              <w:left w:val="single" w:sz="4" w:space="0" w:color="000000"/>
              <w:bottom w:val="single" w:sz="4" w:space="0" w:color="000000"/>
              <w:right w:val="single" w:sz="4" w:space="0" w:color="000000"/>
            </w:tcBorders>
          </w:tcPr>
          <w:p>
            <w:pPr/>
          </w:p>
        </w:tc>
        <w:tc>
          <w:tcPr>
            <w:tcW w:w="1010" w:type="dxa"/>
            <w:vMerge/>
            <w:tcBorders>
              <w:left w:val="single" w:sz="4" w:space="0" w:color="000000"/>
              <w:bottom w:val="single" w:sz="4" w:space="0" w:color="000000"/>
              <w:right w:val="single" w:sz="4" w:space="0" w:color="000000"/>
            </w:tcBorders>
          </w:tcPr>
          <w:p>
            <w:pPr/>
          </w:p>
        </w:tc>
        <w:tc>
          <w:tcPr>
            <w:tcW w:w="1010" w:type="dxa"/>
            <w:tcBorders>
              <w:top w:val="nil" w:sz="6" w:space="0" w:color="auto"/>
              <w:left w:val="single" w:sz="4" w:space="0" w:color="000000"/>
              <w:bottom w:val="single" w:sz="4" w:space="0" w:color="000000"/>
              <w:right w:val="single" w:sz="4" w:space="0" w:color="000000"/>
            </w:tcBorders>
          </w:tcPr>
          <w:p>
            <w:pPr/>
          </w:p>
        </w:tc>
        <w:tc>
          <w:tcPr>
            <w:tcW w:w="1010" w:type="dxa"/>
            <w:vMerge/>
            <w:tcBorders>
              <w:left w:val="single" w:sz="4" w:space="0" w:color="000000"/>
              <w:bottom w:val="single" w:sz="4" w:space="0" w:color="000000"/>
              <w:right w:val="single" w:sz="4" w:space="0" w:color="000000"/>
            </w:tcBorders>
          </w:tcPr>
          <w:p>
            <w:pPr/>
          </w:p>
        </w:tc>
        <w:tc>
          <w:tcPr>
            <w:tcW w:w="1010" w:type="dxa"/>
            <w:vMerge/>
            <w:tcBorders>
              <w:left w:val="single" w:sz="4" w:space="0" w:color="000000"/>
              <w:bottom w:val="single" w:sz="4" w:space="0" w:color="000000"/>
              <w:right w:val="single" w:sz="4" w:space="0" w:color="000000"/>
            </w:tcBorders>
          </w:tcPr>
          <w:p>
            <w:pPr/>
          </w:p>
        </w:tc>
        <w:tc>
          <w:tcPr>
            <w:tcW w:w="1248" w:type="dxa"/>
            <w:tcBorders>
              <w:top w:val="nil" w:sz="6" w:space="0" w:color="auto"/>
              <w:left w:val="single" w:sz="4" w:space="0" w:color="000000"/>
              <w:bottom w:val="single" w:sz="4" w:space="0" w:color="000000"/>
              <w:right w:val="single" w:sz="4" w:space="0" w:color="000000"/>
            </w:tcBorders>
          </w:tcPr>
          <w:p>
            <w:pPr/>
          </w:p>
        </w:tc>
        <w:tc>
          <w:tcPr>
            <w:tcW w:w="1010" w:type="dxa"/>
            <w:tcBorders>
              <w:top w:val="nil" w:sz="6" w:space="0" w:color="auto"/>
              <w:left w:val="single" w:sz="4" w:space="0" w:color="000000"/>
              <w:bottom w:val="single" w:sz="4" w:space="0" w:color="000000"/>
              <w:right w:val="single" w:sz="4" w:space="0" w:color="000000"/>
            </w:tcBorders>
          </w:tcPr>
          <w:p>
            <w:pPr/>
          </w:p>
        </w:tc>
      </w:tr>
      <w:tr>
        <w:trPr>
          <w:trHeight w:val="714" w:hRule="exact"/>
        </w:trPr>
        <w:tc>
          <w:tcPr>
            <w:tcW w:w="1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1,693,776.25</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980,000.0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010" w:type="dxa"/>
            <w:tcBorders>
              <w:top w:val="single" w:sz="4" w:space="0" w:color="000000"/>
              <w:left w:val="single" w:sz="4" w:space="0" w:color="000000"/>
              <w:bottom w:val="single" w:sz="4" w:space="0" w:color="000000"/>
              <w:right w:val="single" w:sz="4" w:space="0" w:color="000000"/>
            </w:tcBorders>
          </w:tcPr>
          <w:p>
            <w:pP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558,345.0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010" w:type="dxa"/>
            <w:tcBorders>
              <w:top w:val="single" w:sz="4" w:space="0" w:color="000000"/>
              <w:left w:val="single" w:sz="4" w:space="0" w:color="000000"/>
              <w:bottom w:val="single" w:sz="4" w:space="0" w:color="000000"/>
              <w:right w:val="single" w:sz="4" w:space="0" w:color="000000"/>
            </w:tcBorders>
          </w:tcPr>
          <w:p>
            <w:pPr/>
          </w:p>
        </w:tc>
        <w:tc>
          <w:tcPr>
            <w:tcW w:w="1010"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2,115,431.25</w:t>
            </w:r>
          </w:p>
        </w:tc>
        <w:tc>
          <w:tcPr>
            <w:tcW w:w="1010"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49"/>
        <w:ind w:right="0"/>
        <w:jc w:val="left"/>
      </w:pPr>
      <w:r>
        <w:rPr/>
        <w:t>其他说明：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52</w:t>
      </w:r>
      <w:r>
        <w:rPr/>
        <w:t>、其他非流动负债</w:t>
      </w:r>
      <w:r>
        <w:rPr>
          <w:b w:val="0"/>
          <w:bCs w:val="0"/>
        </w:rPr>
      </w:r>
    </w:p>
    <w:p>
      <w:pPr>
        <w:spacing w:line="240" w:lineRule="auto" w:before="1"/>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906" w:footer="1018" w:top="1100" w:bottom="1200" w:left="1020" w:right="0"/>
        </w:sectPr>
      </w:pPr>
    </w:p>
    <w:p>
      <w:pPr>
        <w:pStyle w:val="BodyText"/>
        <w:spacing w:line="240" w:lineRule="auto" w:before="44"/>
        <w:ind w:right="-20"/>
        <w:jc w:val="left"/>
      </w:pPr>
      <w:r>
        <w:rPr/>
        <w:t>是否已执行新收入准则</w:t>
      </w:r>
    </w:p>
    <w:p>
      <w:pPr>
        <w:pStyle w:val="BodyText"/>
        <w:spacing w:line="240" w:lineRule="auto" w:before="116"/>
        <w:ind w:right="-20"/>
        <w:jc w:val="left"/>
      </w:pPr>
      <w:r>
        <w:rPr/>
        <w:t>□ 是 √ 否</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pStyle w:val="BodyText"/>
        <w:spacing w:line="240" w:lineRule="auto"/>
        <w:ind w:right="0"/>
        <w:jc w:val="left"/>
      </w:pPr>
      <w:r>
        <w:rPr/>
        <w:t>单位：</w:t>
      </w:r>
      <w:r>
        <w:rPr>
          <w:spacing w:val="-1"/>
        </w:rPr>
        <w:t> </w:t>
      </w:r>
      <w:r>
        <w:rPr/>
        <w:t>元</w:t>
      </w:r>
    </w:p>
    <w:p>
      <w:pPr>
        <w:spacing w:after="0" w:line="240" w:lineRule="auto"/>
        <w:jc w:val="left"/>
        <w:sectPr>
          <w:type w:val="continuous"/>
          <w:pgSz w:w="11910" w:h="16840"/>
          <w:pgMar w:top="1100" w:bottom="1200" w:left="1020" w:right="0"/>
          <w:cols w:num="2" w:equalWidth="0">
            <w:col w:w="1914" w:space="6914"/>
            <w:col w:w="2062"/>
          </w:cols>
        </w:sectPr>
      </w:pP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240" w:lineRule="auto" w:before="49"/>
        <w:ind w:right="0"/>
        <w:jc w:val="left"/>
      </w:pPr>
      <w:r>
        <w:rPr/>
        <w:t>其他说明：</w:t>
      </w:r>
    </w:p>
    <w:p>
      <w:pPr>
        <w:spacing w:line="240" w:lineRule="auto" w:before="13"/>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53</w:t>
      </w:r>
      <w:r>
        <w:rPr/>
        <w:t>、股本</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spacing w:val="-1"/>
        </w:rPr>
        <w:t>单位：元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195"/>
        <w:gridCol w:w="1197"/>
        <w:gridCol w:w="1196"/>
        <w:gridCol w:w="1196"/>
        <w:gridCol w:w="1196"/>
        <w:gridCol w:w="1196"/>
        <w:gridCol w:w="1196"/>
        <w:gridCol w:w="1196"/>
      </w:tblGrid>
      <w:tr>
        <w:trPr>
          <w:trHeight w:val="401" w:hRule="exact"/>
        </w:trPr>
        <w:tc>
          <w:tcPr>
            <w:tcW w:w="1195" w:type="dxa"/>
            <w:vMerge w:val="restart"/>
            <w:tcBorders>
              <w:top w:val="single" w:sz="4" w:space="0" w:color="000000"/>
              <w:left w:val="single" w:sz="4" w:space="0" w:color="000000"/>
              <w:right w:val="single" w:sz="4" w:space="0" w:color="000000"/>
            </w:tcBorders>
            <w:shd w:val="clear" w:color="auto" w:fill="D3D3D3"/>
          </w:tcPr>
          <w:p>
            <w:pPr/>
          </w:p>
        </w:tc>
        <w:tc>
          <w:tcPr>
            <w:tcW w:w="1197"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3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5980" w:type="dxa"/>
            <w:gridSpan w:val="5"/>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本次变动增减（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196"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32"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195" w:type="dxa"/>
            <w:vMerge/>
            <w:tcBorders>
              <w:left w:val="single" w:sz="4" w:space="0" w:color="000000"/>
              <w:bottom w:val="single" w:sz="4" w:space="0" w:color="000000"/>
              <w:right w:val="single" w:sz="4" w:space="0" w:color="000000"/>
            </w:tcBorders>
            <w:shd w:val="clear" w:color="auto" w:fill="D3D3D3"/>
          </w:tcPr>
          <w:p>
            <w:pPr/>
          </w:p>
        </w:tc>
        <w:tc>
          <w:tcPr>
            <w:tcW w:w="1197" w:type="dxa"/>
            <w:vMerge/>
            <w:tcBorders>
              <w:left w:val="single" w:sz="4" w:space="0" w:color="000000"/>
              <w:bottom w:val="single" w:sz="4" w:space="0" w:color="000000"/>
              <w:right w:val="single" w:sz="4" w:space="0" w:color="000000"/>
            </w:tcBorders>
            <w:shd w:val="clear" w:color="auto" w:fill="D3D3D3"/>
          </w:tcPr>
          <w:p>
            <w:pPr/>
          </w:p>
        </w:tc>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233"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送股</w:t>
            </w:r>
          </w:p>
        </w:tc>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42" w:right="0"/>
              <w:jc w:val="left"/>
              <w:rPr>
                <w:rFonts w:ascii="宋体" w:hAnsi="宋体" w:cs="宋体" w:eastAsia="宋体" w:hint="default"/>
                <w:sz w:val="18"/>
                <w:szCs w:val="18"/>
              </w:rPr>
            </w:pPr>
            <w:r>
              <w:rPr>
                <w:rFonts w:ascii="宋体" w:hAnsi="宋体" w:cs="宋体" w:eastAsia="宋体" w:hint="default"/>
                <w:sz w:val="18"/>
                <w:szCs w:val="18"/>
              </w:rPr>
              <w:t>公积金转股</w:t>
            </w:r>
          </w:p>
        </w:tc>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1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小计</w:t>
            </w:r>
          </w:p>
        </w:tc>
        <w:tc>
          <w:tcPr>
            <w:tcW w:w="1196" w:type="dxa"/>
            <w:vMerge/>
            <w:tcBorders>
              <w:left w:val="single" w:sz="4" w:space="0" w:color="000000"/>
              <w:bottom w:val="single" w:sz="4" w:space="0" w:color="000000"/>
              <w:right w:val="single" w:sz="4" w:space="0" w:color="000000"/>
            </w:tcBorders>
            <w:shd w:val="clear" w:color="auto" w:fill="D3D3D3"/>
          </w:tcPr>
          <w:p>
            <w:pPr/>
          </w:p>
        </w:tc>
      </w:tr>
      <w:tr>
        <w:trPr>
          <w:trHeight w:val="715" w:hRule="exact"/>
        </w:trPr>
        <w:tc>
          <w:tcPr>
            <w:tcW w:w="11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股份总数</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712,028,800.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00</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w w:val="95"/>
                <w:sz w:val="18"/>
              </w:rPr>
              <w:t>-15,107,446.</w:t>
            </w:r>
            <w:r>
              <w:rPr>
                <w:rFonts w:ascii="Times New Roman"/>
                <w:sz w:val="18"/>
              </w:rPr>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w w:val="95"/>
                <w:sz w:val="18"/>
              </w:rPr>
              <w:t>-15,107,446.</w:t>
            </w:r>
            <w:r>
              <w:rPr>
                <w:rFonts w:ascii="Times New Roman"/>
                <w:sz w:val="18"/>
              </w:rPr>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696,921,354.</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00</w:t>
            </w:r>
          </w:p>
        </w:tc>
      </w:tr>
    </w:tbl>
    <w:p>
      <w:pPr>
        <w:pStyle w:val="BodyText"/>
        <w:spacing w:line="357" w:lineRule="auto" w:before="49"/>
        <w:ind w:right="9090"/>
        <w:jc w:val="left"/>
      </w:pPr>
      <w:r>
        <w:rPr/>
        <w:t>其他说明： 注：详见附注七</w:t>
      </w:r>
      <w:r>
        <w:rPr>
          <w:rFonts w:ascii="Times New Roman" w:hAnsi="Times New Roman" w:cs="Times New Roman" w:eastAsia="Times New Roman" w:hint="default"/>
        </w:rPr>
        <w:t>-56</w:t>
      </w:r>
      <w:r>
        <w:rPr/>
        <w:t>。</w:t>
      </w:r>
    </w:p>
    <w:p>
      <w:pPr>
        <w:pStyle w:val="BodyText"/>
        <w:spacing w:line="338" w:lineRule="auto" w:before="5"/>
        <w:ind w:right="2562"/>
        <w:jc w:val="left"/>
      </w:pPr>
      <w:r>
        <w:rPr/>
        <w:t>公司控股股东钱京先生将其所持有的部分公司股票进行质押。截至期末，累计质押股数为</w:t>
      </w:r>
      <w:r>
        <w:rPr>
          <w:rFonts w:ascii="Times New Roman" w:hAnsi="Times New Roman" w:cs="Times New Roman" w:eastAsia="Times New Roman" w:hint="default"/>
        </w:rPr>
        <w:t>61,199,997</w:t>
      </w:r>
      <w:r>
        <w:rPr/>
        <w:t>股。 质押情况如下：</w:t>
      </w:r>
    </w:p>
    <w:p>
      <w:pPr>
        <w:spacing w:line="240" w:lineRule="auto" w:before="8"/>
        <w:rPr>
          <w:rFonts w:ascii="宋体" w:hAnsi="宋体" w:cs="宋体" w:eastAsia="宋体" w:hint="default"/>
          <w:sz w:val="2"/>
          <w:szCs w:val="2"/>
        </w:rPr>
      </w:pPr>
    </w:p>
    <w:tbl>
      <w:tblPr>
        <w:tblW w:w="0" w:type="auto"/>
        <w:jc w:val="left"/>
        <w:tblInd w:w="106" w:type="dxa"/>
        <w:tblLayout w:type="fixed"/>
        <w:tblCellMar>
          <w:top w:w="0" w:type="dxa"/>
          <w:left w:w="0" w:type="dxa"/>
          <w:bottom w:w="0" w:type="dxa"/>
          <w:right w:w="0" w:type="dxa"/>
        </w:tblCellMar>
        <w:tblLook w:val="01E0"/>
      </w:tblPr>
      <w:tblGrid>
        <w:gridCol w:w="698"/>
        <w:gridCol w:w="810"/>
        <w:gridCol w:w="1146"/>
        <w:gridCol w:w="1001"/>
        <w:gridCol w:w="1728"/>
        <w:gridCol w:w="1674"/>
        <w:gridCol w:w="890"/>
        <w:gridCol w:w="852"/>
      </w:tblGrid>
      <w:tr>
        <w:trPr>
          <w:trHeight w:val="738" w:hRule="exact"/>
        </w:trPr>
        <w:tc>
          <w:tcPr>
            <w:tcW w:w="698"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9"/>
              <w:ind w:left="2" w:right="1"/>
              <w:jc w:val="left"/>
              <w:rPr>
                <w:rFonts w:ascii="宋体" w:hAnsi="宋体" w:cs="宋体" w:eastAsia="宋体" w:hint="default"/>
                <w:sz w:val="18"/>
                <w:szCs w:val="18"/>
              </w:rPr>
            </w:pPr>
            <w:r>
              <w:rPr>
                <w:rFonts w:ascii="宋体" w:hAnsi="宋体" w:cs="宋体" w:eastAsia="宋体" w:hint="default"/>
                <w:sz w:val="18"/>
                <w:szCs w:val="18"/>
              </w:rPr>
              <w:t>股 东</w:t>
            </w:r>
            <w:r>
              <w:rPr>
                <w:rFonts w:ascii="宋体" w:hAnsi="宋体" w:cs="宋体" w:eastAsia="宋体" w:hint="default"/>
                <w:spacing w:val="-42"/>
                <w:sz w:val="18"/>
                <w:szCs w:val="18"/>
              </w:rPr>
              <w:t> </w:t>
            </w:r>
            <w:r>
              <w:rPr>
                <w:rFonts w:ascii="宋体" w:hAnsi="宋体" w:cs="宋体" w:eastAsia="宋体" w:hint="default"/>
                <w:sz w:val="18"/>
                <w:szCs w:val="18"/>
              </w:rPr>
              <w:t>名</w:t>
            </w:r>
            <w:r>
              <w:rPr>
                <w:rFonts w:ascii="宋体" w:hAnsi="宋体" w:cs="宋体" w:eastAsia="宋体" w:hint="default"/>
                <w:sz w:val="18"/>
                <w:szCs w:val="18"/>
              </w:rPr>
              <w:t> 称</w:t>
            </w:r>
          </w:p>
        </w:tc>
        <w:tc>
          <w:tcPr>
            <w:tcW w:w="8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left="2" w:right="0"/>
              <w:jc w:val="left"/>
              <w:rPr>
                <w:rFonts w:ascii="宋体" w:hAnsi="宋体" w:cs="宋体" w:eastAsia="宋体" w:hint="default"/>
                <w:sz w:val="18"/>
                <w:szCs w:val="18"/>
              </w:rPr>
            </w:pPr>
            <w:r>
              <w:rPr>
                <w:rFonts w:ascii="宋体" w:hAnsi="宋体" w:cs="宋体" w:eastAsia="宋体" w:hint="default"/>
                <w:sz w:val="18"/>
                <w:szCs w:val="18"/>
              </w:rPr>
              <w:t>质押股数</w:t>
            </w:r>
          </w:p>
        </w:tc>
        <w:tc>
          <w:tcPr>
            <w:tcW w:w="11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left="2" w:right="0"/>
              <w:jc w:val="left"/>
              <w:rPr>
                <w:rFonts w:ascii="宋体" w:hAnsi="宋体" w:cs="宋体" w:eastAsia="宋体" w:hint="default"/>
                <w:sz w:val="18"/>
                <w:szCs w:val="18"/>
              </w:rPr>
            </w:pPr>
            <w:r>
              <w:rPr>
                <w:rFonts w:ascii="宋体" w:hAnsi="宋体" w:cs="宋体" w:eastAsia="宋体" w:hint="default"/>
                <w:sz w:val="18"/>
                <w:szCs w:val="18"/>
              </w:rPr>
              <w:t>质押开始日</w:t>
            </w:r>
          </w:p>
        </w:tc>
        <w:tc>
          <w:tcPr>
            <w:tcW w:w="10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left="2" w:right="0"/>
              <w:jc w:val="left"/>
              <w:rPr>
                <w:rFonts w:ascii="宋体" w:hAnsi="宋体" w:cs="宋体" w:eastAsia="宋体" w:hint="default"/>
                <w:sz w:val="18"/>
                <w:szCs w:val="18"/>
              </w:rPr>
            </w:pPr>
            <w:r>
              <w:rPr>
                <w:rFonts w:ascii="宋体" w:hAnsi="宋体" w:cs="宋体" w:eastAsia="宋体" w:hint="default"/>
                <w:sz w:val="18"/>
                <w:szCs w:val="18"/>
              </w:rPr>
              <w:t>质押到期日</w:t>
            </w:r>
          </w:p>
        </w:tc>
        <w:tc>
          <w:tcPr>
            <w:tcW w:w="17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left="3" w:right="0"/>
              <w:jc w:val="left"/>
              <w:rPr>
                <w:rFonts w:ascii="宋体" w:hAnsi="宋体" w:cs="宋体" w:eastAsia="宋体" w:hint="default"/>
                <w:sz w:val="18"/>
                <w:szCs w:val="18"/>
              </w:rPr>
            </w:pPr>
            <w:r>
              <w:rPr>
                <w:rFonts w:ascii="宋体" w:hAnsi="宋体" w:cs="宋体" w:eastAsia="宋体" w:hint="default"/>
                <w:sz w:val="18"/>
                <w:szCs w:val="18"/>
              </w:rPr>
              <w:t>质权人</w:t>
            </w:r>
          </w:p>
        </w:tc>
        <w:tc>
          <w:tcPr>
            <w:tcW w:w="1674"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9"/>
              <w:ind w:left="3" w:right="1"/>
              <w:jc w:val="left"/>
              <w:rPr>
                <w:rFonts w:ascii="宋体" w:hAnsi="宋体" w:cs="宋体" w:eastAsia="宋体" w:hint="default"/>
                <w:sz w:val="18"/>
                <w:szCs w:val="18"/>
              </w:rPr>
            </w:pPr>
            <w:r>
              <w:rPr>
                <w:rFonts w:ascii="宋体" w:hAnsi="宋体" w:cs="宋体" w:eastAsia="宋体" w:hint="default"/>
                <w:spacing w:val="3"/>
                <w:sz w:val="18"/>
                <w:szCs w:val="18"/>
              </w:rPr>
              <w:t>占其所持公司股份比</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例</w:t>
            </w:r>
          </w:p>
        </w:tc>
        <w:tc>
          <w:tcPr>
            <w:tcW w:w="89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9"/>
              <w:ind w:left="3" w:right="2"/>
              <w:jc w:val="left"/>
              <w:rPr>
                <w:rFonts w:ascii="宋体" w:hAnsi="宋体" w:cs="宋体" w:eastAsia="宋体" w:hint="default"/>
                <w:sz w:val="18"/>
                <w:szCs w:val="18"/>
              </w:rPr>
            </w:pPr>
            <w:r>
              <w:rPr>
                <w:rFonts w:ascii="宋体" w:hAnsi="宋体" w:cs="宋体" w:eastAsia="宋体" w:hint="default"/>
                <w:sz w:val="18"/>
                <w:szCs w:val="18"/>
              </w:rPr>
              <w:t>占</w:t>
            </w:r>
            <w:r>
              <w:rPr>
                <w:rFonts w:ascii="宋体" w:hAnsi="宋体" w:cs="宋体" w:eastAsia="宋体" w:hint="default"/>
                <w:spacing w:val="-41"/>
                <w:sz w:val="18"/>
                <w:szCs w:val="18"/>
              </w:rPr>
              <w:t> </w:t>
            </w:r>
            <w:r>
              <w:rPr>
                <w:rFonts w:ascii="宋体" w:hAnsi="宋体" w:cs="宋体" w:eastAsia="宋体" w:hint="default"/>
                <w:sz w:val="18"/>
                <w:szCs w:val="18"/>
              </w:rPr>
              <w:t>股</w:t>
            </w:r>
            <w:r>
              <w:rPr>
                <w:rFonts w:ascii="宋体" w:hAnsi="宋体" w:cs="宋体" w:eastAsia="宋体" w:hint="default"/>
                <w:spacing w:val="-41"/>
                <w:sz w:val="18"/>
                <w:szCs w:val="18"/>
              </w:rPr>
              <w:t> </w:t>
            </w:r>
            <w:r>
              <w:rPr>
                <w:rFonts w:ascii="宋体" w:hAnsi="宋体" w:cs="宋体" w:eastAsia="宋体" w:hint="default"/>
                <w:sz w:val="18"/>
                <w:szCs w:val="18"/>
              </w:rPr>
              <w:t>本</w:t>
            </w:r>
            <w:r>
              <w:rPr>
                <w:rFonts w:ascii="宋体" w:hAnsi="宋体" w:cs="宋体" w:eastAsia="宋体" w:hint="default"/>
                <w:spacing w:val="-40"/>
                <w:sz w:val="18"/>
                <w:szCs w:val="18"/>
              </w:rPr>
              <w:t> </w:t>
            </w:r>
            <w:r>
              <w:rPr>
                <w:rFonts w:ascii="宋体" w:hAnsi="宋体" w:cs="宋体" w:eastAsia="宋体" w:hint="default"/>
                <w:sz w:val="18"/>
                <w:szCs w:val="18"/>
              </w:rPr>
              <w:t>比</w:t>
            </w:r>
            <w:r>
              <w:rPr>
                <w:rFonts w:ascii="宋体" w:hAnsi="宋体" w:cs="宋体" w:eastAsia="宋体" w:hint="default"/>
                <w:sz w:val="18"/>
                <w:szCs w:val="18"/>
              </w:rPr>
              <w:t> 例</w:t>
            </w:r>
          </w:p>
        </w:tc>
        <w:tc>
          <w:tcPr>
            <w:tcW w:w="8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left="2" w:right="0"/>
              <w:jc w:val="left"/>
              <w:rPr>
                <w:rFonts w:ascii="宋体" w:hAnsi="宋体" w:cs="宋体" w:eastAsia="宋体" w:hint="default"/>
                <w:sz w:val="18"/>
                <w:szCs w:val="18"/>
              </w:rPr>
            </w:pPr>
            <w:r>
              <w:rPr>
                <w:rFonts w:ascii="宋体" w:hAnsi="宋体" w:cs="宋体" w:eastAsia="宋体" w:hint="default"/>
                <w:sz w:val="18"/>
                <w:szCs w:val="18"/>
              </w:rPr>
              <w:t>用途</w:t>
            </w:r>
          </w:p>
        </w:tc>
      </w:tr>
    </w:tbl>
    <w:p>
      <w:pPr>
        <w:spacing w:after="0" w:line="240" w:lineRule="auto"/>
        <w:jc w:val="left"/>
        <w:rPr>
          <w:rFonts w:ascii="宋体" w:hAnsi="宋体" w:cs="宋体" w:eastAsia="宋体" w:hint="default"/>
          <w:sz w:val="18"/>
          <w:szCs w:val="18"/>
        </w:rPr>
        <w:sectPr>
          <w:type w:val="continuous"/>
          <w:pgSz w:w="11910" w:h="16840"/>
          <w:pgMar w:top="1100" w:bottom="1200" w:left="1020" w:right="0"/>
        </w:sectPr>
      </w:pPr>
    </w:p>
    <w:p>
      <w:pPr>
        <w:spacing w:line="240" w:lineRule="auto" w:before="7"/>
        <w:rPr>
          <w:rFonts w:ascii="宋体" w:hAnsi="宋体" w:cs="宋体" w:eastAsia="宋体" w:hint="default"/>
          <w:sz w:val="25"/>
          <w:szCs w:val="25"/>
        </w:rPr>
      </w:pPr>
    </w:p>
    <w:tbl>
      <w:tblPr>
        <w:tblW w:w="0" w:type="auto"/>
        <w:jc w:val="left"/>
        <w:tblInd w:w="106" w:type="dxa"/>
        <w:tblLayout w:type="fixed"/>
        <w:tblCellMar>
          <w:top w:w="0" w:type="dxa"/>
          <w:left w:w="0" w:type="dxa"/>
          <w:bottom w:w="0" w:type="dxa"/>
          <w:right w:w="0" w:type="dxa"/>
        </w:tblCellMar>
        <w:tblLook w:val="01E0"/>
      </w:tblPr>
      <w:tblGrid>
        <w:gridCol w:w="698"/>
        <w:gridCol w:w="810"/>
        <w:gridCol w:w="1146"/>
        <w:gridCol w:w="1001"/>
        <w:gridCol w:w="1728"/>
        <w:gridCol w:w="1674"/>
        <w:gridCol w:w="890"/>
        <w:gridCol w:w="852"/>
      </w:tblGrid>
      <w:tr>
        <w:trPr>
          <w:trHeight w:val="739" w:hRule="exact"/>
        </w:trPr>
        <w:tc>
          <w:tcPr>
            <w:tcW w:w="6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钱京</w:t>
            </w:r>
          </w:p>
        </w:tc>
        <w:tc>
          <w:tcPr>
            <w:tcW w:w="8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16,218,71</w:t>
            </w:r>
          </w:p>
          <w:p>
            <w:pPr>
              <w:pStyle w:val="TableParagraph"/>
              <w:spacing w:line="240" w:lineRule="auto" w:before="105"/>
              <w:ind w:right="2"/>
              <w:jc w:val="right"/>
              <w:rPr>
                <w:rFonts w:ascii="Times New Roman" w:hAnsi="Times New Roman" w:cs="Times New Roman" w:eastAsia="Times New Roman" w:hint="default"/>
                <w:sz w:val="18"/>
                <w:szCs w:val="18"/>
              </w:rPr>
            </w:pPr>
            <w:r>
              <w:rPr>
                <w:rFonts w:ascii="Times New Roman"/>
                <w:sz w:val="18"/>
              </w:rPr>
              <w:t>0</w:t>
            </w:r>
          </w:p>
        </w:tc>
        <w:tc>
          <w:tcPr>
            <w:tcW w:w="11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sz w:val="18"/>
                <w:szCs w:val="18"/>
              </w:rPr>
              <w:t>2017</w:t>
            </w:r>
            <w:r>
              <w:rPr>
                <w:rFonts w:ascii="宋体" w:hAnsi="宋体" w:cs="宋体" w:eastAsia="宋体" w:hint="default"/>
                <w:spacing w:val="-1"/>
                <w:sz w:val="18"/>
                <w:szCs w:val="18"/>
              </w:rPr>
              <w:t>年</w:t>
            </w:r>
            <w:r>
              <w:rPr>
                <w:rFonts w:ascii="Times New Roman" w:hAnsi="Times New Roman" w:cs="Times New Roman" w:eastAsia="Times New Roman" w:hint="default"/>
                <w:spacing w:val="-1"/>
                <w:sz w:val="18"/>
                <w:szCs w:val="18"/>
              </w:rPr>
              <w:t>12</w:t>
            </w:r>
            <w:r>
              <w:rPr>
                <w:rFonts w:ascii="宋体" w:hAnsi="宋体" w:cs="宋体" w:eastAsia="宋体" w:hint="default"/>
                <w:spacing w:val="-1"/>
                <w:sz w:val="18"/>
                <w:szCs w:val="18"/>
              </w:rPr>
              <w:t>月</w:t>
            </w:r>
            <w:r>
              <w:rPr>
                <w:rFonts w:ascii="Times New Roman" w:hAnsi="Times New Roman" w:cs="Times New Roman" w:eastAsia="Times New Roman" w:hint="default"/>
                <w:spacing w:val="-1"/>
                <w:sz w:val="18"/>
                <w:szCs w:val="18"/>
              </w:rPr>
              <w:t>11</w:t>
            </w:r>
          </w:p>
          <w:p>
            <w:pPr>
              <w:pStyle w:val="TableParagraph"/>
              <w:spacing w:line="240" w:lineRule="auto" w:before="62"/>
              <w:ind w:right="0"/>
              <w:jc w:val="right"/>
              <w:rPr>
                <w:rFonts w:ascii="宋体" w:hAnsi="宋体" w:cs="宋体" w:eastAsia="宋体" w:hint="default"/>
                <w:sz w:val="18"/>
                <w:szCs w:val="18"/>
              </w:rPr>
            </w:pPr>
            <w:r>
              <w:rPr>
                <w:rFonts w:ascii="宋体" w:hAnsi="宋体" w:cs="宋体" w:eastAsia="宋体" w:hint="default"/>
                <w:sz w:val="18"/>
                <w:szCs w:val="18"/>
              </w:rPr>
              <w:t>日</w:t>
            </w:r>
          </w:p>
        </w:tc>
        <w:tc>
          <w:tcPr>
            <w:tcW w:w="10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w:t>
            </w:r>
            <w:r>
              <w:rPr>
                <w:rFonts w:ascii="宋体" w:hAnsi="宋体" w:cs="宋体" w:eastAsia="宋体" w:hint="default"/>
                <w:sz w:val="18"/>
                <w:szCs w:val="18"/>
              </w:rPr>
              <w:t>年</w:t>
            </w:r>
            <w:r>
              <w:rPr>
                <w:rFonts w:ascii="Times New Roman" w:hAnsi="Times New Roman" w:cs="Times New Roman" w:eastAsia="Times New Roman" w:hint="default"/>
                <w:sz w:val="18"/>
                <w:szCs w:val="18"/>
              </w:rPr>
              <w:t>5</w:t>
            </w:r>
            <w:r>
              <w:rPr>
                <w:rFonts w:ascii="宋体" w:hAnsi="宋体" w:cs="宋体" w:eastAsia="宋体" w:hint="default"/>
                <w:sz w:val="18"/>
                <w:szCs w:val="18"/>
              </w:rPr>
              <w:t>月</w:t>
            </w:r>
            <w:r>
              <w:rPr>
                <w:rFonts w:ascii="Times New Roman" w:hAnsi="Times New Roman" w:cs="Times New Roman" w:eastAsia="Times New Roman" w:hint="default"/>
                <w:sz w:val="18"/>
                <w:szCs w:val="18"/>
              </w:rPr>
              <w:t>8</w:t>
            </w:r>
          </w:p>
          <w:p>
            <w:pPr>
              <w:pStyle w:val="TableParagraph"/>
              <w:spacing w:line="240" w:lineRule="auto" w:before="62"/>
              <w:ind w:right="0"/>
              <w:jc w:val="right"/>
              <w:rPr>
                <w:rFonts w:ascii="宋体" w:hAnsi="宋体" w:cs="宋体" w:eastAsia="宋体" w:hint="default"/>
                <w:sz w:val="18"/>
                <w:szCs w:val="18"/>
              </w:rPr>
            </w:pPr>
            <w:r>
              <w:rPr>
                <w:rFonts w:ascii="宋体" w:hAnsi="宋体" w:cs="宋体" w:eastAsia="宋体" w:hint="default"/>
                <w:sz w:val="18"/>
                <w:szCs w:val="18"/>
              </w:rPr>
              <w:t>日</w:t>
            </w:r>
          </w:p>
        </w:tc>
        <w:tc>
          <w:tcPr>
            <w:tcW w:w="1728"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60"/>
              <w:ind w:left="93" w:right="2"/>
              <w:jc w:val="left"/>
              <w:rPr>
                <w:rFonts w:ascii="宋体" w:hAnsi="宋体" w:cs="宋体" w:eastAsia="宋体" w:hint="default"/>
                <w:sz w:val="18"/>
                <w:szCs w:val="18"/>
              </w:rPr>
            </w:pPr>
            <w:r>
              <w:rPr>
                <w:rFonts w:ascii="宋体" w:hAnsi="宋体" w:cs="宋体" w:eastAsia="宋体" w:hint="default"/>
                <w:sz w:val="18"/>
                <w:szCs w:val="18"/>
              </w:rPr>
              <w:t>海</w:t>
            </w:r>
            <w:r>
              <w:rPr>
                <w:rFonts w:ascii="宋体" w:hAnsi="宋体" w:cs="宋体" w:eastAsia="宋体" w:hint="default"/>
                <w:spacing w:val="-66"/>
                <w:sz w:val="18"/>
                <w:szCs w:val="18"/>
              </w:rPr>
              <w:t> </w:t>
            </w:r>
            <w:r>
              <w:rPr>
                <w:rFonts w:ascii="宋体" w:hAnsi="宋体" w:cs="宋体" w:eastAsia="宋体" w:hint="default"/>
                <w:sz w:val="18"/>
                <w:szCs w:val="18"/>
              </w:rPr>
              <w:t>通</w:t>
            </w:r>
            <w:r>
              <w:rPr>
                <w:rFonts w:ascii="宋体" w:hAnsi="宋体" w:cs="宋体" w:eastAsia="宋体" w:hint="default"/>
                <w:spacing w:val="-64"/>
                <w:sz w:val="18"/>
                <w:szCs w:val="18"/>
              </w:rPr>
              <w:t> </w:t>
            </w:r>
            <w:r>
              <w:rPr>
                <w:rFonts w:ascii="宋体" w:hAnsi="宋体" w:cs="宋体" w:eastAsia="宋体" w:hint="default"/>
                <w:sz w:val="18"/>
                <w:szCs w:val="18"/>
              </w:rPr>
              <w:t>证</w:t>
            </w:r>
            <w:r>
              <w:rPr>
                <w:rFonts w:ascii="宋体" w:hAnsi="宋体" w:cs="宋体" w:eastAsia="宋体" w:hint="default"/>
                <w:spacing w:val="-66"/>
                <w:sz w:val="18"/>
                <w:szCs w:val="18"/>
              </w:rPr>
              <w:t> </w:t>
            </w:r>
            <w:r>
              <w:rPr>
                <w:rFonts w:ascii="宋体" w:hAnsi="宋体" w:cs="宋体" w:eastAsia="宋体" w:hint="default"/>
                <w:sz w:val="18"/>
                <w:szCs w:val="18"/>
              </w:rPr>
              <w:t>券</w:t>
            </w:r>
            <w:r>
              <w:rPr>
                <w:rFonts w:ascii="宋体" w:hAnsi="宋体" w:cs="宋体" w:eastAsia="宋体" w:hint="default"/>
                <w:spacing w:val="-64"/>
                <w:sz w:val="18"/>
                <w:szCs w:val="18"/>
              </w:rPr>
              <w:t> </w:t>
            </w:r>
            <w:r>
              <w:rPr>
                <w:rFonts w:ascii="宋体" w:hAnsi="宋体" w:cs="宋体" w:eastAsia="宋体" w:hint="default"/>
                <w:sz w:val="18"/>
                <w:szCs w:val="18"/>
              </w:rPr>
              <w:t>股</w:t>
            </w:r>
            <w:r>
              <w:rPr>
                <w:rFonts w:ascii="宋体" w:hAnsi="宋体" w:cs="宋体" w:eastAsia="宋体" w:hint="default"/>
                <w:spacing w:val="-66"/>
                <w:sz w:val="18"/>
                <w:szCs w:val="18"/>
              </w:rPr>
              <w:t> </w:t>
            </w:r>
            <w:r>
              <w:rPr>
                <w:rFonts w:ascii="宋体" w:hAnsi="宋体" w:cs="宋体" w:eastAsia="宋体" w:hint="default"/>
                <w:sz w:val="18"/>
                <w:szCs w:val="18"/>
              </w:rPr>
              <w:t>份</w:t>
            </w:r>
            <w:r>
              <w:rPr>
                <w:rFonts w:ascii="宋体" w:hAnsi="宋体" w:cs="宋体" w:eastAsia="宋体" w:hint="default"/>
                <w:spacing w:val="-65"/>
                <w:sz w:val="18"/>
                <w:szCs w:val="18"/>
              </w:rPr>
              <w:t> </w:t>
            </w:r>
            <w:r>
              <w:rPr>
                <w:rFonts w:ascii="宋体" w:hAnsi="宋体" w:cs="宋体" w:eastAsia="宋体" w:hint="default"/>
                <w:sz w:val="18"/>
                <w:szCs w:val="18"/>
              </w:rPr>
              <w:t>有</w:t>
            </w:r>
            <w:r>
              <w:rPr>
                <w:rFonts w:ascii="宋体" w:hAnsi="宋体" w:cs="宋体" w:eastAsia="宋体" w:hint="default"/>
                <w:spacing w:val="-65"/>
                <w:sz w:val="18"/>
                <w:szCs w:val="18"/>
              </w:rPr>
              <w:t> </w:t>
            </w:r>
            <w:r>
              <w:rPr>
                <w:rFonts w:ascii="宋体" w:hAnsi="宋体" w:cs="宋体" w:eastAsia="宋体" w:hint="default"/>
                <w:sz w:val="18"/>
                <w:szCs w:val="18"/>
              </w:rPr>
              <w:t>限</w:t>
            </w:r>
            <w:r>
              <w:rPr>
                <w:rFonts w:ascii="宋体" w:hAnsi="宋体" w:cs="宋体" w:eastAsia="宋体" w:hint="default"/>
                <w:sz w:val="18"/>
                <w:szCs w:val="18"/>
              </w:rPr>
              <w:t> 公司</w:t>
            </w:r>
          </w:p>
        </w:tc>
        <w:tc>
          <w:tcPr>
            <w:tcW w:w="16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right"/>
              <w:rPr>
                <w:rFonts w:ascii="Times New Roman" w:hAnsi="Times New Roman" w:cs="Times New Roman" w:eastAsia="Times New Roman" w:hint="default"/>
                <w:sz w:val="18"/>
                <w:szCs w:val="18"/>
              </w:rPr>
            </w:pPr>
            <w:r>
              <w:rPr>
                <w:rFonts w:ascii="Times New Roman"/>
                <w:spacing w:val="-2"/>
                <w:sz w:val="18"/>
              </w:rPr>
              <w:t>11.27%</w:t>
            </w:r>
          </w:p>
        </w:tc>
        <w:tc>
          <w:tcPr>
            <w:tcW w:w="8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right"/>
              <w:rPr>
                <w:rFonts w:ascii="Times New Roman" w:hAnsi="Times New Roman" w:cs="Times New Roman" w:eastAsia="Times New Roman" w:hint="default"/>
                <w:sz w:val="18"/>
                <w:szCs w:val="18"/>
              </w:rPr>
            </w:pPr>
            <w:r>
              <w:rPr>
                <w:rFonts w:ascii="Times New Roman"/>
                <w:w w:val="95"/>
                <w:sz w:val="18"/>
              </w:rPr>
              <w:t>2.33%</w:t>
            </w:r>
            <w:r>
              <w:rPr>
                <w:rFonts w:ascii="Times New Roman"/>
                <w:sz w:val="18"/>
              </w:rPr>
            </w:r>
          </w:p>
        </w:tc>
        <w:tc>
          <w:tcPr>
            <w:tcW w:w="852"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60"/>
              <w:ind w:left="2" w:right="1"/>
              <w:jc w:val="left"/>
              <w:rPr>
                <w:rFonts w:ascii="宋体" w:hAnsi="宋体" w:cs="宋体" w:eastAsia="宋体" w:hint="default"/>
                <w:sz w:val="18"/>
                <w:szCs w:val="18"/>
              </w:rPr>
            </w:pPr>
            <w:r>
              <w:rPr>
                <w:rFonts w:ascii="宋体" w:hAnsi="宋体" w:cs="宋体" w:eastAsia="宋体" w:hint="default"/>
                <w:sz w:val="18"/>
                <w:szCs w:val="18"/>
              </w:rPr>
              <w:t>质</w:t>
            </w:r>
            <w:r>
              <w:rPr>
                <w:rFonts w:ascii="宋体" w:hAnsi="宋体" w:cs="宋体" w:eastAsia="宋体" w:hint="default"/>
                <w:spacing w:val="-53"/>
                <w:sz w:val="18"/>
                <w:szCs w:val="18"/>
              </w:rPr>
              <w:t> </w:t>
            </w:r>
            <w:r>
              <w:rPr>
                <w:rFonts w:ascii="宋体" w:hAnsi="宋体" w:cs="宋体" w:eastAsia="宋体" w:hint="default"/>
                <w:sz w:val="18"/>
                <w:szCs w:val="18"/>
              </w:rPr>
              <w:t>押</w:t>
            </w:r>
            <w:r>
              <w:rPr>
                <w:rFonts w:ascii="宋体" w:hAnsi="宋体" w:cs="宋体" w:eastAsia="宋体" w:hint="default"/>
                <w:spacing w:val="-54"/>
                <w:sz w:val="18"/>
                <w:szCs w:val="18"/>
              </w:rPr>
              <w:t> </w:t>
            </w:r>
            <w:r>
              <w:rPr>
                <w:rFonts w:ascii="宋体" w:hAnsi="宋体" w:cs="宋体" w:eastAsia="宋体" w:hint="default"/>
                <w:sz w:val="18"/>
                <w:szCs w:val="18"/>
              </w:rPr>
              <w:t>式</w:t>
            </w:r>
            <w:r>
              <w:rPr>
                <w:rFonts w:ascii="宋体" w:hAnsi="宋体" w:cs="宋体" w:eastAsia="宋体" w:hint="default"/>
                <w:spacing w:val="-52"/>
                <w:sz w:val="18"/>
                <w:szCs w:val="18"/>
              </w:rPr>
              <w:t> </w:t>
            </w:r>
            <w:r>
              <w:rPr>
                <w:rFonts w:ascii="宋体" w:hAnsi="宋体" w:cs="宋体" w:eastAsia="宋体" w:hint="default"/>
                <w:sz w:val="18"/>
                <w:szCs w:val="18"/>
              </w:rPr>
              <w:t>回</w:t>
            </w:r>
            <w:r>
              <w:rPr>
                <w:rFonts w:ascii="宋体" w:hAnsi="宋体" w:cs="宋体" w:eastAsia="宋体" w:hint="default"/>
                <w:sz w:val="18"/>
                <w:szCs w:val="18"/>
              </w:rPr>
              <w:t> 购交易</w:t>
            </w:r>
          </w:p>
        </w:tc>
      </w:tr>
      <w:tr>
        <w:trPr>
          <w:trHeight w:val="739" w:hRule="exact"/>
        </w:trPr>
        <w:tc>
          <w:tcPr>
            <w:tcW w:w="6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钱京</w:t>
            </w:r>
          </w:p>
        </w:tc>
        <w:tc>
          <w:tcPr>
            <w:tcW w:w="8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35,981,28</w:t>
            </w:r>
          </w:p>
          <w:p>
            <w:pPr>
              <w:pStyle w:val="TableParagraph"/>
              <w:spacing w:line="240" w:lineRule="auto" w:before="105"/>
              <w:ind w:right="2"/>
              <w:jc w:val="right"/>
              <w:rPr>
                <w:rFonts w:ascii="Times New Roman" w:hAnsi="Times New Roman" w:cs="Times New Roman" w:eastAsia="Times New Roman" w:hint="default"/>
                <w:sz w:val="18"/>
                <w:szCs w:val="18"/>
              </w:rPr>
            </w:pPr>
            <w:r>
              <w:rPr>
                <w:rFonts w:ascii="Times New Roman"/>
                <w:sz w:val="18"/>
              </w:rPr>
              <w:t>7</w:t>
            </w:r>
          </w:p>
        </w:tc>
        <w:tc>
          <w:tcPr>
            <w:tcW w:w="11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sz w:val="18"/>
                <w:szCs w:val="18"/>
              </w:rPr>
              <w:t>2019</w:t>
            </w:r>
            <w:r>
              <w:rPr>
                <w:rFonts w:ascii="宋体" w:hAnsi="宋体" w:cs="宋体" w:eastAsia="宋体" w:hint="default"/>
                <w:spacing w:val="-1"/>
                <w:sz w:val="18"/>
                <w:szCs w:val="18"/>
              </w:rPr>
              <w:t>年</w:t>
            </w:r>
            <w:r>
              <w:rPr>
                <w:rFonts w:ascii="Times New Roman" w:hAnsi="Times New Roman" w:cs="Times New Roman" w:eastAsia="Times New Roman" w:hint="default"/>
                <w:spacing w:val="-1"/>
                <w:sz w:val="18"/>
                <w:szCs w:val="18"/>
              </w:rPr>
              <w:t>11</w:t>
            </w:r>
            <w:r>
              <w:rPr>
                <w:rFonts w:ascii="宋体" w:hAnsi="宋体" w:cs="宋体" w:eastAsia="宋体" w:hint="default"/>
                <w:spacing w:val="-1"/>
                <w:sz w:val="18"/>
                <w:szCs w:val="18"/>
              </w:rPr>
              <w:t>月</w:t>
            </w:r>
            <w:r>
              <w:rPr>
                <w:rFonts w:ascii="Times New Roman" w:hAnsi="Times New Roman" w:cs="Times New Roman" w:eastAsia="Times New Roman" w:hint="default"/>
                <w:spacing w:val="-1"/>
                <w:sz w:val="18"/>
                <w:szCs w:val="18"/>
              </w:rPr>
              <w:t>8</w:t>
            </w:r>
          </w:p>
          <w:p>
            <w:pPr>
              <w:pStyle w:val="TableParagraph"/>
              <w:spacing w:line="240" w:lineRule="auto" w:before="62"/>
              <w:ind w:right="0"/>
              <w:jc w:val="right"/>
              <w:rPr>
                <w:rFonts w:ascii="宋体" w:hAnsi="宋体" w:cs="宋体" w:eastAsia="宋体" w:hint="default"/>
                <w:sz w:val="18"/>
                <w:szCs w:val="18"/>
              </w:rPr>
            </w:pPr>
            <w:r>
              <w:rPr>
                <w:rFonts w:ascii="宋体" w:hAnsi="宋体" w:cs="宋体" w:eastAsia="宋体" w:hint="default"/>
                <w:sz w:val="18"/>
                <w:szCs w:val="18"/>
              </w:rPr>
              <w:t>日</w:t>
            </w:r>
          </w:p>
        </w:tc>
        <w:tc>
          <w:tcPr>
            <w:tcW w:w="10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w:t>
            </w:r>
            <w:r>
              <w:rPr>
                <w:rFonts w:ascii="宋体" w:hAnsi="宋体" w:cs="宋体" w:eastAsia="宋体" w:hint="default"/>
                <w:sz w:val="18"/>
                <w:szCs w:val="18"/>
              </w:rPr>
              <w:t>年</w:t>
            </w:r>
            <w:r>
              <w:rPr>
                <w:rFonts w:ascii="Times New Roman" w:hAnsi="Times New Roman" w:cs="Times New Roman" w:eastAsia="Times New Roman" w:hint="default"/>
                <w:sz w:val="18"/>
                <w:szCs w:val="18"/>
              </w:rPr>
              <w:t>5</w:t>
            </w:r>
            <w:r>
              <w:rPr>
                <w:rFonts w:ascii="宋体" w:hAnsi="宋体" w:cs="宋体" w:eastAsia="宋体" w:hint="default"/>
                <w:sz w:val="18"/>
                <w:szCs w:val="18"/>
              </w:rPr>
              <w:t>月</w:t>
            </w:r>
            <w:r>
              <w:rPr>
                <w:rFonts w:ascii="Times New Roman" w:hAnsi="Times New Roman" w:cs="Times New Roman" w:eastAsia="Times New Roman" w:hint="default"/>
                <w:sz w:val="18"/>
                <w:szCs w:val="18"/>
              </w:rPr>
              <w:t>8</w:t>
            </w:r>
          </w:p>
          <w:p>
            <w:pPr>
              <w:pStyle w:val="TableParagraph"/>
              <w:spacing w:line="240" w:lineRule="auto" w:before="62"/>
              <w:ind w:right="0"/>
              <w:jc w:val="right"/>
              <w:rPr>
                <w:rFonts w:ascii="宋体" w:hAnsi="宋体" w:cs="宋体" w:eastAsia="宋体" w:hint="default"/>
                <w:sz w:val="18"/>
                <w:szCs w:val="18"/>
              </w:rPr>
            </w:pPr>
            <w:r>
              <w:rPr>
                <w:rFonts w:ascii="宋体" w:hAnsi="宋体" w:cs="宋体" w:eastAsia="宋体" w:hint="default"/>
                <w:sz w:val="18"/>
                <w:szCs w:val="18"/>
              </w:rPr>
              <w:t>日</w:t>
            </w:r>
          </w:p>
        </w:tc>
        <w:tc>
          <w:tcPr>
            <w:tcW w:w="1728"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60"/>
              <w:ind w:left="93" w:right="2"/>
              <w:jc w:val="left"/>
              <w:rPr>
                <w:rFonts w:ascii="宋体" w:hAnsi="宋体" w:cs="宋体" w:eastAsia="宋体" w:hint="default"/>
                <w:sz w:val="18"/>
                <w:szCs w:val="18"/>
              </w:rPr>
            </w:pPr>
            <w:r>
              <w:rPr>
                <w:rFonts w:ascii="宋体" w:hAnsi="宋体" w:cs="宋体" w:eastAsia="宋体" w:hint="default"/>
                <w:sz w:val="18"/>
                <w:szCs w:val="18"/>
              </w:rPr>
              <w:t>海</w:t>
            </w:r>
            <w:r>
              <w:rPr>
                <w:rFonts w:ascii="宋体" w:hAnsi="宋体" w:cs="宋体" w:eastAsia="宋体" w:hint="default"/>
                <w:spacing w:val="-66"/>
                <w:sz w:val="18"/>
                <w:szCs w:val="18"/>
              </w:rPr>
              <w:t> </w:t>
            </w:r>
            <w:r>
              <w:rPr>
                <w:rFonts w:ascii="宋体" w:hAnsi="宋体" w:cs="宋体" w:eastAsia="宋体" w:hint="default"/>
                <w:sz w:val="18"/>
                <w:szCs w:val="18"/>
              </w:rPr>
              <w:t>通</w:t>
            </w:r>
            <w:r>
              <w:rPr>
                <w:rFonts w:ascii="宋体" w:hAnsi="宋体" w:cs="宋体" w:eastAsia="宋体" w:hint="default"/>
                <w:spacing w:val="-64"/>
                <w:sz w:val="18"/>
                <w:szCs w:val="18"/>
              </w:rPr>
              <w:t> </w:t>
            </w:r>
            <w:r>
              <w:rPr>
                <w:rFonts w:ascii="宋体" w:hAnsi="宋体" w:cs="宋体" w:eastAsia="宋体" w:hint="default"/>
                <w:sz w:val="18"/>
                <w:szCs w:val="18"/>
              </w:rPr>
              <w:t>证</w:t>
            </w:r>
            <w:r>
              <w:rPr>
                <w:rFonts w:ascii="宋体" w:hAnsi="宋体" w:cs="宋体" w:eastAsia="宋体" w:hint="default"/>
                <w:spacing w:val="-66"/>
                <w:sz w:val="18"/>
                <w:szCs w:val="18"/>
              </w:rPr>
              <w:t> </w:t>
            </w:r>
            <w:r>
              <w:rPr>
                <w:rFonts w:ascii="宋体" w:hAnsi="宋体" w:cs="宋体" w:eastAsia="宋体" w:hint="default"/>
                <w:sz w:val="18"/>
                <w:szCs w:val="18"/>
              </w:rPr>
              <w:t>券</w:t>
            </w:r>
            <w:r>
              <w:rPr>
                <w:rFonts w:ascii="宋体" w:hAnsi="宋体" w:cs="宋体" w:eastAsia="宋体" w:hint="default"/>
                <w:spacing w:val="-64"/>
                <w:sz w:val="18"/>
                <w:szCs w:val="18"/>
              </w:rPr>
              <w:t> </w:t>
            </w:r>
            <w:r>
              <w:rPr>
                <w:rFonts w:ascii="宋体" w:hAnsi="宋体" w:cs="宋体" w:eastAsia="宋体" w:hint="default"/>
                <w:sz w:val="18"/>
                <w:szCs w:val="18"/>
              </w:rPr>
              <w:t>股</w:t>
            </w:r>
            <w:r>
              <w:rPr>
                <w:rFonts w:ascii="宋体" w:hAnsi="宋体" w:cs="宋体" w:eastAsia="宋体" w:hint="default"/>
                <w:spacing w:val="-66"/>
                <w:sz w:val="18"/>
                <w:szCs w:val="18"/>
              </w:rPr>
              <w:t> </w:t>
            </w:r>
            <w:r>
              <w:rPr>
                <w:rFonts w:ascii="宋体" w:hAnsi="宋体" w:cs="宋体" w:eastAsia="宋体" w:hint="default"/>
                <w:sz w:val="18"/>
                <w:szCs w:val="18"/>
              </w:rPr>
              <w:t>份</w:t>
            </w:r>
            <w:r>
              <w:rPr>
                <w:rFonts w:ascii="宋体" w:hAnsi="宋体" w:cs="宋体" w:eastAsia="宋体" w:hint="default"/>
                <w:spacing w:val="-65"/>
                <w:sz w:val="18"/>
                <w:szCs w:val="18"/>
              </w:rPr>
              <w:t> </w:t>
            </w:r>
            <w:r>
              <w:rPr>
                <w:rFonts w:ascii="宋体" w:hAnsi="宋体" w:cs="宋体" w:eastAsia="宋体" w:hint="default"/>
                <w:sz w:val="18"/>
                <w:szCs w:val="18"/>
              </w:rPr>
              <w:t>有</w:t>
            </w:r>
            <w:r>
              <w:rPr>
                <w:rFonts w:ascii="宋体" w:hAnsi="宋体" w:cs="宋体" w:eastAsia="宋体" w:hint="default"/>
                <w:spacing w:val="-65"/>
                <w:sz w:val="18"/>
                <w:szCs w:val="18"/>
              </w:rPr>
              <w:t> </w:t>
            </w:r>
            <w:r>
              <w:rPr>
                <w:rFonts w:ascii="宋体" w:hAnsi="宋体" w:cs="宋体" w:eastAsia="宋体" w:hint="default"/>
                <w:sz w:val="18"/>
                <w:szCs w:val="18"/>
              </w:rPr>
              <w:t>限</w:t>
            </w:r>
            <w:r>
              <w:rPr>
                <w:rFonts w:ascii="宋体" w:hAnsi="宋体" w:cs="宋体" w:eastAsia="宋体" w:hint="default"/>
                <w:sz w:val="18"/>
                <w:szCs w:val="18"/>
              </w:rPr>
              <w:t> 公司</w:t>
            </w:r>
          </w:p>
        </w:tc>
        <w:tc>
          <w:tcPr>
            <w:tcW w:w="16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right"/>
              <w:rPr>
                <w:rFonts w:ascii="Times New Roman" w:hAnsi="Times New Roman" w:cs="Times New Roman" w:eastAsia="Times New Roman" w:hint="default"/>
                <w:sz w:val="18"/>
                <w:szCs w:val="18"/>
              </w:rPr>
            </w:pPr>
            <w:r>
              <w:rPr>
                <w:rFonts w:ascii="Times New Roman"/>
                <w:w w:val="95"/>
                <w:sz w:val="18"/>
              </w:rPr>
              <w:t>25.00%</w:t>
            </w:r>
            <w:r>
              <w:rPr>
                <w:rFonts w:ascii="Times New Roman"/>
                <w:sz w:val="18"/>
              </w:rPr>
            </w:r>
          </w:p>
        </w:tc>
        <w:tc>
          <w:tcPr>
            <w:tcW w:w="8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right"/>
              <w:rPr>
                <w:rFonts w:ascii="Times New Roman" w:hAnsi="Times New Roman" w:cs="Times New Roman" w:eastAsia="Times New Roman" w:hint="default"/>
                <w:sz w:val="18"/>
                <w:szCs w:val="18"/>
              </w:rPr>
            </w:pPr>
            <w:r>
              <w:rPr>
                <w:rFonts w:ascii="Times New Roman"/>
                <w:w w:val="95"/>
                <w:sz w:val="18"/>
              </w:rPr>
              <w:t>5.16%</w:t>
            </w:r>
            <w:r>
              <w:rPr>
                <w:rFonts w:ascii="Times New Roman"/>
                <w:sz w:val="18"/>
              </w:rPr>
            </w:r>
          </w:p>
        </w:tc>
        <w:tc>
          <w:tcPr>
            <w:tcW w:w="852"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60"/>
              <w:ind w:left="2" w:right="1"/>
              <w:jc w:val="left"/>
              <w:rPr>
                <w:rFonts w:ascii="宋体" w:hAnsi="宋体" w:cs="宋体" w:eastAsia="宋体" w:hint="default"/>
                <w:sz w:val="18"/>
                <w:szCs w:val="18"/>
              </w:rPr>
            </w:pPr>
            <w:r>
              <w:rPr>
                <w:rFonts w:ascii="宋体" w:hAnsi="宋体" w:cs="宋体" w:eastAsia="宋体" w:hint="default"/>
                <w:sz w:val="18"/>
                <w:szCs w:val="18"/>
              </w:rPr>
              <w:t>质</w:t>
            </w:r>
            <w:r>
              <w:rPr>
                <w:rFonts w:ascii="宋体" w:hAnsi="宋体" w:cs="宋体" w:eastAsia="宋体" w:hint="default"/>
                <w:spacing w:val="-53"/>
                <w:sz w:val="18"/>
                <w:szCs w:val="18"/>
              </w:rPr>
              <w:t> </w:t>
            </w:r>
            <w:r>
              <w:rPr>
                <w:rFonts w:ascii="宋体" w:hAnsi="宋体" w:cs="宋体" w:eastAsia="宋体" w:hint="default"/>
                <w:sz w:val="18"/>
                <w:szCs w:val="18"/>
              </w:rPr>
              <w:t>押</w:t>
            </w:r>
            <w:r>
              <w:rPr>
                <w:rFonts w:ascii="宋体" w:hAnsi="宋体" w:cs="宋体" w:eastAsia="宋体" w:hint="default"/>
                <w:spacing w:val="-54"/>
                <w:sz w:val="18"/>
                <w:szCs w:val="18"/>
              </w:rPr>
              <w:t> </w:t>
            </w:r>
            <w:r>
              <w:rPr>
                <w:rFonts w:ascii="宋体" w:hAnsi="宋体" w:cs="宋体" w:eastAsia="宋体" w:hint="default"/>
                <w:sz w:val="18"/>
                <w:szCs w:val="18"/>
              </w:rPr>
              <w:t>式</w:t>
            </w:r>
            <w:r>
              <w:rPr>
                <w:rFonts w:ascii="宋体" w:hAnsi="宋体" w:cs="宋体" w:eastAsia="宋体" w:hint="default"/>
                <w:spacing w:val="-52"/>
                <w:sz w:val="18"/>
                <w:szCs w:val="18"/>
              </w:rPr>
              <w:t> </w:t>
            </w:r>
            <w:r>
              <w:rPr>
                <w:rFonts w:ascii="宋体" w:hAnsi="宋体" w:cs="宋体" w:eastAsia="宋体" w:hint="default"/>
                <w:sz w:val="18"/>
                <w:szCs w:val="18"/>
              </w:rPr>
              <w:t>回</w:t>
            </w:r>
            <w:r>
              <w:rPr>
                <w:rFonts w:ascii="宋体" w:hAnsi="宋体" w:cs="宋体" w:eastAsia="宋体" w:hint="default"/>
                <w:sz w:val="18"/>
                <w:szCs w:val="18"/>
              </w:rPr>
              <w:t> 购交易</w:t>
            </w:r>
          </w:p>
        </w:tc>
      </w:tr>
      <w:tr>
        <w:trPr>
          <w:trHeight w:val="739" w:hRule="exact"/>
        </w:trPr>
        <w:tc>
          <w:tcPr>
            <w:tcW w:w="6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left="2" w:right="0"/>
              <w:jc w:val="left"/>
              <w:rPr>
                <w:rFonts w:ascii="宋体" w:hAnsi="宋体" w:cs="宋体" w:eastAsia="宋体" w:hint="default"/>
                <w:sz w:val="18"/>
                <w:szCs w:val="18"/>
              </w:rPr>
            </w:pPr>
            <w:r>
              <w:rPr>
                <w:rFonts w:ascii="宋体" w:hAnsi="宋体" w:cs="宋体" w:eastAsia="宋体" w:hint="default"/>
                <w:sz w:val="18"/>
                <w:szCs w:val="18"/>
              </w:rPr>
              <w:t>钱京</w:t>
            </w:r>
          </w:p>
        </w:tc>
        <w:tc>
          <w:tcPr>
            <w:tcW w:w="8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72" w:right="0"/>
              <w:jc w:val="left"/>
              <w:rPr>
                <w:rFonts w:ascii="Times New Roman" w:hAnsi="Times New Roman" w:cs="Times New Roman" w:eastAsia="Times New Roman" w:hint="default"/>
                <w:sz w:val="18"/>
                <w:szCs w:val="18"/>
              </w:rPr>
            </w:pPr>
            <w:r>
              <w:rPr>
                <w:rFonts w:ascii="Times New Roman"/>
                <w:sz w:val="18"/>
              </w:rPr>
              <w:t>9,000,000</w:t>
            </w:r>
          </w:p>
        </w:tc>
        <w:tc>
          <w:tcPr>
            <w:tcW w:w="11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right="0"/>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w:t>
            </w:r>
            <w:r>
              <w:rPr>
                <w:rFonts w:ascii="Times New Roman" w:hAnsi="Times New Roman" w:cs="Times New Roman" w:eastAsia="Times New Roman" w:hint="default"/>
                <w:sz w:val="18"/>
                <w:szCs w:val="18"/>
              </w:rPr>
              <w:t>20</w:t>
            </w:r>
          </w:p>
          <w:p>
            <w:pPr>
              <w:pStyle w:val="TableParagraph"/>
              <w:spacing w:line="240" w:lineRule="auto" w:before="62"/>
              <w:ind w:right="0"/>
              <w:jc w:val="right"/>
              <w:rPr>
                <w:rFonts w:ascii="宋体" w:hAnsi="宋体" w:cs="宋体" w:eastAsia="宋体" w:hint="default"/>
                <w:sz w:val="18"/>
                <w:szCs w:val="18"/>
              </w:rPr>
            </w:pPr>
            <w:r>
              <w:rPr>
                <w:rFonts w:ascii="宋体" w:hAnsi="宋体" w:cs="宋体" w:eastAsia="宋体" w:hint="default"/>
                <w:sz w:val="18"/>
                <w:szCs w:val="18"/>
              </w:rPr>
              <w:t>日</w:t>
            </w:r>
          </w:p>
        </w:tc>
        <w:tc>
          <w:tcPr>
            <w:tcW w:w="10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right="0"/>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w:t>
            </w:r>
            <w:r>
              <w:rPr>
                <w:rFonts w:ascii="宋体" w:hAnsi="宋体" w:cs="宋体" w:eastAsia="宋体" w:hint="default"/>
                <w:sz w:val="18"/>
                <w:szCs w:val="18"/>
              </w:rPr>
              <w:t>年</w:t>
            </w:r>
            <w:r>
              <w:rPr>
                <w:rFonts w:ascii="Times New Roman" w:hAnsi="Times New Roman" w:cs="Times New Roman" w:eastAsia="Times New Roman" w:hint="default"/>
                <w:sz w:val="18"/>
                <w:szCs w:val="18"/>
              </w:rPr>
              <w:t>5</w:t>
            </w:r>
            <w:r>
              <w:rPr>
                <w:rFonts w:ascii="宋体" w:hAnsi="宋体" w:cs="宋体" w:eastAsia="宋体" w:hint="default"/>
                <w:sz w:val="18"/>
                <w:szCs w:val="18"/>
              </w:rPr>
              <w:t>月</w:t>
            </w:r>
            <w:r>
              <w:rPr>
                <w:rFonts w:ascii="Times New Roman" w:hAnsi="Times New Roman" w:cs="Times New Roman" w:eastAsia="Times New Roman" w:hint="default"/>
                <w:sz w:val="18"/>
                <w:szCs w:val="18"/>
              </w:rPr>
              <w:t>8</w:t>
            </w:r>
          </w:p>
          <w:p>
            <w:pPr>
              <w:pStyle w:val="TableParagraph"/>
              <w:spacing w:line="240" w:lineRule="auto" w:before="62"/>
              <w:ind w:right="0"/>
              <w:jc w:val="right"/>
              <w:rPr>
                <w:rFonts w:ascii="宋体" w:hAnsi="宋体" w:cs="宋体" w:eastAsia="宋体" w:hint="default"/>
                <w:sz w:val="18"/>
                <w:szCs w:val="18"/>
              </w:rPr>
            </w:pPr>
            <w:r>
              <w:rPr>
                <w:rFonts w:ascii="宋体" w:hAnsi="宋体" w:cs="宋体" w:eastAsia="宋体" w:hint="default"/>
                <w:sz w:val="18"/>
                <w:szCs w:val="18"/>
              </w:rPr>
              <w:t>日</w:t>
            </w:r>
          </w:p>
        </w:tc>
        <w:tc>
          <w:tcPr>
            <w:tcW w:w="1728"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9"/>
              <w:ind w:left="93" w:right="2"/>
              <w:jc w:val="left"/>
              <w:rPr>
                <w:rFonts w:ascii="宋体" w:hAnsi="宋体" w:cs="宋体" w:eastAsia="宋体" w:hint="default"/>
                <w:sz w:val="18"/>
                <w:szCs w:val="18"/>
              </w:rPr>
            </w:pPr>
            <w:r>
              <w:rPr>
                <w:rFonts w:ascii="宋体" w:hAnsi="宋体" w:cs="宋体" w:eastAsia="宋体" w:hint="default"/>
                <w:sz w:val="18"/>
                <w:szCs w:val="18"/>
              </w:rPr>
              <w:t>海</w:t>
            </w:r>
            <w:r>
              <w:rPr>
                <w:rFonts w:ascii="宋体" w:hAnsi="宋体" w:cs="宋体" w:eastAsia="宋体" w:hint="default"/>
                <w:spacing w:val="-66"/>
                <w:sz w:val="18"/>
                <w:szCs w:val="18"/>
              </w:rPr>
              <w:t> </w:t>
            </w:r>
            <w:r>
              <w:rPr>
                <w:rFonts w:ascii="宋体" w:hAnsi="宋体" w:cs="宋体" w:eastAsia="宋体" w:hint="default"/>
                <w:sz w:val="18"/>
                <w:szCs w:val="18"/>
              </w:rPr>
              <w:t>通</w:t>
            </w:r>
            <w:r>
              <w:rPr>
                <w:rFonts w:ascii="宋体" w:hAnsi="宋体" w:cs="宋体" w:eastAsia="宋体" w:hint="default"/>
                <w:spacing w:val="-64"/>
                <w:sz w:val="18"/>
                <w:szCs w:val="18"/>
              </w:rPr>
              <w:t> </w:t>
            </w:r>
            <w:r>
              <w:rPr>
                <w:rFonts w:ascii="宋体" w:hAnsi="宋体" w:cs="宋体" w:eastAsia="宋体" w:hint="default"/>
                <w:sz w:val="18"/>
                <w:szCs w:val="18"/>
              </w:rPr>
              <w:t>证</w:t>
            </w:r>
            <w:r>
              <w:rPr>
                <w:rFonts w:ascii="宋体" w:hAnsi="宋体" w:cs="宋体" w:eastAsia="宋体" w:hint="default"/>
                <w:spacing w:val="-66"/>
                <w:sz w:val="18"/>
                <w:szCs w:val="18"/>
              </w:rPr>
              <w:t> </w:t>
            </w:r>
            <w:r>
              <w:rPr>
                <w:rFonts w:ascii="宋体" w:hAnsi="宋体" w:cs="宋体" w:eastAsia="宋体" w:hint="default"/>
                <w:sz w:val="18"/>
                <w:szCs w:val="18"/>
              </w:rPr>
              <w:t>券</w:t>
            </w:r>
            <w:r>
              <w:rPr>
                <w:rFonts w:ascii="宋体" w:hAnsi="宋体" w:cs="宋体" w:eastAsia="宋体" w:hint="default"/>
                <w:spacing w:val="-64"/>
                <w:sz w:val="18"/>
                <w:szCs w:val="18"/>
              </w:rPr>
              <w:t> </w:t>
            </w:r>
            <w:r>
              <w:rPr>
                <w:rFonts w:ascii="宋体" w:hAnsi="宋体" w:cs="宋体" w:eastAsia="宋体" w:hint="default"/>
                <w:sz w:val="18"/>
                <w:szCs w:val="18"/>
              </w:rPr>
              <w:t>股</w:t>
            </w:r>
            <w:r>
              <w:rPr>
                <w:rFonts w:ascii="宋体" w:hAnsi="宋体" w:cs="宋体" w:eastAsia="宋体" w:hint="default"/>
                <w:spacing w:val="-66"/>
                <w:sz w:val="18"/>
                <w:szCs w:val="18"/>
              </w:rPr>
              <w:t> </w:t>
            </w:r>
            <w:r>
              <w:rPr>
                <w:rFonts w:ascii="宋体" w:hAnsi="宋体" w:cs="宋体" w:eastAsia="宋体" w:hint="default"/>
                <w:sz w:val="18"/>
                <w:szCs w:val="18"/>
              </w:rPr>
              <w:t>份</w:t>
            </w:r>
            <w:r>
              <w:rPr>
                <w:rFonts w:ascii="宋体" w:hAnsi="宋体" w:cs="宋体" w:eastAsia="宋体" w:hint="default"/>
                <w:spacing w:val="-65"/>
                <w:sz w:val="18"/>
                <w:szCs w:val="18"/>
              </w:rPr>
              <w:t> </w:t>
            </w:r>
            <w:r>
              <w:rPr>
                <w:rFonts w:ascii="宋体" w:hAnsi="宋体" w:cs="宋体" w:eastAsia="宋体" w:hint="default"/>
                <w:sz w:val="18"/>
                <w:szCs w:val="18"/>
              </w:rPr>
              <w:t>有</w:t>
            </w:r>
            <w:r>
              <w:rPr>
                <w:rFonts w:ascii="宋体" w:hAnsi="宋体" w:cs="宋体" w:eastAsia="宋体" w:hint="default"/>
                <w:spacing w:val="-65"/>
                <w:sz w:val="18"/>
                <w:szCs w:val="18"/>
              </w:rPr>
              <w:t> </w:t>
            </w:r>
            <w:r>
              <w:rPr>
                <w:rFonts w:ascii="宋体" w:hAnsi="宋体" w:cs="宋体" w:eastAsia="宋体" w:hint="default"/>
                <w:sz w:val="18"/>
                <w:szCs w:val="18"/>
              </w:rPr>
              <w:t>限</w:t>
            </w:r>
            <w:r>
              <w:rPr>
                <w:rFonts w:ascii="宋体" w:hAnsi="宋体" w:cs="宋体" w:eastAsia="宋体" w:hint="default"/>
                <w:sz w:val="18"/>
                <w:szCs w:val="18"/>
              </w:rPr>
              <w:t> 公司</w:t>
            </w:r>
          </w:p>
        </w:tc>
        <w:tc>
          <w:tcPr>
            <w:tcW w:w="16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right"/>
              <w:rPr>
                <w:rFonts w:ascii="Times New Roman" w:hAnsi="Times New Roman" w:cs="Times New Roman" w:eastAsia="Times New Roman" w:hint="default"/>
                <w:sz w:val="18"/>
                <w:szCs w:val="18"/>
              </w:rPr>
            </w:pPr>
            <w:r>
              <w:rPr>
                <w:rFonts w:ascii="Times New Roman"/>
                <w:w w:val="95"/>
                <w:sz w:val="18"/>
              </w:rPr>
              <w:t>6.25%</w:t>
            </w:r>
            <w:r>
              <w:rPr>
                <w:rFonts w:ascii="Times New Roman"/>
                <w:sz w:val="18"/>
              </w:rPr>
            </w:r>
          </w:p>
        </w:tc>
        <w:tc>
          <w:tcPr>
            <w:tcW w:w="8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right"/>
              <w:rPr>
                <w:rFonts w:ascii="Times New Roman" w:hAnsi="Times New Roman" w:cs="Times New Roman" w:eastAsia="Times New Roman" w:hint="default"/>
                <w:sz w:val="18"/>
                <w:szCs w:val="18"/>
              </w:rPr>
            </w:pPr>
            <w:r>
              <w:rPr>
                <w:rFonts w:ascii="Times New Roman"/>
                <w:w w:val="95"/>
                <w:sz w:val="18"/>
              </w:rPr>
              <w:t>1.29%</w:t>
            </w:r>
            <w:r>
              <w:rPr>
                <w:rFonts w:ascii="Times New Roman"/>
                <w:sz w:val="18"/>
              </w:rPr>
            </w:r>
          </w:p>
        </w:tc>
        <w:tc>
          <w:tcPr>
            <w:tcW w:w="852"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9"/>
              <w:ind w:left="2" w:right="1"/>
              <w:jc w:val="left"/>
              <w:rPr>
                <w:rFonts w:ascii="宋体" w:hAnsi="宋体" w:cs="宋体" w:eastAsia="宋体" w:hint="default"/>
                <w:sz w:val="18"/>
                <w:szCs w:val="18"/>
              </w:rPr>
            </w:pPr>
            <w:r>
              <w:rPr>
                <w:rFonts w:ascii="宋体" w:hAnsi="宋体" w:cs="宋体" w:eastAsia="宋体" w:hint="default"/>
                <w:sz w:val="18"/>
                <w:szCs w:val="18"/>
              </w:rPr>
              <w:t>质</w:t>
            </w:r>
            <w:r>
              <w:rPr>
                <w:rFonts w:ascii="宋体" w:hAnsi="宋体" w:cs="宋体" w:eastAsia="宋体" w:hint="default"/>
                <w:spacing w:val="-53"/>
                <w:sz w:val="18"/>
                <w:szCs w:val="18"/>
              </w:rPr>
              <w:t> </w:t>
            </w:r>
            <w:r>
              <w:rPr>
                <w:rFonts w:ascii="宋体" w:hAnsi="宋体" w:cs="宋体" w:eastAsia="宋体" w:hint="default"/>
                <w:sz w:val="18"/>
                <w:szCs w:val="18"/>
              </w:rPr>
              <w:t>押</w:t>
            </w:r>
            <w:r>
              <w:rPr>
                <w:rFonts w:ascii="宋体" w:hAnsi="宋体" w:cs="宋体" w:eastAsia="宋体" w:hint="default"/>
                <w:spacing w:val="-54"/>
                <w:sz w:val="18"/>
                <w:szCs w:val="18"/>
              </w:rPr>
              <w:t> </w:t>
            </w:r>
            <w:r>
              <w:rPr>
                <w:rFonts w:ascii="宋体" w:hAnsi="宋体" w:cs="宋体" w:eastAsia="宋体" w:hint="default"/>
                <w:sz w:val="18"/>
                <w:szCs w:val="18"/>
              </w:rPr>
              <w:t>式</w:t>
            </w:r>
            <w:r>
              <w:rPr>
                <w:rFonts w:ascii="宋体" w:hAnsi="宋体" w:cs="宋体" w:eastAsia="宋体" w:hint="default"/>
                <w:spacing w:val="-52"/>
                <w:sz w:val="18"/>
                <w:szCs w:val="18"/>
              </w:rPr>
              <w:t> </w:t>
            </w:r>
            <w:r>
              <w:rPr>
                <w:rFonts w:ascii="宋体" w:hAnsi="宋体" w:cs="宋体" w:eastAsia="宋体" w:hint="default"/>
                <w:sz w:val="18"/>
                <w:szCs w:val="18"/>
              </w:rPr>
              <w:t>回</w:t>
            </w:r>
            <w:r>
              <w:rPr>
                <w:rFonts w:ascii="宋体" w:hAnsi="宋体" w:cs="宋体" w:eastAsia="宋体" w:hint="default"/>
                <w:sz w:val="18"/>
                <w:szCs w:val="18"/>
              </w:rPr>
              <w:t> 购交易</w:t>
            </w:r>
          </w:p>
        </w:tc>
      </w:tr>
      <w:tr>
        <w:trPr>
          <w:trHeight w:val="739" w:hRule="exact"/>
        </w:trPr>
        <w:tc>
          <w:tcPr>
            <w:tcW w:w="6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61,199,99</w:t>
            </w:r>
          </w:p>
          <w:p>
            <w:pPr>
              <w:pStyle w:val="TableParagraph"/>
              <w:spacing w:line="240" w:lineRule="auto" w:before="105"/>
              <w:ind w:right="2"/>
              <w:jc w:val="right"/>
              <w:rPr>
                <w:rFonts w:ascii="Times New Roman" w:hAnsi="Times New Roman" w:cs="Times New Roman" w:eastAsia="Times New Roman" w:hint="default"/>
                <w:sz w:val="18"/>
                <w:szCs w:val="18"/>
              </w:rPr>
            </w:pPr>
            <w:r>
              <w:rPr>
                <w:rFonts w:ascii="Times New Roman"/>
                <w:sz w:val="18"/>
              </w:rPr>
              <w:t>7</w:t>
            </w:r>
          </w:p>
        </w:tc>
        <w:tc>
          <w:tcPr>
            <w:tcW w:w="1146" w:type="dxa"/>
            <w:tcBorders>
              <w:top w:val="single" w:sz="6" w:space="0" w:color="000000"/>
              <w:left w:val="single" w:sz="6" w:space="0" w:color="000000"/>
              <w:bottom w:val="single" w:sz="6" w:space="0" w:color="000000"/>
              <w:right w:val="single" w:sz="6" w:space="0" w:color="000000"/>
            </w:tcBorders>
          </w:tcPr>
          <w:p>
            <w:pPr/>
          </w:p>
        </w:tc>
        <w:tc>
          <w:tcPr>
            <w:tcW w:w="1001" w:type="dxa"/>
            <w:tcBorders>
              <w:top w:val="single" w:sz="6" w:space="0" w:color="000000"/>
              <w:left w:val="single" w:sz="6" w:space="0" w:color="000000"/>
              <w:bottom w:val="single" w:sz="6" w:space="0" w:color="000000"/>
              <w:right w:val="single" w:sz="6" w:space="0" w:color="000000"/>
            </w:tcBorders>
          </w:tcPr>
          <w:p>
            <w:pPr/>
          </w:p>
        </w:tc>
        <w:tc>
          <w:tcPr>
            <w:tcW w:w="1728" w:type="dxa"/>
            <w:tcBorders>
              <w:top w:val="single" w:sz="6" w:space="0" w:color="000000"/>
              <w:left w:val="single" w:sz="6" w:space="0" w:color="000000"/>
              <w:bottom w:val="single" w:sz="6" w:space="0" w:color="000000"/>
              <w:right w:val="single" w:sz="6" w:space="0" w:color="000000"/>
            </w:tcBorders>
          </w:tcPr>
          <w:p>
            <w:pPr/>
          </w:p>
        </w:tc>
        <w:tc>
          <w:tcPr>
            <w:tcW w:w="16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right"/>
              <w:rPr>
                <w:rFonts w:ascii="Times New Roman" w:hAnsi="Times New Roman" w:cs="Times New Roman" w:eastAsia="Times New Roman" w:hint="default"/>
                <w:sz w:val="18"/>
                <w:szCs w:val="18"/>
              </w:rPr>
            </w:pPr>
            <w:r>
              <w:rPr>
                <w:rFonts w:ascii="Times New Roman"/>
                <w:w w:val="95"/>
                <w:sz w:val="18"/>
              </w:rPr>
              <w:t>42.52%</w:t>
            </w:r>
            <w:r>
              <w:rPr>
                <w:rFonts w:ascii="Times New Roman"/>
                <w:sz w:val="18"/>
              </w:rPr>
            </w:r>
          </w:p>
        </w:tc>
        <w:tc>
          <w:tcPr>
            <w:tcW w:w="8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right"/>
              <w:rPr>
                <w:rFonts w:ascii="Times New Roman" w:hAnsi="Times New Roman" w:cs="Times New Roman" w:eastAsia="Times New Roman" w:hint="default"/>
                <w:sz w:val="18"/>
                <w:szCs w:val="18"/>
              </w:rPr>
            </w:pPr>
            <w:r>
              <w:rPr>
                <w:rFonts w:ascii="Times New Roman"/>
                <w:w w:val="95"/>
                <w:sz w:val="18"/>
              </w:rPr>
              <w:t>8.78%</w:t>
            </w:r>
            <w:r>
              <w:rPr>
                <w:rFonts w:ascii="Times New Roman"/>
                <w:sz w:val="18"/>
              </w:rPr>
            </w:r>
          </w:p>
        </w:tc>
        <w:tc>
          <w:tcPr>
            <w:tcW w:w="852" w:type="dxa"/>
            <w:tcBorders>
              <w:top w:val="single" w:sz="6" w:space="0" w:color="000000"/>
              <w:left w:val="single" w:sz="6" w:space="0" w:color="000000"/>
              <w:bottom w:val="single" w:sz="6" w:space="0" w:color="000000"/>
              <w:right w:val="single" w:sz="6" w:space="0" w:color="000000"/>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5"/>
          <w:szCs w:val="15"/>
        </w:rPr>
      </w:pPr>
    </w:p>
    <w:p>
      <w:pPr>
        <w:pStyle w:val="Heading3"/>
        <w:spacing w:line="240" w:lineRule="auto"/>
        <w:ind w:right="0"/>
        <w:jc w:val="left"/>
        <w:rPr>
          <w:b w:val="0"/>
          <w:bCs w:val="0"/>
        </w:rPr>
      </w:pPr>
      <w:r>
        <w:rPr>
          <w:rFonts w:ascii="Times New Roman" w:hAnsi="Times New Roman" w:cs="Times New Roman" w:eastAsia="Times New Roman" w:hint="default"/>
        </w:rPr>
        <w:t>54</w:t>
      </w:r>
      <w:r>
        <w:rPr/>
        <w:t>、其他权益工具</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t>（</w:t>
      </w:r>
      <w:r>
        <w:rPr>
          <w:rFonts w:ascii="Times New Roman" w:hAnsi="Times New Roman" w:cs="Times New Roman" w:eastAsia="Times New Roman" w:hint="default"/>
        </w:rPr>
        <w:t>1</w:t>
      </w:r>
      <w:r>
        <w:rPr/>
        <w:t>）期末发行在外的优先股、永续债等其他金融工具基本情况</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t>（</w:t>
      </w:r>
      <w:r>
        <w:rPr>
          <w:rFonts w:ascii="Times New Roman" w:hAnsi="Times New Roman" w:cs="Times New Roman" w:eastAsia="Times New Roman" w:hint="default"/>
        </w:rPr>
        <w:t>2</w:t>
      </w:r>
      <w:r>
        <w:rPr/>
        <w:t>）期末发行在外的优先股、永续债等金融工具变动情况表</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065"/>
        <w:gridCol w:w="1067"/>
        <w:gridCol w:w="1063"/>
        <w:gridCol w:w="1063"/>
        <w:gridCol w:w="1063"/>
        <w:gridCol w:w="1062"/>
        <w:gridCol w:w="1062"/>
        <w:gridCol w:w="1062"/>
        <w:gridCol w:w="1062"/>
      </w:tblGrid>
      <w:tr>
        <w:trPr>
          <w:trHeight w:val="401" w:hRule="exact"/>
        </w:trPr>
        <w:tc>
          <w:tcPr>
            <w:tcW w:w="1065" w:type="dxa"/>
            <w:vMerge w:val="restart"/>
            <w:tcBorders>
              <w:top w:val="single" w:sz="4" w:space="0" w:color="000000"/>
              <w:left w:val="single" w:sz="4" w:space="0" w:color="000000"/>
              <w:right w:val="single" w:sz="4" w:space="0" w:color="000000"/>
            </w:tcBorders>
            <w:shd w:val="clear" w:color="auto" w:fill="D3D3D3"/>
          </w:tcPr>
          <w:p>
            <w:pPr>
              <w:pStyle w:val="TableParagraph"/>
              <w:spacing w:line="316" w:lineRule="auto" w:before="49"/>
              <w:ind w:left="166" w:right="166"/>
              <w:jc w:val="center"/>
              <w:rPr>
                <w:rFonts w:ascii="宋体" w:hAnsi="宋体" w:cs="宋体" w:eastAsia="宋体" w:hint="default"/>
                <w:sz w:val="18"/>
                <w:szCs w:val="18"/>
              </w:rPr>
            </w:pPr>
            <w:r>
              <w:rPr>
                <w:rFonts w:ascii="宋体" w:hAnsi="宋体" w:cs="宋体" w:eastAsia="宋体" w:hint="default"/>
                <w:sz w:val="18"/>
                <w:szCs w:val="18"/>
              </w:rPr>
              <w:t>发行在外 的金融工 具</w:t>
            </w:r>
          </w:p>
        </w:tc>
        <w:tc>
          <w:tcPr>
            <w:tcW w:w="2130"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697"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2124"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697"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2124"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w:t>
            </w:r>
          </w:p>
        </w:tc>
      </w:tr>
      <w:tr>
        <w:trPr>
          <w:trHeight w:val="624" w:hRule="exact"/>
        </w:trPr>
        <w:tc>
          <w:tcPr>
            <w:tcW w:w="1065" w:type="dxa"/>
            <w:vMerge/>
            <w:tcBorders>
              <w:left w:val="single" w:sz="4" w:space="0" w:color="000000"/>
              <w:bottom w:val="single" w:sz="4" w:space="0" w:color="000000"/>
              <w:right w:val="single" w:sz="4" w:space="0" w:color="000000"/>
            </w:tcBorders>
            <w:shd w:val="clear" w:color="auto" w:fill="D3D3D3"/>
          </w:tcPr>
          <w:p>
            <w:pPr/>
          </w:p>
        </w:tc>
        <w:tc>
          <w:tcPr>
            <w:tcW w:w="10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60"/>
              <w:ind w:left="348"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60"/>
              <w:ind w:left="166"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60"/>
              <w:ind w:left="345"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60"/>
              <w:ind w:left="166"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60"/>
              <w:ind w:left="346"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60"/>
              <w:ind w:left="166"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60"/>
              <w:ind w:left="346"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60"/>
              <w:ind w:left="166"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pStyle w:val="BodyText"/>
        <w:spacing w:line="357" w:lineRule="auto" w:before="49"/>
        <w:ind w:right="4632"/>
        <w:jc w:val="left"/>
      </w:pPr>
      <w:r>
        <w:rPr/>
        <w:t>其他权益工具本期增减变动情况、变动原因说明，以及相关会计处理的依据： 其他说明：</w:t>
      </w:r>
    </w:p>
    <w:p>
      <w:pPr>
        <w:spacing w:line="240" w:lineRule="auto" w:before="3"/>
        <w:rPr>
          <w:rFonts w:ascii="宋体" w:hAnsi="宋体" w:cs="宋体" w:eastAsia="宋体" w:hint="default"/>
          <w:sz w:val="20"/>
          <w:szCs w:val="20"/>
        </w:rPr>
      </w:pPr>
    </w:p>
    <w:p>
      <w:pPr>
        <w:pStyle w:val="Heading3"/>
        <w:spacing w:line="240" w:lineRule="auto"/>
        <w:ind w:right="0"/>
        <w:jc w:val="left"/>
        <w:rPr>
          <w:b w:val="0"/>
          <w:bCs w:val="0"/>
        </w:rPr>
      </w:pPr>
      <w:r>
        <w:rPr>
          <w:rFonts w:ascii="Times New Roman" w:hAnsi="Times New Roman" w:cs="Times New Roman" w:eastAsia="Times New Roman" w:hint="default"/>
        </w:rPr>
        <w:t>55</w:t>
      </w:r>
      <w:r>
        <w:rPr/>
        <w:t>、资本公积</w:t>
      </w:r>
      <w:r>
        <w:rPr>
          <w:b w:val="0"/>
          <w:bCs w:val="0"/>
        </w:rPr>
      </w:r>
    </w:p>
    <w:p>
      <w:pPr>
        <w:spacing w:line="240" w:lineRule="auto" w:before="2"/>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59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资本溢价（股本溢价）</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73,666,908.74</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73,666,908.74</w:t>
            </w: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其他资本公积</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833,192.07</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833,192.07</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74,500,100.81</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73,666,908.74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833,192.07</w:t>
            </w:r>
          </w:p>
        </w:tc>
      </w:tr>
    </w:tbl>
    <w:p>
      <w:pPr>
        <w:pStyle w:val="BodyText"/>
        <w:spacing w:line="357" w:lineRule="auto" w:before="50"/>
        <w:ind w:right="6630"/>
        <w:jc w:val="left"/>
      </w:pPr>
      <w:r>
        <w:rPr/>
        <w:t>其他说明，包括本期增减变动情况、变动原因说明： 注：详见附注七</w:t>
      </w:r>
      <w:r>
        <w:rPr>
          <w:rFonts w:ascii="Times New Roman" w:hAnsi="Times New Roman" w:cs="Times New Roman" w:eastAsia="Times New Roman" w:hint="default"/>
        </w:rPr>
        <w:t>-56</w:t>
      </w:r>
      <w:r>
        <w:rPr/>
        <w:t>。</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Heading3"/>
        <w:spacing w:line="240" w:lineRule="auto" w:before="122"/>
        <w:ind w:right="0"/>
        <w:jc w:val="left"/>
        <w:rPr>
          <w:b w:val="0"/>
          <w:bCs w:val="0"/>
        </w:rPr>
      </w:pPr>
      <w:r>
        <w:rPr>
          <w:rFonts w:ascii="Times New Roman" w:hAnsi="Times New Roman" w:cs="Times New Roman" w:eastAsia="Times New Roman" w:hint="default"/>
        </w:rPr>
        <w:t>56</w:t>
      </w:r>
      <w:r>
        <w:rPr/>
        <w:t>、库存股</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59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股份回购</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67" w:right="0"/>
              <w:jc w:val="left"/>
              <w:rPr>
                <w:rFonts w:ascii="Times New Roman" w:hAnsi="Times New Roman" w:cs="Times New Roman" w:eastAsia="Times New Roman" w:hint="default"/>
                <w:sz w:val="18"/>
                <w:szCs w:val="18"/>
              </w:rPr>
            </w:pPr>
            <w:r>
              <w:rPr>
                <w:rFonts w:ascii="Times New Roman"/>
                <w:sz w:val="18"/>
              </w:rPr>
              <w:t>46,010,428.76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65" w:right="0"/>
              <w:jc w:val="left"/>
              <w:rPr>
                <w:rFonts w:ascii="Times New Roman" w:hAnsi="Times New Roman" w:cs="Times New Roman" w:eastAsia="Times New Roman" w:hint="default"/>
                <w:sz w:val="18"/>
                <w:szCs w:val="18"/>
              </w:rPr>
            </w:pPr>
            <w:r>
              <w:rPr>
                <w:rFonts w:ascii="Times New Roman"/>
                <w:sz w:val="18"/>
              </w:rPr>
              <w:t>53,009,074.03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65" w:right="0"/>
              <w:jc w:val="left"/>
              <w:rPr>
                <w:rFonts w:ascii="Times New Roman" w:hAnsi="Times New Roman" w:cs="Times New Roman" w:eastAsia="Times New Roman" w:hint="default"/>
                <w:sz w:val="18"/>
                <w:szCs w:val="18"/>
              </w:rPr>
            </w:pPr>
            <w:r>
              <w:rPr>
                <w:rFonts w:ascii="Times New Roman"/>
                <w:sz w:val="18"/>
              </w:rPr>
              <w:t>99,019,502.79</w:t>
            </w:r>
          </w:p>
        </w:tc>
        <w:tc>
          <w:tcPr>
            <w:tcW w:w="191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6" w:footer="1018" w:top="1100" w:bottom="1200" w:left="1020" w:right="0"/>
        </w:sectPr>
      </w:pPr>
    </w:p>
    <w:p>
      <w:pPr>
        <w:spacing w:line="240" w:lineRule="auto" w:before="7"/>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67" w:right="0"/>
              <w:jc w:val="left"/>
              <w:rPr>
                <w:rFonts w:ascii="Times New Roman" w:hAnsi="Times New Roman" w:cs="Times New Roman" w:eastAsia="Times New Roman" w:hint="default"/>
                <w:sz w:val="18"/>
                <w:szCs w:val="18"/>
              </w:rPr>
            </w:pPr>
            <w:r>
              <w:rPr>
                <w:rFonts w:ascii="Times New Roman"/>
                <w:sz w:val="18"/>
              </w:rPr>
              <w:t>46,010,428.76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65" w:right="0"/>
              <w:jc w:val="left"/>
              <w:rPr>
                <w:rFonts w:ascii="Times New Roman" w:hAnsi="Times New Roman" w:cs="Times New Roman" w:eastAsia="Times New Roman" w:hint="default"/>
                <w:sz w:val="18"/>
                <w:szCs w:val="18"/>
              </w:rPr>
            </w:pPr>
            <w:r>
              <w:rPr>
                <w:rFonts w:ascii="Times New Roman"/>
                <w:sz w:val="18"/>
              </w:rPr>
              <w:t>53,009,074.03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65" w:right="0"/>
              <w:jc w:val="left"/>
              <w:rPr>
                <w:rFonts w:ascii="Times New Roman" w:hAnsi="Times New Roman" w:cs="Times New Roman" w:eastAsia="Times New Roman" w:hint="default"/>
                <w:sz w:val="18"/>
                <w:szCs w:val="18"/>
              </w:rPr>
            </w:pPr>
            <w:r>
              <w:rPr>
                <w:rFonts w:ascii="Times New Roman"/>
                <w:sz w:val="18"/>
              </w:rPr>
              <w:t>99,019,502.79</w:t>
            </w:r>
          </w:p>
        </w:tc>
        <w:tc>
          <w:tcPr>
            <w:tcW w:w="1914"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0"/>
        <w:ind w:right="0"/>
        <w:jc w:val="both"/>
      </w:pPr>
      <w:r>
        <w:rPr/>
        <w:t>其他说明，包括本期增减变动情况、变动原因说明：</w:t>
      </w:r>
    </w:p>
    <w:p>
      <w:pPr>
        <w:pStyle w:val="BodyText"/>
        <w:spacing w:line="300" w:lineRule="auto" w:before="116"/>
        <w:ind w:right="1129"/>
        <w:jc w:val="both"/>
      </w:pPr>
      <w:r>
        <w:rPr>
          <w:spacing w:val="-1"/>
        </w:rPr>
        <w:t>截至</w:t>
      </w:r>
      <w:r>
        <w:rPr>
          <w:rFonts w:ascii="Times New Roman" w:hAnsi="Times New Roman" w:cs="Times New Roman" w:eastAsia="Times New Roman" w:hint="default"/>
          <w:spacing w:val="-1"/>
        </w:rPr>
        <w:t>2019</w:t>
      </w:r>
      <w:r>
        <w:rPr>
          <w:spacing w:val="-1"/>
        </w:rPr>
        <w:t>年</w:t>
      </w:r>
      <w:r>
        <w:rPr>
          <w:rFonts w:ascii="Times New Roman" w:hAnsi="Times New Roman" w:cs="Times New Roman" w:eastAsia="Times New Roman" w:hint="default"/>
          <w:spacing w:val="-1"/>
        </w:rPr>
        <w:t>7</w:t>
      </w:r>
      <w:r>
        <w:rPr>
          <w:spacing w:val="-1"/>
        </w:rPr>
        <w:t>月</w:t>
      </w:r>
      <w:r>
        <w:rPr>
          <w:rFonts w:ascii="Times New Roman" w:hAnsi="Times New Roman" w:cs="Times New Roman" w:eastAsia="Times New Roman" w:hint="default"/>
          <w:spacing w:val="-1"/>
        </w:rPr>
        <w:t>6</w:t>
      </w:r>
      <w:r>
        <w:rPr>
          <w:spacing w:val="-1"/>
        </w:rPr>
        <w:t>日止，回购期限届满，公司通过股票回购专用证券账户以集中竞价交易方式累计回购股份</w:t>
      </w:r>
      <w:r>
        <w:rPr>
          <w:rFonts w:ascii="Times New Roman" w:hAnsi="Times New Roman" w:cs="Times New Roman" w:eastAsia="Times New Roman" w:hint="default"/>
          <w:spacing w:val="-1"/>
        </w:rPr>
        <w:t>15,107,446</w:t>
      </w:r>
      <w:r>
        <w:rPr>
          <w:spacing w:val="-1"/>
        </w:rPr>
        <w:t>股</w:t>
      </w:r>
      <w:r>
        <w:rPr>
          <w:imprint/>
          <w:spacing w:val="-1"/>
        </w:rPr>
        <w:t>，</w:t>
      </w:r>
      <w:r>
        <w:rPr>
          <w:imprint/>
          <w:spacing w:val="-21"/>
        </w:rPr>
        <w:t> </w:t>
      </w:r>
      <w:r>
        <w:rPr>
          <w:shadow w:val="0"/>
          <w:spacing w:val="-21"/>
        </w:rPr>
      </w:r>
      <w:r>
        <w:rPr>
          <w:shadow w:val="0"/>
        </w:rPr>
        <w:t>支</w:t>
      </w:r>
      <w:r>
        <w:rPr>
          <w:shadow w:val="0"/>
        </w:rPr>
        <w:t> </w:t>
      </w:r>
      <w:r>
        <w:rPr>
          <w:shadow w:val="0"/>
          <w:spacing w:val="-2"/>
        </w:rPr>
        <w:t>付总金额为</w:t>
      </w:r>
      <w:r>
        <w:rPr>
          <w:rFonts w:ascii="Times New Roman" w:hAnsi="Times New Roman" w:cs="Times New Roman" w:eastAsia="Times New Roman" w:hint="default"/>
          <w:shadow w:val="0"/>
          <w:spacing w:val="-2"/>
        </w:rPr>
        <w:t>99,019,502.79</w:t>
      </w:r>
      <w:r>
        <w:rPr>
          <w:shadow w:val="0"/>
          <w:spacing w:val="-2"/>
        </w:rPr>
        <w:t>元（含交易费用）。公司于</w:t>
      </w:r>
      <w:r>
        <w:rPr>
          <w:rFonts w:ascii="Times New Roman" w:hAnsi="Times New Roman" w:cs="Times New Roman" w:eastAsia="Times New Roman" w:hint="default"/>
          <w:shadow w:val="0"/>
          <w:spacing w:val="-2"/>
        </w:rPr>
        <w:t>2019</w:t>
      </w:r>
      <w:r>
        <w:rPr>
          <w:shadow w:val="0"/>
          <w:spacing w:val="-2"/>
        </w:rPr>
        <w:t>年</w:t>
      </w:r>
      <w:r>
        <w:rPr>
          <w:rFonts w:ascii="Times New Roman" w:hAnsi="Times New Roman" w:cs="Times New Roman" w:eastAsia="Times New Roman" w:hint="default"/>
          <w:shadow w:val="0"/>
          <w:spacing w:val="-2"/>
        </w:rPr>
        <w:t>7</w:t>
      </w:r>
      <w:r>
        <w:rPr>
          <w:shadow w:val="0"/>
          <w:spacing w:val="-2"/>
        </w:rPr>
        <w:t>月</w:t>
      </w:r>
      <w:r>
        <w:rPr>
          <w:rFonts w:ascii="Times New Roman" w:hAnsi="Times New Roman" w:cs="Times New Roman" w:eastAsia="Times New Roman" w:hint="default"/>
          <w:shadow w:val="0"/>
          <w:spacing w:val="-2"/>
        </w:rPr>
        <w:t>26</w:t>
      </w:r>
      <w:r>
        <w:rPr>
          <w:shadow w:val="0"/>
          <w:spacing w:val="-2"/>
        </w:rPr>
        <w:t>日在中国证券登记结算有限责任公司深圳分公司办理完毕上</w:t>
      </w:r>
      <w:r>
        <w:rPr>
          <w:shadow w:val="0"/>
          <w:spacing w:val="-87"/>
        </w:rPr>
        <w:t> </w:t>
      </w:r>
      <w:r>
        <w:rPr>
          <w:shadow w:val="0"/>
        </w:rPr>
        <w:t>述</w:t>
      </w:r>
      <w:r>
        <w:rPr>
          <w:rFonts w:ascii="Times New Roman" w:hAnsi="Times New Roman" w:cs="Times New Roman" w:eastAsia="Times New Roman" w:hint="default"/>
          <w:shadow w:val="0"/>
        </w:rPr>
        <w:t>15,107,446</w:t>
      </w:r>
      <w:r>
        <w:rPr>
          <w:shadow w:val="0"/>
        </w:rPr>
        <w:t>股回购股份注销手续。</w:t>
      </w:r>
    </w:p>
    <w:p>
      <w:pPr>
        <w:pStyle w:val="BodyText"/>
        <w:spacing w:line="300" w:lineRule="auto" w:before="52"/>
        <w:ind w:right="1140"/>
        <w:jc w:val="both"/>
      </w:pPr>
      <w:r>
        <w:rPr/>
        <w:t>按股票面值和注销股数减少股本</w:t>
      </w:r>
      <w:r>
        <w:rPr>
          <w:rFonts w:ascii="Times New Roman" w:hAnsi="Times New Roman" w:cs="Times New Roman" w:eastAsia="Times New Roman" w:hint="default"/>
        </w:rPr>
        <w:t>15,107,446.00</w:t>
      </w:r>
      <w:r>
        <w:rPr/>
        <w:t>股，按注销库存股的账面余额与面值的差额，冲减资本公积</w:t>
      </w:r>
      <w:r>
        <w:rPr>
          <w:rFonts w:ascii="Times New Roman" w:hAnsi="Times New Roman" w:cs="Times New Roman" w:eastAsia="Times New Roman" w:hint="default"/>
        </w:rPr>
        <w:t>73,666,908.74</w:t>
      </w:r>
      <w:r>
        <w:rPr/>
        <w:t>元， 冲减盈余公积</w:t>
      </w:r>
      <w:r>
        <w:rPr>
          <w:rFonts w:ascii="Times New Roman" w:hAnsi="Times New Roman" w:cs="Times New Roman" w:eastAsia="Times New Roman" w:hint="default"/>
        </w:rPr>
        <w:t>10,245,148.05</w:t>
      </w:r>
      <w:r>
        <w:rPr/>
        <w:t>元。</w:t>
      </w:r>
    </w:p>
    <w:p>
      <w:pPr>
        <w:spacing w:line="240" w:lineRule="auto" w:before="1"/>
        <w:rPr>
          <w:rFonts w:ascii="宋体" w:hAnsi="宋体" w:cs="宋体" w:eastAsia="宋体" w:hint="default"/>
          <w:sz w:val="22"/>
          <w:szCs w:val="22"/>
        </w:rPr>
      </w:pPr>
    </w:p>
    <w:p>
      <w:pPr>
        <w:pStyle w:val="Heading3"/>
        <w:spacing w:line="240" w:lineRule="auto"/>
        <w:ind w:right="0"/>
        <w:jc w:val="both"/>
        <w:rPr>
          <w:b w:val="0"/>
          <w:bCs w:val="0"/>
        </w:rPr>
      </w:pPr>
      <w:r>
        <w:rPr>
          <w:rFonts w:ascii="Times New Roman" w:hAnsi="Times New Roman" w:cs="Times New Roman" w:eastAsia="Times New Roman" w:hint="default"/>
        </w:rPr>
        <w:t>57</w:t>
      </w:r>
      <w:r>
        <w:rPr/>
        <w:t>、其他综合收益</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557"/>
        <w:gridCol w:w="974"/>
        <w:gridCol w:w="852"/>
        <w:gridCol w:w="1050"/>
        <w:gridCol w:w="852"/>
        <w:gridCol w:w="852"/>
        <w:gridCol w:w="853"/>
        <w:gridCol w:w="852"/>
        <w:gridCol w:w="726"/>
      </w:tblGrid>
      <w:tr>
        <w:trPr>
          <w:trHeight w:val="402" w:hRule="exact"/>
        </w:trPr>
        <w:tc>
          <w:tcPr>
            <w:tcW w:w="2557" w:type="dxa"/>
            <w:tcBorders>
              <w:top w:val="single" w:sz="4" w:space="0" w:color="000000"/>
              <w:left w:val="single" w:sz="4" w:space="0" w:color="000000"/>
              <w:bottom w:val="nil" w:sz="6" w:space="0" w:color="auto"/>
              <w:right w:val="single" w:sz="4" w:space="0" w:color="000000"/>
            </w:tcBorders>
            <w:shd w:val="clear" w:color="auto" w:fill="D3D3D3"/>
          </w:tcPr>
          <w:p>
            <w:pPr/>
          </w:p>
        </w:tc>
        <w:tc>
          <w:tcPr>
            <w:tcW w:w="974" w:type="dxa"/>
            <w:tcBorders>
              <w:top w:val="single" w:sz="4" w:space="0" w:color="000000"/>
              <w:left w:val="single" w:sz="4" w:space="0" w:color="000000"/>
              <w:bottom w:val="nil" w:sz="6" w:space="0" w:color="auto"/>
              <w:right w:val="single" w:sz="4" w:space="0" w:color="000000"/>
            </w:tcBorders>
            <w:shd w:val="clear" w:color="auto" w:fill="D3D3D3"/>
          </w:tcPr>
          <w:p>
            <w:pPr/>
          </w:p>
        </w:tc>
        <w:tc>
          <w:tcPr>
            <w:tcW w:w="5311" w:type="dxa"/>
            <w:gridSpan w:val="6"/>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726" w:type="dxa"/>
            <w:tcBorders>
              <w:top w:val="single" w:sz="4" w:space="0" w:color="000000"/>
              <w:left w:val="single" w:sz="4" w:space="0" w:color="000000"/>
              <w:bottom w:val="nil" w:sz="6" w:space="0" w:color="auto"/>
              <w:right w:val="single" w:sz="4" w:space="0" w:color="000000"/>
            </w:tcBorders>
            <w:shd w:val="clear" w:color="auto" w:fill="D3D3D3"/>
          </w:tcPr>
          <w:p>
            <w:pPr/>
          </w:p>
        </w:tc>
      </w:tr>
      <w:tr>
        <w:trPr>
          <w:trHeight w:val="357" w:hRule="exact"/>
        </w:trPr>
        <w:tc>
          <w:tcPr>
            <w:tcW w:w="2557" w:type="dxa"/>
            <w:tcBorders>
              <w:top w:val="nil" w:sz="6" w:space="0" w:color="auto"/>
              <w:left w:val="single" w:sz="4" w:space="0" w:color="000000"/>
              <w:bottom w:val="nil" w:sz="6" w:space="0" w:color="auto"/>
              <w:right w:val="single" w:sz="4" w:space="0" w:color="000000"/>
            </w:tcBorders>
            <w:shd w:val="clear" w:color="auto" w:fill="D3D3D3"/>
          </w:tcPr>
          <w:p>
            <w:pPr/>
          </w:p>
        </w:tc>
        <w:tc>
          <w:tcPr>
            <w:tcW w:w="974" w:type="dxa"/>
            <w:tcBorders>
              <w:top w:val="nil" w:sz="6" w:space="0" w:color="auto"/>
              <w:left w:val="single" w:sz="4" w:space="0" w:color="000000"/>
              <w:bottom w:val="nil" w:sz="6" w:space="0" w:color="auto"/>
              <w:right w:val="single" w:sz="4" w:space="0" w:color="000000"/>
            </w:tcBorders>
            <w:shd w:val="clear" w:color="auto" w:fill="D3D3D3"/>
          </w:tcPr>
          <w:p>
            <w:pPr/>
          </w:p>
        </w:tc>
        <w:tc>
          <w:tcPr>
            <w:tcW w:w="852" w:type="dxa"/>
            <w:tcBorders>
              <w:top w:val="single" w:sz="4" w:space="0" w:color="000000"/>
              <w:left w:val="single" w:sz="4" w:space="0" w:color="000000"/>
              <w:bottom w:val="nil" w:sz="6" w:space="0" w:color="auto"/>
              <w:right w:val="single" w:sz="4" w:space="0" w:color="000000"/>
            </w:tcBorders>
            <w:shd w:val="clear" w:color="auto" w:fill="D3D3D3"/>
          </w:tcPr>
          <w:p>
            <w:pPr/>
          </w:p>
        </w:tc>
        <w:tc>
          <w:tcPr>
            <w:tcW w:w="1050" w:type="dxa"/>
            <w:tcBorders>
              <w:top w:val="single" w:sz="4" w:space="0" w:color="000000"/>
              <w:left w:val="single" w:sz="4" w:space="0" w:color="000000"/>
              <w:bottom w:val="nil" w:sz="6" w:space="0" w:color="auto"/>
              <w:right w:val="single" w:sz="4" w:space="0" w:color="000000"/>
            </w:tcBorders>
            <w:shd w:val="clear" w:color="auto" w:fill="D3D3D3"/>
          </w:tcPr>
          <w:p>
            <w:pPr/>
          </w:p>
        </w:tc>
        <w:tc>
          <w:tcPr>
            <w:tcW w:w="852" w:type="dxa"/>
            <w:tcBorders>
              <w:top w:val="single" w:sz="4" w:space="0" w:color="000000"/>
              <w:left w:val="single" w:sz="4" w:space="0" w:color="000000"/>
              <w:bottom w:val="nil" w:sz="6" w:space="0" w:color="auto"/>
              <w:right w:val="single" w:sz="4" w:space="0" w:color="000000"/>
            </w:tcBorders>
            <w:shd w:val="clear" w:color="auto" w:fill="D3D3D3"/>
          </w:tcPr>
          <w:p>
            <w:pPr>
              <w:pStyle w:val="TableParagraph"/>
              <w:spacing w:line="240" w:lineRule="auto" w:before="50"/>
              <w:ind w:right="101"/>
              <w:jc w:val="right"/>
              <w:rPr>
                <w:rFonts w:ascii="宋体" w:hAnsi="宋体" w:cs="宋体" w:eastAsia="宋体" w:hint="default"/>
                <w:sz w:val="18"/>
                <w:szCs w:val="18"/>
              </w:rPr>
            </w:pPr>
            <w:r>
              <w:rPr>
                <w:rFonts w:ascii="宋体" w:hAnsi="宋体" w:cs="宋体" w:eastAsia="宋体" w:hint="default"/>
                <w:sz w:val="18"/>
                <w:szCs w:val="18"/>
              </w:rPr>
              <w:t>减</w:t>
            </w:r>
            <w:r>
              <w:rPr>
                <w:rFonts w:ascii="宋体" w:hAnsi="宋体" w:cs="宋体" w:eastAsia="宋体" w:hint="default"/>
                <w:spacing w:val="-85"/>
                <w:sz w:val="18"/>
                <w:szCs w:val="18"/>
              </w:rPr>
              <w:t>：</w:t>
            </w:r>
            <w:r>
              <w:rPr>
                <w:rFonts w:ascii="宋体" w:hAnsi="宋体" w:cs="宋体" w:eastAsia="宋体" w:hint="default"/>
                <w:sz w:val="18"/>
                <w:szCs w:val="18"/>
              </w:rPr>
              <w:t>前期</w:t>
            </w:r>
          </w:p>
        </w:tc>
        <w:tc>
          <w:tcPr>
            <w:tcW w:w="852" w:type="dxa"/>
            <w:tcBorders>
              <w:top w:val="single" w:sz="4" w:space="0" w:color="000000"/>
              <w:left w:val="single" w:sz="4" w:space="0" w:color="000000"/>
              <w:bottom w:val="nil" w:sz="6" w:space="0" w:color="auto"/>
              <w:right w:val="single" w:sz="4" w:space="0" w:color="000000"/>
            </w:tcBorders>
            <w:shd w:val="clear" w:color="auto" w:fill="D3D3D3"/>
          </w:tcPr>
          <w:p>
            <w:pPr/>
          </w:p>
        </w:tc>
        <w:tc>
          <w:tcPr>
            <w:tcW w:w="853" w:type="dxa"/>
            <w:tcBorders>
              <w:top w:val="single" w:sz="4" w:space="0" w:color="000000"/>
              <w:left w:val="single" w:sz="4" w:space="0" w:color="000000"/>
              <w:bottom w:val="nil" w:sz="6" w:space="0" w:color="auto"/>
              <w:right w:val="single" w:sz="4" w:space="0" w:color="000000"/>
            </w:tcBorders>
            <w:shd w:val="clear" w:color="auto" w:fill="D3D3D3"/>
          </w:tcPr>
          <w:p>
            <w:pPr/>
          </w:p>
        </w:tc>
        <w:tc>
          <w:tcPr>
            <w:tcW w:w="852" w:type="dxa"/>
            <w:tcBorders>
              <w:top w:val="single" w:sz="4" w:space="0" w:color="000000"/>
              <w:left w:val="single" w:sz="4" w:space="0" w:color="000000"/>
              <w:bottom w:val="nil" w:sz="6" w:space="0" w:color="auto"/>
              <w:right w:val="single" w:sz="4" w:space="0" w:color="000000"/>
            </w:tcBorders>
            <w:shd w:val="clear" w:color="auto" w:fill="D3D3D3"/>
          </w:tcPr>
          <w:p>
            <w:pPr/>
          </w:p>
        </w:tc>
        <w:tc>
          <w:tcPr>
            <w:tcW w:w="726" w:type="dxa"/>
            <w:tcBorders>
              <w:top w:val="nil" w:sz="6" w:space="0" w:color="auto"/>
              <w:left w:val="single" w:sz="4" w:space="0" w:color="000000"/>
              <w:bottom w:val="nil" w:sz="6" w:space="0" w:color="auto"/>
              <w:right w:val="single" w:sz="4" w:space="0" w:color="000000"/>
            </w:tcBorders>
            <w:shd w:val="clear" w:color="auto" w:fill="D3D3D3"/>
          </w:tcPr>
          <w:p>
            <w:pPr/>
          </w:p>
        </w:tc>
      </w:tr>
      <w:tr>
        <w:trPr>
          <w:trHeight w:val="289" w:hRule="exact"/>
        </w:trPr>
        <w:tc>
          <w:tcPr>
            <w:tcW w:w="2557" w:type="dxa"/>
            <w:tcBorders>
              <w:top w:val="nil" w:sz="6" w:space="0" w:color="auto"/>
              <w:left w:val="single" w:sz="4" w:space="0" w:color="000000"/>
              <w:bottom w:val="nil" w:sz="6" w:space="0" w:color="auto"/>
              <w:right w:val="single" w:sz="4" w:space="0" w:color="000000"/>
            </w:tcBorders>
            <w:shd w:val="clear" w:color="auto" w:fill="D3D3D3"/>
          </w:tcPr>
          <w:p>
            <w:pPr/>
          </w:p>
        </w:tc>
        <w:tc>
          <w:tcPr>
            <w:tcW w:w="974" w:type="dxa"/>
            <w:tcBorders>
              <w:top w:val="nil" w:sz="6" w:space="0" w:color="auto"/>
              <w:left w:val="single" w:sz="4" w:space="0" w:color="000000"/>
              <w:bottom w:val="nil" w:sz="6" w:space="0" w:color="auto"/>
              <w:right w:val="single" w:sz="4" w:space="0" w:color="000000"/>
            </w:tcBorders>
            <w:shd w:val="clear" w:color="auto" w:fill="D3D3D3"/>
          </w:tcPr>
          <w:p>
            <w:pPr/>
          </w:p>
        </w:tc>
        <w:tc>
          <w:tcPr>
            <w:tcW w:w="852" w:type="dxa"/>
            <w:tcBorders>
              <w:top w:val="nil" w:sz="6" w:space="0" w:color="auto"/>
              <w:left w:val="single" w:sz="4" w:space="0" w:color="000000"/>
              <w:bottom w:val="nil" w:sz="6" w:space="0" w:color="auto"/>
              <w:right w:val="single" w:sz="4" w:space="0" w:color="000000"/>
            </w:tcBorders>
            <w:shd w:val="clear" w:color="auto" w:fill="D3D3D3"/>
          </w:tcPr>
          <w:p>
            <w:pPr/>
          </w:p>
        </w:tc>
        <w:tc>
          <w:tcPr>
            <w:tcW w:w="1050"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pacing w:val="-14"/>
                <w:sz w:val="18"/>
                <w:szCs w:val="18"/>
              </w:rPr>
              <w:t>减：前期计</w:t>
            </w:r>
          </w:p>
        </w:tc>
        <w:tc>
          <w:tcPr>
            <w:tcW w:w="852"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10"/>
              <w:ind w:right="149"/>
              <w:jc w:val="right"/>
              <w:rPr>
                <w:rFonts w:ascii="宋体" w:hAnsi="宋体" w:cs="宋体" w:eastAsia="宋体" w:hint="default"/>
                <w:sz w:val="18"/>
                <w:szCs w:val="18"/>
              </w:rPr>
            </w:pPr>
            <w:r>
              <w:rPr>
                <w:rFonts w:ascii="宋体" w:hAnsi="宋体" w:cs="宋体" w:eastAsia="宋体" w:hint="default"/>
                <w:sz w:val="18"/>
                <w:szCs w:val="18"/>
              </w:rPr>
              <w:t>计入其</w:t>
            </w:r>
          </w:p>
        </w:tc>
        <w:tc>
          <w:tcPr>
            <w:tcW w:w="852" w:type="dxa"/>
            <w:tcBorders>
              <w:top w:val="nil" w:sz="6" w:space="0" w:color="auto"/>
              <w:left w:val="single" w:sz="4" w:space="0" w:color="000000"/>
              <w:bottom w:val="nil" w:sz="6" w:space="0" w:color="auto"/>
              <w:right w:val="single" w:sz="4" w:space="0" w:color="000000"/>
            </w:tcBorders>
            <w:shd w:val="clear" w:color="auto" w:fill="D3D3D3"/>
          </w:tcPr>
          <w:p>
            <w:pPr/>
          </w:p>
        </w:tc>
        <w:tc>
          <w:tcPr>
            <w:tcW w:w="853" w:type="dxa"/>
            <w:tcBorders>
              <w:top w:val="nil" w:sz="6" w:space="0" w:color="auto"/>
              <w:left w:val="single" w:sz="4" w:space="0" w:color="000000"/>
              <w:bottom w:val="nil" w:sz="6" w:space="0" w:color="auto"/>
              <w:right w:val="single" w:sz="4" w:space="0" w:color="000000"/>
            </w:tcBorders>
            <w:shd w:val="clear" w:color="auto" w:fill="D3D3D3"/>
          </w:tcPr>
          <w:p>
            <w:pPr/>
          </w:p>
        </w:tc>
        <w:tc>
          <w:tcPr>
            <w:tcW w:w="852" w:type="dxa"/>
            <w:tcBorders>
              <w:top w:val="nil" w:sz="6" w:space="0" w:color="auto"/>
              <w:left w:val="single" w:sz="4" w:space="0" w:color="000000"/>
              <w:bottom w:val="nil" w:sz="6" w:space="0" w:color="auto"/>
              <w:right w:val="single" w:sz="4" w:space="0" w:color="000000"/>
            </w:tcBorders>
            <w:shd w:val="clear" w:color="auto" w:fill="D3D3D3"/>
          </w:tcPr>
          <w:p>
            <w:pPr/>
          </w:p>
        </w:tc>
        <w:tc>
          <w:tcPr>
            <w:tcW w:w="726" w:type="dxa"/>
            <w:tcBorders>
              <w:top w:val="nil" w:sz="6" w:space="0" w:color="auto"/>
              <w:left w:val="single" w:sz="4" w:space="0" w:color="000000"/>
              <w:bottom w:val="nil" w:sz="6" w:space="0" w:color="auto"/>
              <w:right w:val="single" w:sz="4" w:space="0" w:color="000000"/>
            </w:tcBorders>
            <w:shd w:val="clear" w:color="auto" w:fill="D3D3D3"/>
          </w:tcPr>
          <w:p>
            <w:pPr/>
          </w:p>
        </w:tc>
      </w:tr>
      <w:tr>
        <w:trPr>
          <w:trHeight w:val="959" w:hRule="exact"/>
        </w:trPr>
        <w:tc>
          <w:tcPr>
            <w:tcW w:w="2557"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143"/>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974"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143"/>
              <w:ind w:right="120"/>
              <w:jc w:val="right"/>
              <w:rPr>
                <w:rFonts w:ascii="宋体" w:hAnsi="宋体" w:cs="宋体" w:eastAsia="宋体" w:hint="default"/>
                <w:sz w:val="18"/>
                <w:szCs w:val="18"/>
              </w:rPr>
            </w:pPr>
            <w:r>
              <w:rPr>
                <w:rFonts w:ascii="宋体" w:hAnsi="宋体" w:cs="宋体" w:eastAsia="宋体" w:hint="default"/>
                <w:sz w:val="18"/>
                <w:szCs w:val="18"/>
              </w:rPr>
              <w:t>期初余额</w:t>
            </w:r>
          </w:p>
        </w:tc>
        <w:tc>
          <w:tcPr>
            <w:tcW w:w="852"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316" w:lineRule="auto" w:before="33"/>
              <w:ind w:left="150" w:right="149"/>
              <w:jc w:val="both"/>
              <w:rPr>
                <w:rFonts w:ascii="宋体" w:hAnsi="宋体" w:cs="宋体" w:eastAsia="宋体" w:hint="default"/>
                <w:sz w:val="18"/>
                <w:szCs w:val="18"/>
              </w:rPr>
            </w:pPr>
            <w:r>
              <w:rPr>
                <w:rFonts w:ascii="宋体" w:hAnsi="宋体" w:cs="宋体" w:eastAsia="宋体" w:hint="default"/>
                <w:sz w:val="18"/>
                <w:szCs w:val="18"/>
              </w:rPr>
              <w:t>本期所 得税前 发生额</w:t>
            </w:r>
          </w:p>
        </w:tc>
        <w:tc>
          <w:tcPr>
            <w:tcW w:w="1050"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316" w:lineRule="auto" w:before="33"/>
              <w:ind w:left="159" w:right="158"/>
              <w:jc w:val="both"/>
              <w:rPr>
                <w:rFonts w:ascii="宋体" w:hAnsi="宋体" w:cs="宋体" w:eastAsia="宋体" w:hint="default"/>
                <w:sz w:val="18"/>
                <w:szCs w:val="18"/>
              </w:rPr>
            </w:pPr>
            <w:r>
              <w:rPr>
                <w:rFonts w:ascii="宋体" w:hAnsi="宋体" w:cs="宋体" w:eastAsia="宋体" w:hint="default"/>
                <w:sz w:val="18"/>
                <w:szCs w:val="18"/>
              </w:rPr>
              <w:t>入其他综 合收益当 期转入损</w:t>
            </w:r>
          </w:p>
        </w:tc>
        <w:tc>
          <w:tcPr>
            <w:tcW w:w="852"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316" w:lineRule="auto" w:before="33"/>
              <w:ind w:left="150" w:right="149"/>
              <w:jc w:val="both"/>
              <w:rPr>
                <w:rFonts w:ascii="宋体" w:hAnsi="宋体" w:cs="宋体" w:eastAsia="宋体" w:hint="default"/>
                <w:sz w:val="18"/>
                <w:szCs w:val="18"/>
              </w:rPr>
            </w:pPr>
            <w:r>
              <w:rPr>
                <w:rFonts w:ascii="宋体" w:hAnsi="宋体" w:cs="宋体" w:eastAsia="宋体" w:hint="default"/>
                <w:sz w:val="18"/>
                <w:szCs w:val="18"/>
              </w:rPr>
              <w:t>他综合 收益当 期转入</w:t>
            </w:r>
          </w:p>
        </w:tc>
        <w:tc>
          <w:tcPr>
            <w:tcW w:w="852"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6"/>
              <w:ind w:right="0"/>
              <w:jc w:val="left"/>
              <w:rPr>
                <w:rFonts w:ascii="宋体" w:hAnsi="宋体" w:cs="宋体" w:eastAsia="宋体" w:hint="default"/>
                <w:sz w:val="14"/>
                <w:szCs w:val="14"/>
              </w:rPr>
            </w:pPr>
          </w:p>
          <w:p>
            <w:pPr>
              <w:pStyle w:val="TableParagraph"/>
              <w:spacing w:line="316" w:lineRule="auto"/>
              <w:ind w:left="150" w:right="101" w:hanging="49"/>
              <w:jc w:val="left"/>
              <w:rPr>
                <w:rFonts w:ascii="宋体" w:hAnsi="宋体" w:cs="宋体" w:eastAsia="宋体" w:hint="default"/>
                <w:sz w:val="18"/>
                <w:szCs w:val="18"/>
              </w:rPr>
            </w:pPr>
            <w:r>
              <w:rPr>
                <w:rFonts w:ascii="宋体" w:hAnsi="宋体" w:cs="宋体" w:eastAsia="宋体" w:hint="default"/>
                <w:spacing w:val="-21"/>
                <w:sz w:val="18"/>
                <w:szCs w:val="18"/>
              </w:rPr>
              <w:t>减：所得</w:t>
            </w:r>
            <w:r>
              <w:rPr>
                <w:rFonts w:ascii="宋体" w:hAnsi="宋体" w:cs="宋体" w:eastAsia="宋体" w:hint="default"/>
                <w:sz w:val="18"/>
                <w:szCs w:val="18"/>
              </w:rPr>
              <w:t> 税费用</w:t>
            </w:r>
          </w:p>
        </w:tc>
        <w:tc>
          <w:tcPr>
            <w:tcW w:w="853"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316" w:lineRule="auto" w:before="33"/>
              <w:ind w:left="150" w:right="150"/>
              <w:jc w:val="both"/>
              <w:rPr>
                <w:rFonts w:ascii="宋体" w:hAnsi="宋体" w:cs="宋体" w:eastAsia="宋体" w:hint="default"/>
                <w:sz w:val="18"/>
                <w:szCs w:val="18"/>
              </w:rPr>
            </w:pPr>
            <w:r>
              <w:rPr>
                <w:rFonts w:ascii="宋体" w:hAnsi="宋体" w:cs="宋体" w:eastAsia="宋体" w:hint="default"/>
                <w:sz w:val="18"/>
                <w:szCs w:val="18"/>
              </w:rPr>
              <w:t>税后归 属于母 公司</w:t>
            </w:r>
          </w:p>
        </w:tc>
        <w:tc>
          <w:tcPr>
            <w:tcW w:w="852"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316" w:lineRule="auto" w:before="33"/>
              <w:ind w:left="151" w:right="149"/>
              <w:jc w:val="both"/>
              <w:rPr>
                <w:rFonts w:ascii="宋体" w:hAnsi="宋体" w:cs="宋体" w:eastAsia="宋体" w:hint="default"/>
                <w:sz w:val="18"/>
                <w:szCs w:val="18"/>
              </w:rPr>
            </w:pPr>
            <w:r>
              <w:rPr>
                <w:rFonts w:ascii="宋体" w:hAnsi="宋体" w:cs="宋体" w:eastAsia="宋体" w:hint="default"/>
                <w:sz w:val="18"/>
                <w:szCs w:val="18"/>
              </w:rPr>
              <w:t>税后归 属于少 数股东</w:t>
            </w:r>
          </w:p>
        </w:tc>
        <w:tc>
          <w:tcPr>
            <w:tcW w:w="726"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23" w:lineRule="exact"/>
              <w:ind w:left="178" w:right="0"/>
              <w:jc w:val="left"/>
              <w:rPr>
                <w:rFonts w:ascii="宋体" w:hAnsi="宋体" w:cs="宋体" w:eastAsia="宋体" w:hint="default"/>
                <w:sz w:val="18"/>
                <w:szCs w:val="18"/>
              </w:rPr>
            </w:pPr>
            <w:r>
              <w:rPr>
                <w:rFonts w:ascii="宋体" w:hAnsi="宋体" w:cs="宋体" w:eastAsia="宋体" w:hint="default"/>
                <w:sz w:val="18"/>
                <w:szCs w:val="18"/>
              </w:rPr>
              <w:t>期末</w:t>
            </w:r>
          </w:p>
          <w:p>
            <w:pPr>
              <w:pStyle w:val="TableParagraph"/>
              <w:spacing w:line="240" w:lineRule="auto" w:before="76"/>
              <w:ind w:left="178" w:right="0"/>
              <w:jc w:val="left"/>
              <w:rPr>
                <w:rFonts w:ascii="宋体" w:hAnsi="宋体" w:cs="宋体" w:eastAsia="宋体" w:hint="default"/>
                <w:sz w:val="18"/>
                <w:szCs w:val="18"/>
              </w:rPr>
            </w:pPr>
            <w:r>
              <w:rPr>
                <w:rFonts w:ascii="宋体" w:hAnsi="宋体" w:cs="宋体" w:eastAsia="宋体" w:hint="default"/>
                <w:sz w:val="18"/>
                <w:szCs w:val="18"/>
              </w:rPr>
              <w:t>余额</w:t>
            </w:r>
          </w:p>
        </w:tc>
      </w:tr>
      <w:tr>
        <w:trPr>
          <w:trHeight w:val="312" w:hRule="exact"/>
        </w:trPr>
        <w:tc>
          <w:tcPr>
            <w:tcW w:w="2557" w:type="dxa"/>
            <w:tcBorders>
              <w:top w:val="nil" w:sz="6" w:space="0" w:color="auto"/>
              <w:left w:val="single" w:sz="4" w:space="0" w:color="000000"/>
              <w:bottom w:val="nil" w:sz="6" w:space="0" w:color="auto"/>
              <w:right w:val="single" w:sz="4" w:space="0" w:color="000000"/>
            </w:tcBorders>
            <w:shd w:val="clear" w:color="auto" w:fill="D3D3D3"/>
          </w:tcPr>
          <w:p>
            <w:pPr/>
          </w:p>
        </w:tc>
        <w:tc>
          <w:tcPr>
            <w:tcW w:w="974" w:type="dxa"/>
            <w:tcBorders>
              <w:top w:val="nil" w:sz="6" w:space="0" w:color="auto"/>
              <w:left w:val="single" w:sz="4" w:space="0" w:color="000000"/>
              <w:bottom w:val="nil" w:sz="6" w:space="0" w:color="auto"/>
              <w:right w:val="single" w:sz="4" w:space="0" w:color="000000"/>
            </w:tcBorders>
            <w:shd w:val="clear" w:color="auto" w:fill="D3D3D3"/>
          </w:tcPr>
          <w:p>
            <w:pPr/>
          </w:p>
        </w:tc>
        <w:tc>
          <w:tcPr>
            <w:tcW w:w="852" w:type="dxa"/>
            <w:tcBorders>
              <w:top w:val="nil" w:sz="6" w:space="0" w:color="auto"/>
              <w:left w:val="single" w:sz="4" w:space="0" w:color="000000"/>
              <w:bottom w:val="nil" w:sz="6" w:space="0" w:color="auto"/>
              <w:right w:val="single" w:sz="4" w:space="0" w:color="000000"/>
            </w:tcBorders>
            <w:shd w:val="clear" w:color="auto" w:fill="D3D3D3"/>
          </w:tcPr>
          <w:p>
            <w:pPr/>
          </w:p>
        </w:tc>
        <w:tc>
          <w:tcPr>
            <w:tcW w:w="1050"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益</w:t>
            </w:r>
          </w:p>
        </w:tc>
        <w:tc>
          <w:tcPr>
            <w:tcW w:w="852"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10"/>
              <w:ind w:right="149"/>
              <w:jc w:val="right"/>
              <w:rPr>
                <w:rFonts w:ascii="宋体" w:hAnsi="宋体" w:cs="宋体" w:eastAsia="宋体" w:hint="default"/>
                <w:sz w:val="18"/>
                <w:szCs w:val="18"/>
              </w:rPr>
            </w:pPr>
            <w:r>
              <w:rPr>
                <w:rFonts w:ascii="宋体" w:hAnsi="宋体" w:cs="宋体" w:eastAsia="宋体" w:hint="default"/>
                <w:sz w:val="18"/>
                <w:szCs w:val="18"/>
              </w:rPr>
              <w:t>留存收</w:t>
            </w:r>
          </w:p>
        </w:tc>
        <w:tc>
          <w:tcPr>
            <w:tcW w:w="852" w:type="dxa"/>
            <w:tcBorders>
              <w:top w:val="nil" w:sz="6" w:space="0" w:color="auto"/>
              <w:left w:val="single" w:sz="4" w:space="0" w:color="000000"/>
              <w:bottom w:val="nil" w:sz="6" w:space="0" w:color="auto"/>
              <w:right w:val="single" w:sz="4" w:space="0" w:color="000000"/>
            </w:tcBorders>
            <w:shd w:val="clear" w:color="auto" w:fill="D3D3D3"/>
          </w:tcPr>
          <w:p>
            <w:pPr/>
          </w:p>
        </w:tc>
        <w:tc>
          <w:tcPr>
            <w:tcW w:w="853" w:type="dxa"/>
            <w:tcBorders>
              <w:top w:val="nil" w:sz="6" w:space="0" w:color="auto"/>
              <w:left w:val="single" w:sz="4" w:space="0" w:color="000000"/>
              <w:bottom w:val="nil" w:sz="6" w:space="0" w:color="auto"/>
              <w:right w:val="single" w:sz="4" w:space="0" w:color="000000"/>
            </w:tcBorders>
            <w:shd w:val="clear" w:color="auto" w:fill="D3D3D3"/>
          </w:tcPr>
          <w:p>
            <w:pPr/>
          </w:p>
        </w:tc>
        <w:tc>
          <w:tcPr>
            <w:tcW w:w="852" w:type="dxa"/>
            <w:tcBorders>
              <w:top w:val="nil" w:sz="6" w:space="0" w:color="auto"/>
              <w:left w:val="single" w:sz="4" w:space="0" w:color="000000"/>
              <w:bottom w:val="nil" w:sz="6" w:space="0" w:color="auto"/>
              <w:right w:val="single" w:sz="4" w:space="0" w:color="000000"/>
            </w:tcBorders>
            <w:shd w:val="clear" w:color="auto" w:fill="D3D3D3"/>
          </w:tcPr>
          <w:p>
            <w:pPr/>
          </w:p>
        </w:tc>
        <w:tc>
          <w:tcPr>
            <w:tcW w:w="726" w:type="dxa"/>
            <w:tcBorders>
              <w:top w:val="nil" w:sz="6" w:space="0" w:color="auto"/>
              <w:left w:val="single" w:sz="4" w:space="0" w:color="000000"/>
              <w:bottom w:val="nil" w:sz="6" w:space="0" w:color="auto"/>
              <w:right w:val="single" w:sz="4" w:space="0" w:color="000000"/>
            </w:tcBorders>
            <w:shd w:val="clear" w:color="auto" w:fill="D3D3D3"/>
          </w:tcPr>
          <w:p>
            <w:pPr/>
          </w:p>
        </w:tc>
      </w:tr>
      <w:tr>
        <w:trPr>
          <w:trHeight w:val="358" w:hRule="exact"/>
        </w:trPr>
        <w:tc>
          <w:tcPr>
            <w:tcW w:w="2557" w:type="dxa"/>
            <w:tcBorders>
              <w:top w:val="nil" w:sz="6" w:space="0" w:color="auto"/>
              <w:left w:val="single" w:sz="4" w:space="0" w:color="000000"/>
              <w:bottom w:val="single" w:sz="4" w:space="0" w:color="000000"/>
              <w:right w:val="single" w:sz="4" w:space="0" w:color="000000"/>
            </w:tcBorders>
            <w:shd w:val="clear" w:color="auto" w:fill="D3D3D3"/>
          </w:tcPr>
          <w:p>
            <w:pPr/>
          </w:p>
        </w:tc>
        <w:tc>
          <w:tcPr>
            <w:tcW w:w="974" w:type="dxa"/>
            <w:tcBorders>
              <w:top w:val="nil" w:sz="6" w:space="0" w:color="auto"/>
              <w:left w:val="single" w:sz="4" w:space="0" w:color="000000"/>
              <w:bottom w:val="single" w:sz="4" w:space="0" w:color="000000"/>
              <w:right w:val="single" w:sz="4" w:space="0" w:color="000000"/>
            </w:tcBorders>
            <w:shd w:val="clear" w:color="auto" w:fill="D3D3D3"/>
          </w:tcPr>
          <w:p>
            <w:pPr/>
          </w:p>
        </w:tc>
        <w:tc>
          <w:tcPr>
            <w:tcW w:w="852" w:type="dxa"/>
            <w:tcBorders>
              <w:top w:val="nil" w:sz="6" w:space="0" w:color="auto"/>
              <w:left w:val="single" w:sz="4" w:space="0" w:color="000000"/>
              <w:bottom w:val="single" w:sz="4" w:space="0" w:color="000000"/>
              <w:right w:val="single" w:sz="4" w:space="0" w:color="000000"/>
            </w:tcBorders>
            <w:shd w:val="clear" w:color="auto" w:fill="D3D3D3"/>
          </w:tcPr>
          <w:p>
            <w:pPr/>
          </w:p>
        </w:tc>
        <w:tc>
          <w:tcPr>
            <w:tcW w:w="1050" w:type="dxa"/>
            <w:tcBorders>
              <w:top w:val="nil" w:sz="6" w:space="0" w:color="auto"/>
              <w:left w:val="single" w:sz="4" w:space="0" w:color="000000"/>
              <w:bottom w:val="single" w:sz="4" w:space="0" w:color="000000"/>
              <w:right w:val="single" w:sz="4" w:space="0" w:color="000000"/>
            </w:tcBorders>
            <w:shd w:val="clear" w:color="auto" w:fill="D3D3D3"/>
          </w:tcPr>
          <w:p>
            <w:pPr/>
          </w:p>
        </w:tc>
        <w:tc>
          <w:tcPr>
            <w:tcW w:w="852" w:type="dxa"/>
            <w:tcBorders>
              <w:top w:val="nil" w:sz="6" w:space="0" w:color="auto"/>
              <w:left w:val="single" w:sz="4" w:space="0" w:color="000000"/>
              <w:bottom w:val="single" w:sz="4" w:space="0" w:color="000000"/>
              <w:right w:val="single" w:sz="4" w:space="0" w:color="000000"/>
            </w:tcBorders>
            <w:shd w:val="clear" w:color="auto" w:fill="D3D3D3"/>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益</w:t>
            </w:r>
          </w:p>
        </w:tc>
        <w:tc>
          <w:tcPr>
            <w:tcW w:w="852" w:type="dxa"/>
            <w:tcBorders>
              <w:top w:val="nil" w:sz="6" w:space="0" w:color="auto"/>
              <w:left w:val="single" w:sz="4" w:space="0" w:color="000000"/>
              <w:bottom w:val="single" w:sz="4" w:space="0" w:color="000000"/>
              <w:right w:val="single" w:sz="4" w:space="0" w:color="000000"/>
            </w:tcBorders>
            <w:shd w:val="clear" w:color="auto" w:fill="D3D3D3"/>
          </w:tcPr>
          <w:p>
            <w:pPr/>
          </w:p>
        </w:tc>
        <w:tc>
          <w:tcPr>
            <w:tcW w:w="853" w:type="dxa"/>
            <w:tcBorders>
              <w:top w:val="nil" w:sz="6" w:space="0" w:color="auto"/>
              <w:left w:val="single" w:sz="4" w:space="0" w:color="000000"/>
              <w:bottom w:val="single" w:sz="4" w:space="0" w:color="000000"/>
              <w:right w:val="single" w:sz="4" w:space="0" w:color="000000"/>
            </w:tcBorders>
            <w:shd w:val="clear" w:color="auto" w:fill="D3D3D3"/>
          </w:tcPr>
          <w:p>
            <w:pPr/>
          </w:p>
        </w:tc>
        <w:tc>
          <w:tcPr>
            <w:tcW w:w="852" w:type="dxa"/>
            <w:tcBorders>
              <w:top w:val="nil" w:sz="6" w:space="0" w:color="auto"/>
              <w:left w:val="single" w:sz="4" w:space="0" w:color="000000"/>
              <w:bottom w:val="single" w:sz="4" w:space="0" w:color="000000"/>
              <w:right w:val="single" w:sz="4" w:space="0" w:color="000000"/>
            </w:tcBorders>
            <w:shd w:val="clear" w:color="auto" w:fill="D3D3D3"/>
          </w:tcPr>
          <w:p>
            <w:pPr/>
          </w:p>
        </w:tc>
        <w:tc>
          <w:tcPr>
            <w:tcW w:w="726" w:type="dxa"/>
            <w:tcBorders>
              <w:top w:val="nil" w:sz="6" w:space="0" w:color="auto"/>
              <w:left w:val="single" w:sz="4" w:space="0" w:color="000000"/>
              <w:bottom w:val="single" w:sz="4" w:space="0" w:color="000000"/>
              <w:right w:val="single" w:sz="4" w:space="0" w:color="000000"/>
            </w:tcBorders>
            <w:shd w:val="clear" w:color="auto" w:fill="D3D3D3"/>
          </w:tcPr>
          <w:p>
            <w:pPr/>
          </w:p>
        </w:tc>
      </w:tr>
      <w:tr>
        <w:trPr>
          <w:trHeight w:val="361" w:hRule="exact"/>
        </w:trPr>
        <w:tc>
          <w:tcPr>
            <w:tcW w:w="2557" w:type="dxa"/>
            <w:tcBorders>
              <w:top w:val="single" w:sz="4" w:space="0" w:color="000000"/>
              <w:left w:val="single" w:sz="4" w:space="0" w:color="000000"/>
              <w:bottom w:val="nil" w:sz="6" w:space="0" w:color="auto"/>
              <w:right w:val="single" w:sz="4" w:space="0" w:color="000000"/>
            </w:tcBorders>
            <w:shd w:val="clear" w:color="auto" w:fill="D3D3D3"/>
          </w:tcPr>
          <w:p>
            <w:pPr>
              <w:pStyle w:val="TableParagraph"/>
              <w:spacing w:line="240" w:lineRule="auto" w:before="50"/>
              <w:ind w:right="102"/>
              <w:jc w:val="right"/>
              <w:rPr>
                <w:rFonts w:ascii="宋体" w:hAnsi="宋体" w:cs="宋体" w:eastAsia="宋体" w:hint="default"/>
                <w:sz w:val="18"/>
                <w:szCs w:val="18"/>
              </w:rPr>
            </w:pPr>
            <w:r>
              <w:rPr>
                <w:rFonts w:ascii="宋体" w:hAnsi="宋体" w:cs="宋体" w:eastAsia="宋体" w:hint="default"/>
                <w:sz w:val="18"/>
                <w:szCs w:val="18"/>
              </w:rPr>
              <w:t>二、将重分类进损益的其他综</w:t>
            </w:r>
          </w:p>
        </w:tc>
        <w:tc>
          <w:tcPr>
            <w:tcW w:w="97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1,358,868</w:t>
            </w:r>
          </w:p>
        </w:tc>
        <w:tc>
          <w:tcPr>
            <w:tcW w:w="85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109,733.</w:t>
            </w:r>
          </w:p>
        </w:tc>
        <w:tc>
          <w:tcPr>
            <w:tcW w:w="1050" w:type="dxa"/>
            <w:vMerge w:val="restart"/>
            <w:tcBorders>
              <w:top w:val="single" w:sz="4" w:space="0" w:color="000000"/>
              <w:left w:val="single" w:sz="4" w:space="0" w:color="000000"/>
              <w:right w:val="single" w:sz="4" w:space="0" w:color="000000"/>
            </w:tcBorders>
          </w:tcPr>
          <w:p>
            <w:pPr/>
          </w:p>
        </w:tc>
        <w:tc>
          <w:tcPr>
            <w:tcW w:w="852" w:type="dxa"/>
            <w:vMerge w:val="restart"/>
            <w:tcBorders>
              <w:top w:val="single" w:sz="4" w:space="0" w:color="000000"/>
              <w:left w:val="single" w:sz="4" w:space="0" w:color="000000"/>
              <w:right w:val="single" w:sz="4" w:space="0" w:color="000000"/>
            </w:tcBorders>
          </w:tcPr>
          <w:p>
            <w:pPr/>
          </w:p>
        </w:tc>
        <w:tc>
          <w:tcPr>
            <w:tcW w:w="852" w:type="dxa"/>
            <w:vMerge w:val="restart"/>
            <w:tcBorders>
              <w:top w:val="single" w:sz="4" w:space="0" w:color="000000"/>
              <w:left w:val="single" w:sz="4" w:space="0" w:color="000000"/>
              <w:right w:val="single" w:sz="4" w:space="0" w:color="000000"/>
            </w:tcBorders>
          </w:tcPr>
          <w:p>
            <w:pPr/>
          </w:p>
        </w:tc>
        <w:tc>
          <w:tcPr>
            <w:tcW w:w="85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109,733.</w:t>
            </w:r>
          </w:p>
        </w:tc>
        <w:tc>
          <w:tcPr>
            <w:tcW w:w="852" w:type="dxa"/>
            <w:vMerge w:val="restart"/>
            <w:tcBorders>
              <w:top w:val="single" w:sz="4" w:space="0" w:color="000000"/>
              <w:left w:val="single" w:sz="4" w:space="0" w:color="000000"/>
              <w:right w:val="single" w:sz="4" w:space="0" w:color="000000"/>
            </w:tcBorders>
          </w:tcPr>
          <w:p>
            <w:pPr/>
          </w:p>
        </w:tc>
        <w:tc>
          <w:tcPr>
            <w:tcW w:w="72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1"/>
              <w:ind w:left="163" w:right="0"/>
              <w:jc w:val="left"/>
              <w:rPr>
                <w:rFonts w:ascii="Times New Roman" w:hAnsi="Times New Roman" w:cs="Times New Roman" w:eastAsia="Times New Roman" w:hint="default"/>
                <w:sz w:val="18"/>
                <w:szCs w:val="18"/>
              </w:rPr>
            </w:pPr>
            <w:r>
              <w:rPr>
                <w:rFonts w:ascii="Times New Roman"/>
                <w:sz w:val="18"/>
              </w:rPr>
              <w:t>1,468,</w:t>
            </w:r>
          </w:p>
        </w:tc>
      </w:tr>
      <w:tr>
        <w:trPr>
          <w:trHeight w:val="353" w:hRule="exact"/>
        </w:trPr>
        <w:tc>
          <w:tcPr>
            <w:tcW w:w="2557" w:type="dxa"/>
            <w:tcBorders>
              <w:top w:val="nil" w:sz="6" w:space="0" w:color="auto"/>
              <w:left w:val="single" w:sz="4" w:space="0" w:color="000000"/>
              <w:bottom w:val="single" w:sz="4" w:space="0" w:color="000000"/>
              <w:right w:val="single" w:sz="4" w:space="0" w:color="000000"/>
            </w:tcBorders>
            <w:shd w:val="clear" w:color="auto" w:fill="D3D3D3"/>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合收益</w:t>
            </w:r>
          </w:p>
        </w:tc>
        <w:tc>
          <w:tcPr>
            <w:tcW w:w="97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z w:val="18"/>
              </w:rPr>
              <w:t>.21</w:t>
            </w:r>
          </w:p>
        </w:tc>
        <w:tc>
          <w:tcPr>
            <w:tcW w:w="85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z w:val="18"/>
              </w:rPr>
              <w:t>04</w:t>
            </w:r>
          </w:p>
        </w:tc>
        <w:tc>
          <w:tcPr>
            <w:tcW w:w="1050" w:type="dxa"/>
            <w:vMerge/>
            <w:tcBorders>
              <w:left w:val="single" w:sz="4" w:space="0" w:color="000000"/>
              <w:bottom w:val="single" w:sz="4" w:space="0" w:color="000000"/>
              <w:right w:val="single" w:sz="4" w:space="0" w:color="000000"/>
            </w:tcBorders>
          </w:tcPr>
          <w:p>
            <w:pPr/>
          </w:p>
        </w:tc>
        <w:tc>
          <w:tcPr>
            <w:tcW w:w="852" w:type="dxa"/>
            <w:vMerge/>
            <w:tcBorders>
              <w:left w:val="single" w:sz="4" w:space="0" w:color="000000"/>
              <w:bottom w:val="single" w:sz="4" w:space="0" w:color="000000"/>
              <w:right w:val="single" w:sz="4" w:space="0" w:color="000000"/>
            </w:tcBorders>
          </w:tcPr>
          <w:p>
            <w:pPr/>
          </w:p>
        </w:tc>
        <w:tc>
          <w:tcPr>
            <w:tcW w:w="852" w:type="dxa"/>
            <w:vMerge/>
            <w:tcBorders>
              <w:left w:val="single" w:sz="4" w:space="0" w:color="000000"/>
              <w:bottom w:val="single" w:sz="4" w:space="0" w:color="000000"/>
              <w:right w:val="single" w:sz="4" w:space="0" w:color="000000"/>
            </w:tcBorders>
          </w:tcPr>
          <w:p>
            <w:pPr/>
          </w:p>
        </w:tc>
        <w:tc>
          <w:tcPr>
            <w:tcW w:w="85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z w:val="18"/>
              </w:rPr>
              <w:t>04</w:t>
            </w:r>
          </w:p>
        </w:tc>
        <w:tc>
          <w:tcPr>
            <w:tcW w:w="852" w:type="dxa"/>
            <w:vMerge/>
            <w:tcBorders>
              <w:left w:val="single" w:sz="4" w:space="0" w:color="000000"/>
              <w:bottom w:val="single" w:sz="4" w:space="0" w:color="000000"/>
              <w:right w:val="single" w:sz="4" w:space="0" w:color="000000"/>
            </w:tcBorders>
          </w:tcPr>
          <w:p>
            <w:pPr/>
          </w:p>
        </w:tc>
        <w:tc>
          <w:tcPr>
            <w:tcW w:w="72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7"/>
              <w:ind w:left="118" w:right="0"/>
              <w:jc w:val="left"/>
              <w:rPr>
                <w:rFonts w:ascii="Times New Roman" w:hAnsi="Times New Roman" w:cs="Times New Roman" w:eastAsia="Times New Roman" w:hint="default"/>
                <w:sz w:val="18"/>
                <w:szCs w:val="18"/>
              </w:rPr>
            </w:pPr>
            <w:r>
              <w:rPr>
                <w:rFonts w:ascii="Times New Roman"/>
                <w:sz w:val="18"/>
              </w:rPr>
              <w:t>601.25</w:t>
            </w:r>
          </w:p>
        </w:tc>
      </w:tr>
      <w:tr>
        <w:trPr>
          <w:trHeight w:val="714" w:hRule="exact"/>
        </w:trPr>
        <w:tc>
          <w:tcPr>
            <w:tcW w:w="255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2"/>
              <w:jc w:val="right"/>
              <w:rPr>
                <w:rFonts w:ascii="宋体" w:hAnsi="宋体" w:cs="宋体" w:eastAsia="宋体" w:hint="default"/>
                <w:sz w:val="18"/>
                <w:szCs w:val="18"/>
              </w:rPr>
            </w:pPr>
            <w:r>
              <w:rPr>
                <w:rFonts w:ascii="宋体" w:hAnsi="宋体" w:cs="宋体" w:eastAsia="宋体" w:hint="default"/>
                <w:sz w:val="18"/>
                <w:szCs w:val="18"/>
              </w:rPr>
              <w:t>外币财务报表折算差额</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0" w:right="0"/>
              <w:jc w:val="left"/>
              <w:rPr>
                <w:rFonts w:ascii="Times New Roman" w:hAnsi="Times New Roman" w:cs="Times New Roman" w:eastAsia="Times New Roman" w:hint="default"/>
                <w:sz w:val="18"/>
                <w:szCs w:val="18"/>
              </w:rPr>
            </w:pPr>
            <w:r>
              <w:rPr>
                <w:rFonts w:ascii="Times New Roman"/>
                <w:sz w:val="18"/>
              </w:rPr>
              <w:t>1,358,868</w:t>
            </w:r>
          </w:p>
          <w:p>
            <w:pPr>
              <w:pStyle w:val="TableParagraph"/>
              <w:spacing w:line="240" w:lineRule="auto" w:before="105"/>
              <w:ind w:left="635" w:right="0"/>
              <w:jc w:val="left"/>
              <w:rPr>
                <w:rFonts w:ascii="Times New Roman" w:hAnsi="Times New Roman" w:cs="Times New Roman" w:eastAsia="Times New Roman" w:hint="default"/>
                <w:sz w:val="18"/>
                <w:szCs w:val="18"/>
              </w:rPr>
            </w:pPr>
            <w:r>
              <w:rPr>
                <w:rFonts w:ascii="Times New Roman"/>
                <w:sz w:val="18"/>
              </w:rPr>
              <w:t>.21</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8" w:right="0"/>
              <w:jc w:val="left"/>
              <w:rPr>
                <w:rFonts w:ascii="Times New Roman" w:hAnsi="Times New Roman" w:cs="Times New Roman" w:eastAsia="Times New Roman" w:hint="default"/>
                <w:sz w:val="18"/>
                <w:szCs w:val="18"/>
              </w:rPr>
            </w:pPr>
            <w:r>
              <w:rPr>
                <w:rFonts w:ascii="Times New Roman"/>
                <w:sz w:val="18"/>
              </w:rPr>
              <w:t>109,733.</w:t>
            </w:r>
          </w:p>
          <w:p>
            <w:pPr>
              <w:pStyle w:val="TableParagraph"/>
              <w:spacing w:line="240" w:lineRule="auto" w:before="105"/>
              <w:ind w:left="558" w:right="0"/>
              <w:jc w:val="left"/>
              <w:rPr>
                <w:rFonts w:ascii="Times New Roman" w:hAnsi="Times New Roman" w:cs="Times New Roman" w:eastAsia="Times New Roman" w:hint="default"/>
                <w:sz w:val="18"/>
                <w:szCs w:val="18"/>
              </w:rPr>
            </w:pPr>
            <w:r>
              <w:rPr>
                <w:rFonts w:ascii="Times New Roman"/>
                <w:sz w:val="18"/>
              </w:rPr>
              <w:t>04</w:t>
            </w:r>
          </w:p>
        </w:tc>
        <w:tc>
          <w:tcPr>
            <w:tcW w:w="10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9" w:right="0"/>
              <w:jc w:val="left"/>
              <w:rPr>
                <w:rFonts w:ascii="Times New Roman" w:hAnsi="Times New Roman" w:cs="Times New Roman" w:eastAsia="Times New Roman" w:hint="default"/>
                <w:sz w:val="18"/>
                <w:szCs w:val="18"/>
              </w:rPr>
            </w:pPr>
            <w:r>
              <w:rPr>
                <w:rFonts w:ascii="Times New Roman"/>
                <w:sz w:val="18"/>
              </w:rPr>
              <w:t>109,733.</w:t>
            </w:r>
          </w:p>
          <w:p>
            <w:pPr>
              <w:pStyle w:val="TableParagraph"/>
              <w:spacing w:line="240" w:lineRule="auto" w:before="105"/>
              <w:ind w:left="559" w:right="0"/>
              <w:jc w:val="left"/>
              <w:rPr>
                <w:rFonts w:ascii="Times New Roman" w:hAnsi="Times New Roman" w:cs="Times New Roman" w:eastAsia="Times New Roman" w:hint="default"/>
                <w:sz w:val="18"/>
                <w:szCs w:val="18"/>
              </w:rPr>
            </w:pPr>
            <w:r>
              <w:rPr>
                <w:rFonts w:ascii="Times New Roman"/>
                <w:sz w:val="18"/>
              </w:rPr>
              <w:t>04</w:t>
            </w:r>
          </w:p>
        </w:tc>
        <w:tc>
          <w:tcPr>
            <w:tcW w:w="852"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63" w:right="0"/>
              <w:jc w:val="left"/>
              <w:rPr>
                <w:rFonts w:ascii="Times New Roman" w:hAnsi="Times New Roman" w:cs="Times New Roman" w:eastAsia="Times New Roman" w:hint="default"/>
                <w:sz w:val="18"/>
                <w:szCs w:val="18"/>
              </w:rPr>
            </w:pPr>
            <w:r>
              <w:rPr>
                <w:rFonts w:ascii="Times New Roman"/>
                <w:sz w:val="18"/>
              </w:rPr>
              <w:t>1,468,</w:t>
            </w:r>
          </w:p>
          <w:p>
            <w:pPr>
              <w:pStyle w:val="TableParagraph"/>
              <w:spacing w:line="240" w:lineRule="auto" w:before="105"/>
              <w:ind w:left="118" w:right="0"/>
              <w:jc w:val="left"/>
              <w:rPr>
                <w:rFonts w:ascii="Times New Roman" w:hAnsi="Times New Roman" w:cs="Times New Roman" w:eastAsia="Times New Roman" w:hint="default"/>
                <w:sz w:val="18"/>
                <w:szCs w:val="18"/>
              </w:rPr>
            </w:pPr>
            <w:r>
              <w:rPr>
                <w:rFonts w:ascii="Times New Roman"/>
                <w:sz w:val="18"/>
              </w:rPr>
              <w:t>601.25</w:t>
            </w:r>
          </w:p>
        </w:tc>
      </w:tr>
      <w:tr>
        <w:trPr>
          <w:trHeight w:val="714" w:hRule="exact"/>
        </w:trPr>
        <w:tc>
          <w:tcPr>
            <w:tcW w:w="255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其他综合收益合计</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0" w:right="0"/>
              <w:jc w:val="left"/>
              <w:rPr>
                <w:rFonts w:ascii="Times New Roman" w:hAnsi="Times New Roman" w:cs="Times New Roman" w:eastAsia="Times New Roman" w:hint="default"/>
                <w:sz w:val="18"/>
                <w:szCs w:val="18"/>
              </w:rPr>
            </w:pPr>
            <w:r>
              <w:rPr>
                <w:rFonts w:ascii="Times New Roman"/>
                <w:sz w:val="18"/>
              </w:rPr>
              <w:t>1,358,868</w:t>
            </w:r>
          </w:p>
          <w:p>
            <w:pPr>
              <w:pStyle w:val="TableParagraph"/>
              <w:spacing w:line="240" w:lineRule="auto" w:before="105"/>
              <w:ind w:left="635" w:right="0"/>
              <w:jc w:val="left"/>
              <w:rPr>
                <w:rFonts w:ascii="Times New Roman" w:hAnsi="Times New Roman" w:cs="Times New Roman" w:eastAsia="Times New Roman" w:hint="default"/>
                <w:sz w:val="18"/>
                <w:szCs w:val="18"/>
              </w:rPr>
            </w:pPr>
            <w:r>
              <w:rPr>
                <w:rFonts w:ascii="Times New Roman"/>
                <w:sz w:val="18"/>
              </w:rPr>
              <w:t>.21</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8" w:right="0"/>
              <w:jc w:val="left"/>
              <w:rPr>
                <w:rFonts w:ascii="Times New Roman" w:hAnsi="Times New Roman" w:cs="Times New Roman" w:eastAsia="Times New Roman" w:hint="default"/>
                <w:sz w:val="18"/>
                <w:szCs w:val="18"/>
              </w:rPr>
            </w:pPr>
            <w:r>
              <w:rPr>
                <w:rFonts w:ascii="Times New Roman"/>
                <w:sz w:val="18"/>
              </w:rPr>
              <w:t>109,733.</w:t>
            </w:r>
          </w:p>
          <w:p>
            <w:pPr>
              <w:pStyle w:val="TableParagraph"/>
              <w:spacing w:line="240" w:lineRule="auto" w:before="105"/>
              <w:ind w:left="558" w:right="0"/>
              <w:jc w:val="left"/>
              <w:rPr>
                <w:rFonts w:ascii="Times New Roman" w:hAnsi="Times New Roman" w:cs="Times New Roman" w:eastAsia="Times New Roman" w:hint="default"/>
                <w:sz w:val="18"/>
                <w:szCs w:val="18"/>
              </w:rPr>
            </w:pPr>
            <w:r>
              <w:rPr>
                <w:rFonts w:ascii="Times New Roman"/>
                <w:sz w:val="18"/>
              </w:rPr>
              <w:t>04</w:t>
            </w:r>
          </w:p>
        </w:tc>
        <w:tc>
          <w:tcPr>
            <w:tcW w:w="10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9" w:right="0"/>
              <w:jc w:val="left"/>
              <w:rPr>
                <w:rFonts w:ascii="Times New Roman" w:hAnsi="Times New Roman" w:cs="Times New Roman" w:eastAsia="Times New Roman" w:hint="default"/>
                <w:sz w:val="18"/>
                <w:szCs w:val="18"/>
              </w:rPr>
            </w:pPr>
            <w:r>
              <w:rPr>
                <w:rFonts w:ascii="Times New Roman"/>
                <w:sz w:val="18"/>
              </w:rPr>
              <w:t>109,733.</w:t>
            </w:r>
          </w:p>
          <w:p>
            <w:pPr>
              <w:pStyle w:val="TableParagraph"/>
              <w:spacing w:line="240" w:lineRule="auto" w:before="105"/>
              <w:ind w:left="559" w:right="0"/>
              <w:jc w:val="left"/>
              <w:rPr>
                <w:rFonts w:ascii="Times New Roman" w:hAnsi="Times New Roman" w:cs="Times New Roman" w:eastAsia="Times New Roman" w:hint="default"/>
                <w:sz w:val="18"/>
                <w:szCs w:val="18"/>
              </w:rPr>
            </w:pPr>
            <w:r>
              <w:rPr>
                <w:rFonts w:ascii="Times New Roman"/>
                <w:sz w:val="18"/>
              </w:rPr>
              <w:t>04</w:t>
            </w:r>
          </w:p>
        </w:tc>
        <w:tc>
          <w:tcPr>
            <w:tcW w:w="852"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63" w:right="0"/>
              <w:jc w:val="left"/>
              <w:rPr>
                <w:rFonts w:ascii="Times New Roman" w:hAnsi="Times New Roman" w:cs="Times New Roman" w:eastAsia="Times New Roman" w:hint="default"/>
                <w:sz w:val="18"/>
                <w:szCs w:val="18"/>
              </w:rPr>
            </w:pPr>
            <w:r>
              <w:rPr>
                <w:rFonts w:ascii="Times New Roman"/>
                <w:sz w:val="18"/>
              </w:rPr>
              <w:t>1,468,</w:t>
            </w:r>
          </w:p>
          <w:p>
            <w:pPr>
              <w:pStyle w:val="TableParagraph"/>
              <w:spacing w:line="240" w:lineRule="auto" w:before="105"/>
              <w:ind w:left="118" w:right="0"/>
              <w:jc w:val="left"/>
              <w:rPr>
                <w:rFonts w:ascii="Times New Roman" w:hAnsi="Times New Roman" w:cs="Times New Roman" w:eastAsia="Times New Roman" w:hint="default"/>
                <w:sz w:val="18"/>
                <w:szCs w:val="18"/>
              </w:rPr>
            </w:pPr>
            <w:r>
              <w:rPr>
                <w:rFonts w:ascii="Times New Roman"/>
                <w:sz w:val="18"/>
              </w:rPr>
              <w:t>601.25</w:t>
            </w:r>
          </w:p>
        </w:tc>
      </w:tr>
    </w:tbl>
    <w:p>
      <w:pPr>
        <w:pStyle w:val="BodyText"/>
        <w:spacing w:line="240" w:lineRule="auto" w:before="50"/>
        <w:ind w:right="0"/>
        <w:jc w:val="left"/>
      </w:pPr>
      <w:r>
        <w:rPr/>
        <w:t>其他说明，包括对现金流量套期损益的有效部分转为被套期项目初始确认金额调整：</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58</w:t>
      </w:r>
      <w:r>
        <w:rPr/>
        <w:t>、专项储备</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1"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59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bl>
    <w:p>
      <w:pPr>
        <w:pStyle w:val="BodyText"/>
        <w:spacing w:line="240" w:lineRule="auto" w:before="49"/>
        <w:ind w:right="0"/>
        <w:jc w:val="left"/>
      </w:pPr>
      <w:r>
        <w:rPr/>
        <w:t>其他说明，包括本期增减变动情况、变动原因说明：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59</w:t>
      </w:r>
      <w:r>
        <w:rPr/>
        <w:t>、盈余公积</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1"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59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3"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法定盈余公积</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207,521,352.12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9,735,105.83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10,245,148.05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207,011,309.90</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207,521,352.12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9,735,105.83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10,245,148.05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207,011,309.90</w:t>
            </w:r>
          </w:p>
        </w:tc>
      </w:tr>
    </w:tbl>
    <w:p>
      <w:pPr>
        <w:pStyle w:val="BodyText"/>
        <w:spacing w:line="240" w:lineRule="auto" w:before="49"/>
        <w:ind w:right="0"/>
        <w:jc w:val="left"/>
      </w:pPr>
      <w:r>
        <w:rPr/>
        <w:t>盈余公积说明，包括本期增减变动情况、变动原因说明：</w:t>
      </w:r>
    </w:p>
    <w:p>
      <w:pPr>
        <w:spacing w:after="0" w:line="240" w:lineRule="auto"/>
        <w:jc w:val="left"/>
        <w:sectPr>
          <w:pgSz w:w="11910" w:h="16840"/>
          <w:pgMar w:header="906" w:footer="1018" w:top="1100" w:bottom="1200" w:left="1020" w:right="0"/>
        </w:sectPr>
      </w:pPr>
    </w:p>
    <w:p>
      <w:pPr>
        <w:spacing w:line="240" w:lineRule="auto" w:before="11"/>
        <w:rPr>
          <w:rFonts w:ascii="宋体" w:hAnsi="宋体" w:cs="宋体" w:eastAsia="宋体" w:hint="default"/>
          <w:sz w:val="22"/>
          <w:szCs w:val="22"/>
        </w:rPr>
      </w:pPr>
    </w:p>
    <w:p>
      <w:pPr>
        <w:pStyle w:val="BodyText"/>
        <w:spacing w:line="240" w:lineRule="auto" w:before="44"/>
        <w:ind w:right="0"/>
        <w:jc w:val="left"/>
      </w:pPr>
      <w:r>
        <w:rPr/>
        <w:t>注：详见附注七</w:t>
      </w:r>
      <w:r>
        <w:rPr>
          <w:rFonts w:ascii="Times New Roman" w:hAnsi="Times New Roman" w:cs="Times New Roman" w:eastAsia="Times New Roman" w:hint="default"/>
        </w:rPr>
        <w:t>-56</w:t>
      </w:r>
      <w:r>
        <w:rPr/>
        <w:t>。</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6"/>
          <w:szCs w:val="16"/>
        </w:rPr>
      </w:pPr>
    </w:p>
    <w:p>
      <w:pPr>
        <w:pStyle w:val="Heading3"/>
        <w:spacing w:line="240" w:lineRule="auto"/>
        <w:ind w:right="0"/>
        <w:jc w:val="left"/>
        <w:rPr>
          <w:b w:val="0"/>
          <w:bCs w:val="0"/>
        </w:rPr>
      </w:pPr>
      <w:r>
        <w:rPr>
          <w:rFonts w:ascii="Times New Roman" w:hAnsi="Times New Roman" w:cs="Times New Roman" w:eastAsia="Times New Roman" w:hint="default"/>
        </w:rPr>
        <w:t>60</w:t>
      </w:r>
      <w:r>
        <w:rPr/>
        <w:t>、未分配利润</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725"/>
        <w:gridCol w:w="2924"/>
        <w:gridCol w:w="2918"/>
      </w:tblGrid>
      <w:tr>
        <w:trPr>
          <w:trHeight w:val="402" w:hRule="exact"/>
        </w:trPr>
        <w:tc>
          <w:tcPr>
            <w:tcW w:w="372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92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本期</w:t>
            </w:r>
          </w:p>
        </w:tc>
        <w:tc>
          <w:tcPr>
            <w:tcW w:w="291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402" w:hRule="exact"/>
        </w:trPr>
        <w:tc>
          <w:tcPr>
            <w:tcW w:w="372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调整前上期末未分配利润</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944,612,685.27</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813,851,753.24</w:t>
            </w:r>
          </w:p>
        </w:tc>
      </w:tr>
      <w:tr>
        <w:trPr>
          <w:trHeight w:val="402" w:hRule="exact"/>
        </w:trPr>
        <w:tc>
          <w:tcPr>
            <w:tcW w:w="372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调整期初未分配利润合计数（调增</w:t>
            </w:r>
            <w:r>
              <w:rPr>
                <w:rFonts w:ascii="Times New Roman" w:hAnsi="Times New Roman" w:cs="Times New Roman" w:eastAsia="Times New Roman" w:hint="default"/>
                <w:sz w:val="18"/>
                <w:szCs w:val="18"/>
              </w:rPr>
              <w:t>+</w:t>
            </w:r>
            <w:r>
              <w:rPr>
                <w:rFonts w:ascii="宋体" w:hAnsi="宋体" w:cs="宋体" w:eastAsia="宋体" w:hint="default"/>
                <w:sz w:val="18"/>
                <w:szCs w:val="18"/>
              </w:rPr>
              <w:t>，调减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408,578.92</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72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调整后期初未分配利润</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945,021,264.19</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813,851,753.24</w:t>
            </w:r>
          </w:p>
        </w:tc>
      </w:tr>
      <w:tr>
        <w:trPr>
          <w:trHeight w:val="402" w:hRule="exact"/>
        </w:trPr>
        <w:tc>
          <w:tcPr>
            <w:tcW w:w="372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加：本期归属于母公司所有者的净利润</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86,769,193.40</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145,493,021.11</w:t>
            </w:r>
          </w:p>
        </w:tc>
      </w:tr>
      <w:tr>
        <w:trPr>
          <w:trHeight w:val="402" w:hRule="exact"/>
        </w:trPr>
        <w:tc>
          <w:tcPr>
            <w:tcW w:w="372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减：提取法定盈余公积</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9,735,105.83</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14,732,089.08</w:t>
            </w:r>
          </w:p>
        </w:tc>
      </w:tr>
      <w:tr>
        <w:trPr>
          <w:trHeight w:val="402" w:hRule="exact"/>
        </w:trPr>
        <w:tc>
          <w:tcPr>
            <w:tcW w:w="372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期末未分配利润</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1,022,055,351.76</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944,612,685.27</w:t>
            </w:r>
          </w:p>
        </w:tc>
      </w:tr>
    </w:tbl>
    <w:p>
      <w:pPr>
        <w:pStyle w:val="BodyText"/>
        <w:spacing w:line="240" w:lineRule="auto" w:before="50"/>
        <w:ind w:right="0"/>
        <w:jc w:val="left"/>
      </w:pPr>
      <w:r>
        <w:rPr/>
        <w:t>调整期初未分配利润明细：</w:t>
      </w:r>
    </w:p>
    <w:p>
      <w:pPr>
        <w:pStyle w:val="BodyText"/>
        <w:spacing w:line="240" w:lineRule="auto" w:before="116"/>
        <w:ind w:right="0"/>
        <w:jc w:val="left"/>
      </w:pPr>
      <w:r>
        <w:rPr>
          <w:rFonts w:ascii="Times New Roman" w:hAnsi="Times New Roman" w:cs="Times New Roman" w:eastAsia="Times New Roman" w:hint="default"/>
        </w:rPr>
        <w:t>1)</w:t>
      </w:r>
      <w:r>
        <w:rPr/>
        <w:t>、由于《企业会计准则》及其相关新规定进行追溯调整，影响期初未分配利润</w:t>
      </w:r>
      <w:r>
        <w:rPr>
          <w:spacing w:val="-46"/>
        </w:rPr>
        <w:t> </w:t>
      </w:r>
      <w:r>
        <w:rPr>
          <w:rFonts w:ascii="Times New Roman" w:hAnsi="Times New Roman" w:cs="Times New Roman" w:eastAsia="Times New Roman" w:hint="default"/>
        </w:rPr>
        <w:t>0.00</w:t>
      </w:r>
      <w:r>
        <w:rPr>
          <w:rFonts w:ascii="Times New Roman" w:hAnsi="Times New Roman" w:cs="Times New Roman" w:eastAsia="Times New Roman" w:hint="default"/>
          <w:spacing w:val="-2"/>
        </w:rPr>
        <w:t> </w:t>
      </w:r>
      <w:r>
        <w:rPr/>
        <w:t>元。</w:t>
      </w:r>
    </w:p>
    <w:p>
      <w:pPr>
        <w:pStyle w:val="BodyText"/>
        <w:spacing w:line="240" w:lineRule="auto" w:before="102"/>
        <w:ind w:right="0"/>
        <w:jc w:val="left"/>
      </w:pPr>
      <w:r>
        <w:rPr>
          <w:rFonts w:ascii="Times New Roman" w:hAnsi="Times New Roman" w:cs="Times New Roman" w:eastAsia="Times New Roman" w:hint="default"/>
        </w:rPr>
        <w:t>2)</w:t>
      </w:r>
      <w:r>
        <w:rPr/>
        <w:t>、由于会计政策变更，影响期初未分配利润</w:t>
      </w:r>
      <w:r>
        <w:rPr>
          <w:spacing w:val="-46"/>
        </w:rPr>
        <w:t> </w:t>
      </w:r>
      <w:r>
        <w:rPr>
          <w:rFonts w:ascii="Times New Roman" w:hAnsi="Times New Roman" w:cs="Times New Roman" w:eastAsia="Times New Roman" w:hint="default"/>
        </w:rPr>
        <w:t>408,578.92</w:t>
      </w:r>
      <w:r>
        <w:rPr>
          <w:rFonts w:ascii="Times New Roman" w:hAnsi="Times New Roman" w:cs="Times New Roman" w:eastAsia="Times New Roman" w:hint="default"/>
          <w:spacing w:val="-2"/>
        </w:rPr>
        <w:t> </w:t>
      </w:r>
      <w:r>
        <w:rPr/>
        <w:t>元。</w:t>
      </w:r>
    </w:p>
    <w:p>
      <w:pPr>
        <w:pStyle w:val="BodyText"/>
        <w:spacing w:line="240" w:lineRule="auto" w:before="103"/>
        <w:ind w:right="0"/>
        <w:jc w:val="left"/>
      </w:pPr>
      <w:r>
        <w:rPr>
          <w:rFonts w:ascii="Times New Roman" w:hAnsi="Times New Roman" w:cs="Times New Roman" w:eastAsia="Times New Roman" w:hint="default"/>
        </w:rPr>
        <w:t>3)</w:t>
      </w:r>
      <w:r>
        <w:rPr/>
        <w:t>、由于重大会计差错更正，影响期初未分配利润</w:t>
      </w:r>
      <w:r>
        <w:rPr>
          <w:spacing w:val="-46"/>
        </w:rPr>
        <w:t> </w:t>
      </w:r>
      <w:r>
        <w:rPr>
          <w:rFonts w:ascii="Times New Roman" w:hAnsi="Times New Roman" w:cs="Times New Roman" w:eastAsia="Times New Roman" w:hint="default"/>
        </w:rPr>
        <w:t>0.00</w:t>
      </w:r>
      <w:r>
        <w:rPr>
          <w:rFonts w:ascii="Times New Roman" w:hAnsi="Times New Roman" w:cs="Times New Roman" w:eastAsia="Times New Roman" w:hint="default"/>
          <w:spacing w:val="-2"/>
        </w:rPr>
        <w:t> </w:t>
      </w:r>
      <w:r>
        <w:rPr/>
        <w:t>元。</w:t>
      </w:r>
    </w:p>
    <w:p>
      <w:pPr>
        <w:pStyle w:val="BodyText"/>
        <w:spacing w:line="240" w:lineRule="auto" w:before="103"/>
        <w:ind w:right="0"/>
        <w:jc w:val="left"/>
      </w:pPr>
      <w:r>
        <w:rPr>
          <w:rFonts w:ascii="Times New Roman" w:hAnsi="Times New Roman" w:cs="Times New Roman" w:eastAsia="Times New Roman" w:hint="default"/>
        </w:rPr>
        <w:t>4)</w:t>
      </w:r>
      <w:r>
        <w:rPr/>
        <w:t>、由于同一控制导致的合并范围变更，影响期初未分配利润</w:t>
      </w:r>
      <w:r>
        <w:rPr>
          <w:spacing w:val="-46"/>
        </w:rPr>
        <w:t> </w:t>
      </w:r>
      <w:r>
        <w:rPr>
          <w:rFonts w:ascii="Times New Roman" w:hAnsi="Times New Roman" w:cs="Times New Roman" w:eastAsia="Times New Roman" w:hint="default"/>
        </w:rPr>
        <w:t>0.00</w:t>
      </w:r>
      <w:r>
        <w:rPr>
          <w:rFonts w:ascii="Times New Roman" w:hAnsi="Times New Roman" w:cs="Times New Roman" w:eastAsia="Times New Roman" w:hint="default"/>
          <w:spacing w:val="-2"/>
        </w:rPr>
        <w:t> </w:t>
      </w:r>
      <w:r>
        <w:rPr/>
        <w:t>元。</w:t>
      </w:r>
    </w:p>
    <w:p>
      <w:pPr>
        <w:pStyle w:val="BodyText"/>
        <w:spacing w:line="240" w:lineRule="auto" w:before="102"/>
        <w:ind w:right="0"/>
        <w:jc w:val="left"/>
      </w:pPr>
      <w:r>
        <w:rPr>
          <w:rFonts w:ascii="Times New Roman" w:hAnsi="Times New Roman" w:cs="Times New Roman" w:eastAsia="Times New Roman" w:hint="default"/>
        </w:rPr>
        <w:t>5)</w:t>
      </w:r>
      <w:r>
        <w:rPr/>
        <w:t>、其他调整合计影响期初未分配利润</w:t>
      </w:r>
      <w:r>
        <w:rPr>
          <w:spacing w:val="-46"/>
        </w:rPr>
        <w:t> </w:t>
      </w:r>
      <w:r>
        <w:rPr>
          <w:rFonts w:ascii="Times New Roman" w:hAnsi="Times New Roman" w:cs="Times New Roman" w:eastAsia="Times New Roman" w:hint="default"/>
        </w:rPr>
        <w:t>0.00</w:t>
      </w:r>
      <w:r>
        <w:rPr>
          <w:rFonts w:ascii="Times New Roman" w:hAnsi="Times New Roman" w:cs="Times New Roman" w:eastAsia="Times New Roman" w:hint="default"/>
          <w:spacing w:val="-1"/>
        </w:rPr>
        <w:t> </w:t>
      </w:r>
      <w:r>
        <w:rPr/>
        <w:t>元。</w:t>
      </w:r>
    </w:p>
    <w:p>
      <w:pPr>
        <w:spacing w:line="240" w:lineRule="auto" w:before="12"/>
        <w:rPr>
          <w:rFonts w:ascii="宋体" w:hAnsi="宋体" w:cs="宋体" w:eastAsia="宋体" w:hint="default"/>
          <w:sz w:val="25"/>
          <w:szCs w:val="25"/>
        </w:rPr>
      </w:pPr>
    </w:p>
    <w:p>
      <w:pPr>
        <w:pStyle w:val="Heading3"/>
        <w:spacing w:line="240" w:lineRule="auto"/>
        <w:ind w:right="0"/>
        <w:jc w:val="left"/>
        <w:rPr>
          <w:b w:val="0"/>
          <w:bCs w:val="0"/>
        </w:rPr>
      </w:pPr>
      <w:r>
        <w:rPr>
          <w:rFonts w:ascii="Times New Roman" w:hAnsi="Times New Roman" w:cs="Times New Roman" w:eastAsia="Times New Roman" w:hint="default"/>
        </w:rPr>
        <w:t>61</w:t>
      </w:r>
      <w:r>
        <w:rPr/>
        <w:t>、营业收入和营业成本</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1" w:hRule="exact"/>
        </w:trPr>
        <w:tc>
          <w:tcPr>
            <w:tcW w:w="1912"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30"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1912" w:type="dxa"/>
            <w:vMerge/>
            <w:tcBorders>
              <w:left w:val="single" w:sz="4" w:space="0" w:color="000000"/>
              <w:bottom w:val="single" w:sz="4" w:space="0" w:color="000000"/>
              <w:right w:val="single" w:sz="4" w:space="0" w:color="000000"/>
            </w:tcBorders>
            <w:shd w:val="clear" w:color="auto" w:fill="D3D3D3"/>
          </w:tcPr>
          <w:p>
            <w:pPr/>
          </w:p>
        </w:tc>
        <w:tc>
          <w:tcPr>
            <w:tcW w:w="1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成本</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收入</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403"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1,531,803,412.29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1,166,348,910.10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1,679,404,714.06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1,337,150,181.25</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3,663,843.06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3,060,497.71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10,900,619.62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6,101,637.49</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1,535,467,255.35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1,169,409,407.81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1,690,305,333.68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1,343,251,818.74</w:t>
            </w:r>
          </w:p>
        </w:tc>
      </w:tr>
    </w:tbl>
    <w:p>
      <w:pPr>
        <w:pStyle w:val="BodyText"/>
        <w:spacing w:line="240" w:lineRule="auto" w:before="49"/>
        <w:ind w:right="0"/>
        <w:jc w:val="left"/>
      </w:pPr>
      <w:r>
        <w:rPr/>
        <w:t>是否已执行新收入准则</w:t>
      </w:r>
    </w:p>
    <w:p>
      <w:pPr>
        <w:pStyle w:val="BodyText"/>
        <w:spacing w:line="357" w:lineRule="auto" w:before="116"/>
        <w:ind w:right="9132"/>
        <w:jc w:val="left"/>
      </w:pPr>
      <w:r>
        <w:rPr/>
        <w:t>□ 是 √ 否 其他说明</w:t>
      </w:r>
    </w:p>
    <w:p>
      <w:pPr>
        <w:spacing w:line="240" w:lineRule="auto" w:before="3"/>
        <w:rPr>
          <w:rFonts w:ascii="宋体" w:hAnsi="宋体" w:cs="宋体" w:eastAsia="宋体" w:hint="default"/>
          <w:sz w:val="20"/>
          <w:szCs w:val="20"/>
        </w:rPr>
      </w:pPr>
    </w:p>
    <w:p>
      <w:pPr>
        <w:pStyle w:val="Heading3"/>
        <w:spacing w:line="240" w:lineRule="auto"/>
        <w:ind w:right="0"/>
        <w:jc w:val="left"/>
        <w:rPr>
          <w:b w:val="0"/>
          <w:bCs w:val="0"/>
        </w:rPr>
      </w:pPr>
      <w:r>
        <w:rPr>
          <w:rFonts w:ascii="Times New Roman" w:hAnsi="Times New Roman" w:cs="Times New Roman" w:eastAsia="Times New Roman" w:hint="default"/>
        </w:rPr>
        <w:t>62</w:t>
      </w:r>
      <w:r>
        <w:rPr/>
        <w:t>、税金及附加</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4,131,981.06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4,504,018.14</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2,950,889.51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3,217,155.82</w:t>
            </w:r>
          </w:p>
        </w:tc>
      </w:tr>
    </w:tbl>
    <w:p>
      <w:pPr>
        <w:spacing w:after="0" w:line="240" w:lineRule="auto"/>
        <w:jc w:val="right"/>
        <w:rPr>
          <w:rFonts w:ascii="Times New Roman" w:hAnsi="Times New Roman" w:cs="Times New Roman" w:eastAsia="Times New Roman" w:hint="default"/>
          <w:sz w:val="18"/>
          <w:szCs w:val="18"/>
        </w:rPr>
        <w:sectPr>
          <w:pgSz w:w="11910" w:h="16840"/>
          <w:pgMar w:header="906" w:footer="1018" w:top="1100" w:bottom="1200" w:left="1020" w:right="0"/>
        </w:sectPr>
      </w:pPr>
    </w:p>
    <w:p>
      <w:pPr>
        <w:spacing w:line="240" w:lineRule="auto" w:before="7"/>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房产税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620,796.05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2,215,374.56</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土地使用税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487,033.18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480,127.32</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印花税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396,741.80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503,112.20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37,112.02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16,233.49</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8,624,553.62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10,936,021.53</w:t>
            </w:r>
          </w:p>
        </w:tc>
      </w:tr>
    </w:tbl>
    <w:p>
      <w:pPr>
        <w:pStyle w:val="BodyText"/>
        <w:spacing w:line="240" w:lineRule="auto" w:before="50"/>
        <w:ind w:right="0"/>
        <w:jc w:val="left"/>
      </w:pPr>
      <w:r>
        <w:rPr/>
        <w:t>其他说明：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63</w:t>
      </w:r>
      <w:r>
        <w:rPr/>
        <w:t>、销售费用</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工资及社保福利费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44,384,780.25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30,520,668.39</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运输费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21,798,506.86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19,081,318.04</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5,683,961.70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3,038,668.28</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5,108,613.65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5,441,729.18</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广告宣传费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3,899,056.13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2,482,491.81</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租赁及物业费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1,516,332.67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999,680.61</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销售佣金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1,440,167.60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1,287,117.93</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第三方机构服务费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1,266,356.75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884,152.57</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售后维护费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1,030,000.00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865,484.27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519,724.70</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725,263.91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947,387.81</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折旧摊销费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417,829.96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442,055.99</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88,136,353.75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65,644,995.31</w:t>
            </w:r>
          </w:p>
        </w:tc>
      </w:tr>
    </w:tbl>
    <w:p>
      <w:pPr>
        <w:pStyle w:val="BodyText"/>
        <w:spacing w:line="240" w:lineRule="auto" w:before="50"/>
        <w:ind w:right="0"/>
        <w:jc w:val="left"/>
      </w:pPr>
      <w:r>
        <w:rPr/>
        <w:t>其他说明：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64</w:t>
      </w:r>
      <w:r>
        <w:rPr/>
        <w:t>、管理费用</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折旧及摊销费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26,161,652.06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26,367,531.92</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工资及社保福利费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21,190,215.25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21,436,906.62</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7,393,325.02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7,277,739.61</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第三方机构服务费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6,141,916.70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6,527,352.30</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租赁及物业费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4,451,515.53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4,316,058.56</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3,611,871.17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4,765,004.83</w:t>
            </w:r>
          </w:p>
        </w:tc>
      </w:tr>
    </w:tbl>
    <w:p>
      <w:pPr>
        <w:spacing w:after="0" w:line="240" w:lineRule="auto"/>
        <w:jc w:val="right"/>
        <w:rPr>
          <w:rFonts w:ascii="Times New Roman" w:hAnsi="Times New Roman" w:cs="Times New Roman" w:eastAsia="Times New Roman" w:hint="default"/>
          <w:sz w:val="18"/>
          <w:szCs w:val="18"/>
        </w:rPr>
        <w:sectPr>
          <w:pgSz w:w="11910" w:h="16840"/>
          <w:pgMar w:header="906" w:footer="1018" w:top="1100" w:bottom="1200" w:left="1020" w:right="0"/>
        </w:sectPr>
      </w:pPr>
    </w:p>
    <w:p>
      <w:pPr>
        <w:spacing w:line="240" w:lineRule="auto" w:before="7"/>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2,808,592.84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895,931.11</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557,927.72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584,080.58</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72,317,016.29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72,170,605.53</w:t>
            </w:r>
          </w:p>
        </w:tc>
      </w:tr>
    </w:tbl>
    <w:p>
      <w:pPr>
        <w:pStyle w:val="BodyText"/>
        <w:spacing w:line="240" w:lineRule="auto" w:before="50"/>
        <w:ind w:right="0"/>
        <w:jc w:val="left"/>
      </w:pPr>
      <w:r>
        <w:rPr/>
        <w:t>其他说明：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65</w:t>
      </w:r>
      <w:r>
        <w:rPr/>
        <w:t>、研发费用</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工资及社保福利费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96,734,945.25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85,062,318.41</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检测及服务费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10,154,472.19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15,693,272.84</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材料费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9,900,334.53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11,248,068.78</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4,965,000.65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4,903,263.94</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折旧及摊销费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4,870,095.68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4,100,003.78</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414,187.57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867,449.34</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127,039,035.87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121,874,377.09</w:t>
            </w:r>
          </w:p>
        </w:tc>
      </w:tr>
    </w:tbl>
    <w:p>
      <w:pPr>
        <w:pStyle w:val="BodyText"/>
        <w:spacing w:line="240" w:lineRule="auto" w:before="50"/>
        <w:ind w:right="0"/>
        <w:jc w:val="left"/>
      </w:pPr>
      <w:r>
        <w:rPr/>
        <w:t>其他说明：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66</w:t>
      </w:r>
      <w:r>
        <w:rPr/>
        <w:t>、财务费用</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97,138.75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3,990,684.06</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减：利息收入</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5,456,589.18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3,877,004.51</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汇兑损益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811,974.21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z w:val="18"/>
              </w:rPr>
              <w:t>-385,185.94</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427,959.16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537,006.99</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-4,119,517.06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265,500.60</w:t>
            </w:r>
          </w:p>
        </w:tc>
      </w:tr>
    </w:tbl>
    <w:p>
      <w:pPr>
        <w:pStyle w:val="BodyText"/>
        <w:spacing w:line="240" w:lineRule="auto" w:before="49"/>
        <w:ind w:right="0"/>
        <w:jc w:val="left"/>
      </w:pPr>
      <w:r>
        <w:rPr/>
        <w:t>其他说明：</w:t>
      </w:r>
    </w:p>
    <w:p>
      <w:pPr>
        <w:spacing w:line="240" w:lineRule="auto" w:before="13"/>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67</w:t>
      </w:r>
      <w:r>
        <w:rPr/>
        <w:t>、其他收益</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778" w:right="0"/>
              <w:jc w:val="left"/>
              <w:rPr>
                <w:rFonts w:ascii="宋体" w:hAnsi="宋体" w:cs="宋体" w:eastAsia="宋体" w:hint="default"/>
                <w:sz w:val="18"/>
                <w:szCs w:val="18"/>
              </w:rPr>
            </w:pPr>
            <w:r>
              <w:rPr>
                <w:rFonts w:ascii="宋体" w:hAnsi="宋体" w:cs="宋体" w:eastAsia="宋体" w:hint="default"/>
                <w:sz w:val="18"/>
                <w:szCs w:val="18"/>
              </w:rPr>
              <w:t>产生其他收益的来源</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增值税即征即退返还税款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13,995,166.87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19,448,945.52</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5,763,954.82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3,789,045.00</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个税返还</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129,828.10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245,642.34</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19,888,949.79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23,483,632.86</w:t>
            </w:r>
          </w:p>
        </w:tc>
      </w:tr>
    </w:tbl>
    <w:p>
      <w:pPr>
        <w:spacing w:after="0" w:line="240" w:lineRule="auto"/>
        <w:jc w:val="right"/>
        <w:rPr>
          <w:rFonts w:ascii="Times New Roman" w:hAnsi="Times New Roman" w:cs="Times New Roman" w:eastAsia="Times New Roman" w:hint="default"/>
          <w:sz w:val="18"/>
          <w:szCs w:val="18"/>
        </w:rPr>
        <w:sectPr>
          <w:pgSz w:w="11910" w:h="16840"/>
          <w:pgMar w:header="906" w:footer="1018" w:top="1100" w:bottom="1200" w:left="1020" w:right="0"/>
        </w:sectPr>
      </w:pPr>
    </w:p>
    <w:p>
      <w:pPr>
        <w:spacing w:line="240" w:lineRule="auto" w:before="9"/>
        <w:rPr>
          <w:rFonts w:ascii="宋体" w:hAnsi="宋体" w:cs="宋体" w:eastAsia="宋体" w:hint="default"/>
          <w:sz w:val="21"/>
          <w:szCs w:val="21"/>
        </w:rPr>
      </w:pPr>
    </w:p>
    <w:p>
      <w:pPr>
        <w:pStyle w:val="Heading3"/>
        <w:spacing w:line="240" w:lineRule="auto" w:before="35"/>
        <w:ind w:right="0"/>
        <w:jc w:val="left"/>
        <w:rPr>
          <w:b w:val="0"/>
          <w:bCs w:val="0"/>
        </w:rPr>
      </w:pPr>
      <w:r>
        <w:rPr>
          <w:rFonts w:ascii="Times New Roman" w:hAnsi="Times New Roman" w:cs="Times New Roman" w:eastAsia="Times New Roman" w:hint="default"/>
        </w:rPr>
        <w:t>68</w:t>
      </w:r>
      <w:r>
        <w:rPr/>
        <w:t>、投资收益</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460"/>
        <w:gridCol w:w="3190"/>
        <w:gridCol w:w="2918"/>
      </w:tblGrid>
      <w:tr>
        <w:trPr>
          <w:trHeight w:val="402" w:hRule="exact"/>
        </w:trPr>
        <w:tc>
          <w:tcPr>
            <w:tcW w:w="34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291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1,195,549.74</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6,835,311.84</w:t>
            </w:r>
          </w:p>
        </w:tc>
      </w:tr>
      <w:tr>
        <w:trPr>
          <w:trHeight w:val="714" w:hRule="exact"/>
        </w:trPr>
        <w:tc>
          <w:tcPr>
            <w:tcW w:w="34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49"/>
              <w:ind w:left="102" w:right="105"/>
              <w:jc w:val="left"/>
              <w:rPr>
                <w:rFonts w:ascii="宋体" w:hAnsi="宋体" w:cs="宋体" w:eastAsia="宋体" w:hint="default"/>
                <w:sz w:val="18"/>
                <w:szCs w:val="18"/>
              </w:rPr>
            </w:pPr>
            <w:r>
              <w:rPr>
                <w:rFonts w:ascii="宋体" w:hAnsi="宋体" w:cs="宋体" w:eastAsia="宋体" w:hint="default"/>
                <w:sz w:val="18"/>
                <w:szCs w:val="18"/>
              </w:rPr>
              <w:t>其他权益工具投资在持有期间取得的股利 收入</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4,337,592.21</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可供出售金融资产在持有期间的投资收益</w:t>
            </w:r>
          </w:p>
        </w:tc>
        <w:tc>
          <w:tcPr>
            <w:tcW w:w="3190" w:type="dxa"/>
            <w:tcBorders>
              <w:top w:val="single" w:sz="4" w:space="0" w:color="000000"/>
              <w:left w:val="single" w:sz="4" w:space="0" w:color="000000"/>
              <w:bottom w:val="single" w:sz="4" w:space="0" w:color="000000"/>
              <w:right w:val="single" w:sz="4" w:space="0" w:color="000000"/>
            </w:tcBorders>
          </w:tcPr>
          <w:p>
            <w:pP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17,179.89</w:t>
            </w: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委托他人投资或管理资产的投资收益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10,740,380.01</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6,218,101.06</w:t>
            </w: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16,273,521.96</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13,070,592.79</w:t>
            </w:r>
          </w:p>
        </w:tc>
      </w:tr>
    </w:tbl>
    <w:p>
      <w:pPr>
        <w:pStyle w:val="BodyText"/>
        <w:spacing w:line="240" w:lineRule="auto" w:before="49"/>
        <w:ind w:right="0"/>
        <w:jc w:val="left"/>
      </w:pPr>
      <w:r>
        <w:rPr/>
        <w:t>其他说明：</w:t>
      </w:r>
    </w:p>
    <w:p>
      <w:pPr>
        <w:spacing w:line="240" w:lineRule="auto" w:before="13"/>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69</w:t>
      </w:r>
      <w:r>
        <w:rPr/>
        <w:t>、净敞口套期收益</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pStyle w:val="BodyText"/>
        <w:spacing w:line="240" w:lineRule="auto" w:before="49"/>
        <w:ind w:right="0"/>
        <w:jc w:val="left"/>
      </w:pPr>
      <w:r>
        <w:rPr/>
        <w:t>其他说明：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70</w:t>
      </w:r>
      <w:r>
        <w:rPr/>
        <w:t>、公允价值变动收益</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17" w:right="0"/>
              <w:jc w:val="left"/>
              <w:rPr>
                <w:rFonts w:ascii="宋体" w:hAnsi="宋体" w:cs="宋体" w:eastAsia="宋体" w:hint="default"/>
                <w:sz w:val="18"/>
                <w:szCs w:val="18"/>
              </w:rPr>
            </w:pPr>
            <w:r>
              <w:rPr>
                <w:rFonts w:ascii="宋体" w:hAnsi="宋体" w:cs="宋体" w:eastAsia="宋体" w:hint="default"/>
                <w:sz w:val="18"/>
                <w:szCs w:val="18"/>
              </w:rPr>
              <w:t>产生公允价值变动收益的来源</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pStyle w:val="BodyText"/>
        <w:spacing w:line="240" w:lineRule="auto" w:before="49"/>
        <w:ind w:right="0"/>
        <w:jc w:val="left"/>
      </w:pPr>
      <w:r>
        <w:rPr/>
        <w:t>其他说明：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71</w:t>
      </w:r>
      <w:r>
        <w:rPr/>
        <w:t>、信用减值损失</w:t>
      </w:r>
      <w:r>
        <w:rPr>
          <w:b w:val="0"/>
          <w:bCs w:val="0"/>
        </w:rPr>
      </w:r>
    </w:p>
    <w:p>
      <w:pPr>
        <w:spacing w:line="240" w:lineRule="auto" w:before="2"/>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其他应收款坏账损失</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527,393.40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应收账款坏账准备</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-2,612,556.09</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-2,085,162.69</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0"/>
        <w:ind w:right="0"/>
        <w:jc w:val="left"/>
      </w:pPr>
      <w:r>
        <w:rPr/>
        <w:t>其他说明：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72</w:t>
      </w:r>
      <w:r>
        <w:rPr/>
        <w:t>、资产减值损失</w:t>
      </w:r>
      <w:r>
        <w:rPr>
          <w:b w:val="0"/>
          <w:bCs w:val="0"/>
        </w:rPr>
      </w:r>
    </w:p>
    <w:p>
      <w:pPr>
        <w:spacing w:line="240" w:lineRule="auto" w:before="1"/>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906" w:footer="1018" w:top="1100" w:bottom="1200" w:left="1020" w:right="0"/>
        </w:sectPr>
      </w:pPr>
    </w:p>
    <w:p>
      <w:pPr>
        <w:pStyle w:val="BodyText"/>
        <w:spacing w:line="240" w:lineRule="auto" w:before="44"/>
        <w:ind w:right="-20"/>
        <w:jc w:val="left"/>
      </w:pPr>
      <w:r>
        <w:rPr/>
        <w:t>是否已执行新收入准则</w:t>
      </w:r>
    </w:p>
    <w:p>
      <w:pPr>
        <w:pStyle w:val="BodyText"/>
        <w:spacing w:line="240" w:lineRule="auto" w:before="116"/>
        <w:ind w:right="-20"/>
        <w:jc w:val="left"/>
      </w:pPr>
      <w:r>
        <w:rPr/>
        <w:t>□ 是 √ 否</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pStyle w:val="BodyText"/>
        <w:spacing w:line="240" w:lineRule="auto"/>
        <w:ind w:right="0"/>
        <w:jc w:val="left"/>
      </w:pPr>
      <w:r>
        <w:rPr/>
        <w:t>单位：</w:t>
      </w:r>
      <w:r>
        <w:rPr>
          <w:spacing w:val="-1"/>
        </w:rPr>
        <w:t> </w:t>
      </w:r>
      <w:r>
        <w:rPr/>
        <w:t>元</w:t>
      </w:r>
    </w:p>
    <w:p>
      <w:pPr>
        <w:spacing w:after="0" w:line="240" w:lineRule="auto"/>
        <w:jc w:val="left"/>
        <w:sectPr>
          <w:type w:val="continuous"/>
          <w:pgSz w:w="11910" w:h="16840"/>
          <w:pgMar w:top="1100" w:bottom="1200" w:left="1020" w:right="0"/>
          <w:cols w:num="2" w:equalWidth="0">
            <w:col w:w="1914" w:space="6914"/>
            <w:col w:w="2062"/>
          </w:cols>
        </w:sectPr>
      </w:pP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after="0" w:line="240" w:lineRule="auto"/>
        <w:jc w:val="center"/>
        <w:rPr>
          <w:rFonts w:ascii="宋体" w:hAnsi="宋体" w:cs="宋体" w:eastAsia="宋体" w:hint="default"/>
          <w:sz w:val="18"/>
          <w:szCs w:val="18"/>
        </w:rPr>
        <w:sectPr>
          <w:type w:val="continuous"/>
          <w:pgSz w:w="11910" w:h="16840"/>
          <w:pgMar w:top="1100" w:bottom="1200" w:left="1020" w:right="0"/>
        </w:sectPr>
      </w:pPr>
    </w:p>
    <w:p>
      <w:pPr>
        <w:spacing w:line="240" w:lineRule="auto" w:before="7"/>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一、坏账损失</w:t>
            </w:r>
          </w:p>
        </w:tc>
        <w:tc>
          <w:tcPr>
            <w:tcW w:w="3193"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5,798,554.12</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二、存货跌价损失</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-3,387,416.54</w:t>
            </w:r>
            <w:r>
              <w:rPr>
                <w:rFonts w:ascii="Times New Roman"/>
                <w:sz w:val="18"/>
              </w:rPr>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-7,104,314.75</w:t>
            </w:r>
            <w:r>
              <w:rPr>
                <w:rFonts w:ascii="Times New Roman"/>
                <w:sz w:val="18"/>
              </w:rPr>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十三、商誉减值损失</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-13,201,996.92</w:t>
            </w:r>
            <w:r>
              <w:rPr>
                <w:rFonts w:ascii="Times New Roman"/>
                <w:sz w:val="18"/>
              </w:rPr>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-5,119,265.65</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-16,589,413.46</w:t>
            </w:r>
            <w:r>
              <w:rPr>
                <w:rFonts w:ascii="Times New Roman"/>
                <w:sz w:val="18"/>
              </w:rPr>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-6,425,026.28</w:t>
            </w:r>
            <w:r>
              <w:rPr>
                <w:rFonts w:ascii="Times New Roman"/>
                <w:sz w:val="18"/>
              </w:rPr>
            </w:r>
          </w:p>
        </w:tc>
      </w:tr>
    </w:tbl>
    <w:p>
      <w:pPr>
        <w:pStyle w:val="BodyText"/>
        <w:spacing w:line="240" w:lineRule="auto" w:before="50"/>
        <w:ind w:right="0"/>
        <w:jc w:val="left"/>
      </w:pPr>
      <w:r>
        <w:rPr/>
        <w:t>其他说明：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73</w:t>
      </w:r>
      <w:r>
        <w:rPr/>
        <w:t>、资产处置收益</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778" w:right="0"/>
              <w:jc w:val="left"/>
              <w:rPr>
                <w:rFonts w:ascii="宋体" w:hAnsi="宋体" w:cs="宋体" w:eastAsia="宋体" w:hint="default"/>
                <w:sz w:val="18"/>
                <w:szCs w:val="18"/>
              </w:rPr>
            </w:pPr>
            <w:r>
              <w:rPr>
                <w:rFonts w:ascii="宋体" w:hAnsi="宋体" w:cs="宋体" w:eastAsia="宋体" w:hint="default"/>
                <w:sz w:val="18"/>
                <w:szCs w:val="18"/>
              </w:rPr>
              <w:t>资产处置收益的来源</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房产处置收益</w:t>
            </w:r>
          </w:p>
        </w:tc>
        <w:tc>
          <w:tcPr>
            <w:tcW w:w="3190"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52,051,843.37</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其他资产处置收益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-577,486.26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162,910.64</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-577,486.26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52,214,754.01</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r>
        <w:rPr>
          <w:rFonts w:ascii="Times New Roman" w:hAnsi="Times New Roman" w:cs="Times New Roman" w:eastAsia="Times New Roman" w:hint="default"/>
        </w:rPr>
        <w:t>74</w:t>
      </w:r>
      <w:r>
        <w:rPr/>
        <w:t>、营业外收入</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89"/>
        <w:gridCol w:w="2395"/>
        <w:gridCol w:w="2392"/>
        <w:gridCol w:w="2392"/>
      </w:tblGrid>
      <w:tr>
        <w:trPr>
          <w:trHeight w:val="713" w:hRule="exact"/>
        </w:trPr>
        <w:tc>
          <w:tcPr>
            <w:tcW w:w="23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3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742"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741"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101" w:right="110" w:hanging="990"/>
              <w:jc w:val="left"/>
              <w:rPr>
                <w:rFonts w:ascii="宋体" w:hAnsi="宋体" w:cs="宋体" w:eastAsia="宋体" w:hint="default"/>
                <w:sz w:val="18"/>
                <w:szCs w:val="18"/>
              </w:rPr>
            </w:pPr>
            <w:r>
              <w:rPr>
                <w:rFonts w:ascii="宋体" w:hAnsi="宋体" w:cs="宋体" w:eastAsia="宋体" w:hint="default"/>
                <w:sz w:val="18"/>
                <w:szCs w:val="18"/>
              </w:rPr>
              <w:t>计入当期非经常性损益的金 额</w:t>
            </w:r>
          </w:p>
        </w:tc>
      </w:tr>
      <w:tr>
        <w:trPr>
          <w:trHeight w:val="403" w:hRule="exact"/>
        </w:trPr>
        <w:tc>
          <w:tcPr>
            <w:tcW w:w="23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302,551.95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300,682.52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302,551.95</w:t>
            </w:r>
          </w:p>
        </w:tc>
      </w:tr>
      <w:tr>
        <w:trPr>
          <w:trHeight w:val="402" w:hRule="exact"/>
        </w:trPr>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27,587.71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32,644.22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27,587.71</w:t>
            </w:r>
          </w:p>
        </w:tc>
      </w:tr>
      <w:tr>
        <w:trPr>
          <w:trHeight w:val="402" w:hRule="exact"/>
        </w:trPr>
        <w:tc>
          <w:tcPr>
            <w:tcW w:w="23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330,139.66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333,326.74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330,139.66</w:t>
            </w:r>
          </w:p>
        </w:tc>
      </w:tr>
    </w:tbl>
    <w:p>
      <w:pPr>
        <w:pStyle w:val="BodyText"/>
        <w:spacing w:line="240" w:lineRule="auto" w:before="49"/>
        <w:ind w:right="0"/>
        <w:jc w:val="left"/>
      </w:pPr>
      <w:r>
        <w:rPr/>
        <w:t>计入当期损益的政府补助：</w:t>
      </w:r>
    </w:p>
    <w:p>
      <w:pPr>
        <w:pStyle w:val="BodyText"/>
        <w:spacing w:line="240" w:lineRule="auto" w:before="116"/>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065"/>
        <w:gridCol w:w="1063"/>
        <w:gridCol w:w="1063"/>
        <w:gridCol w:w="1063"/>
        <w:gridCol w:w="1063"/>
        <w:gridCol w:w="1063"/>
        <w:gridCol w:w="1063"/>
        <w:gridCol w:w="1063"/>
        <w:gridCol w:w="1063"/>
      </w:tblGrid>
      <w:tr>
        <w:trPr>
          <w:trHeight w:val="1025" w:hRule="exact"/>
        </w:trPr>
        <w:tc>
          <w:tcPr>
            <w:tcW w:w="106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66" w:right="0"/>
              <w:jc w:val="left"/>
              <w:rPr>
                <w:rFonts w:ascii="宋体" w:hAnsi="宋体" w:cs="宋体" w:eastAsia="宋体" w:hint="default"/>
                <w:sz w:val="18"/>
                <w:szCs w:val="18"/>
              </w:rPr>
            </w:pPr>
            <w:r>
              <w:rPr>
                <w:rFonts w:ascii="宋体" w:hAnsi="宋体" w:cs="宋体" w:eastAsia="宋体" w:hint="default"/>
                <w:sz w:val="18"/>
                <w:szCs w:val="18"/>
              </w:rPr>
              <w:t>补助项目</w:t>
            </w:r>
          </w:p>
        </w:tc>
        <w:tc>
          <w:tcPr>
            <w:tcW w:w="10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65" w:right="0"/>
              <w:jc w:val="left"/>
              <w:rPr>
                <w:rFonts w:ascii="宋体" w:hAnsi="宋体" w:cs="宋体" w:eastAsia="宋体" w:hint="default"/>
                <w:sz w:val="18"/>
                <w:szCs w:val="18"/>
              </w:rPr>
            </w:pPr>
            <w:r>
              <w:rPr>
                <w:rFonts w:ascii="宋体" w:hAnsi="宋体" w:cs="宋体" w:eastAsia="宋体" w:hint="default"/>
                <w:sz w:val="18"/>
                <w:szCs w:val="18"/>
              </w:rPr>
              <w:t>发放主体</w:t>
            </w:r>
          </w:p>
        </w:tc>
        <w:tc>
          <w:tcPr>
            <w:tcW w:w="10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66" w:right="0"/>
              <w:jc w:val="left"/>
              <w:rPr>
                <w:rFonts w:ascii="宋体" w:hAnsi="宋体" w:cs="宋体" w:eastAsia="宋体" w:hint="default"/>
                <w:sz w:val="18"/>
                <w:szCs w:val="18"/>
              </w:rPr>
            </w:pPr>
            <w:r>
              <w:rPr>
                <w:rFonts w:ascii="宋体" w:hAnsi="宋体" w:cs="宋体" w:eastAsia="宋体" w:hint="default"/>
                <w:sz w:val="18"/>
                <w:szCs w:val="18"/>
              </w:rPr>
              <w:t>发放原因</w:t>
            </w:r>
          </w:p>
        </w:tc>
        <w:tc>
          <w:tcPr>
            <w:tcW w:w="10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66" w:right="0"/>
              <w:jc w:val="left"/>
              <w:rPr>
                <w:rFonts w:ascii="宋体" w:hAnsi="宋体" w:cs="宋体" w:eastAsia="宋体" w:hint="default"/>
                <w:sz w:val="18"/>
                <w:szCs w:val="18"/>
              </w:rPr>
            </w:pPr>
            <w:r>
              <w:rPr>
                <w:rFonts w:ascii="宋体" w:hAnsi="宋体" w:cs="宋体" w:eastAsia="宋体" w:hint="default"/>
                <w:sz w:val="18"/>
                <w:szCs w:val="18"/>
              </w:rPr>
              <w:t>性质类型</w:t>
            </w:r>
          </w:p>
        </w:tc>
        <w:tc>
          <w:tcPr>
            <w:tcW w:w="10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65" w:right="165"/>
              <w:jc w:val="center"/>
              <w:rPr>
                <w:rFonts w:ascii="宋体" w:hAnsi="宋体" w:cs="宋体" w:eastAsia="宋体" w:hint="default"/>
                <w:sz w:val="18"/>
                <w:szCs w:val="18"/>
              </w:rPr>
            </w:pPr>
            <w:r>
              <w:rPr>
                <w:rFonts w:ascii="宋体" w:hAnsi="宋体" w:cs="宋体" w:eastAsia="宋体" w:hint="default"/>
                <w:sz w:val="18"/>
                <w:szCs w:val="18"/>
              </w:rPr>
              <w:t>补贴是否 影响当年 盈亏</w:t>
            </w:r>
          </w:p>
        </w:tc>
        <w:tc>
          <w:tcPr>
            <w:tcW w:w="10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346" w:right="165" w:hanging="180"/>
              <w:jc w:val="left"/>
              <w:rPr>
                <w:rFonts w:ascii="宋体" w:hAnsi="宋体" w:cs="宋体" w:eastAsia="宋体" w:hint="default"/>
                <w:sz w:val="18"/>
                <w:szCs w:val="18"/>
              </w:rPr>
            </w:pPr>
            <w:r>
              <w:rPr>
                <w:rFonts w:ascii="宋体" w:hAnsi="宋体" w:cs="宋体" w:eastAsia="宋体" w:hint="default"/>
                <w:sz w:val="18"/>
                <w:szCs w:val="18"/>
              </w:rPr>
              <w:t>是否特殊 补贴</w:t>
            </w:r>
          </w:p>
        </w:tc>
        <w:tc>
          <w:tcPr>
            <w:tcW w:w="10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346" w:right="165" w:hanging="180"/>
              <w:jc w:val="left"/>
              <w:rPr>
                <w:rFonts w:ascii="宋体" w:hAnsi="宋体" w:cs="宋体" w:eastAsia="宋体" w:hint="default"/>
                <w:sz w:val="18"/>
                <w:szCs w:val="18"/>
              </w:rPr>
            </w:pPr>
            <w:r>
              <w:rPr>
                <w:rFonts w:ascii="宋体" w:hAnsi="宋体" w:cs="宋体" w:eastAsia="宋体" w:hint="default"/>
                <w:sz w:val="18"/>
                <w:szCs w:val="18"/>
              </w:rPr>
              <w:t>本期发生 金额</w:t>
            </w:r>
          </w:p>
        </w:tc>
        <w:tc>
          <w:tcPr>
            <w:tcW w:w="10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345" w:right="165" w:hanging="180"/>
              <w:jc w:val="left"/>
              <w:rPr>
                <w:rFonts w:ascii="宋体" w:hAnsi="宋体" w:cs="宋体" w:eastAsia="宋体" w:hint="default"/>
                <w:sz w:val="18"/>
                <w:szCs w:val="18"/>
              </w:rPr>
            </w:pPr>
            <w:r>
              <w:rPr>
                <w:rFonts w:ascii="宋体" w:hAnsi="宋体" w:cs="宋体" w:eastAsia="宋体" w:hint="default"/>
                <w:sz w:val="18"/>
                <w:szCs w:val="18"/>
              </w:rPr>
              <w:t>上期发生 金额</w:t>
            </w:r>
          </w:p>
        </w:tc>
        <w:tc>
          <w:tcPr>
            <w:tcW w:w="10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9" w:lineRule="auto" w:before="49"/>
              <w:ind w:left="140" w:right="140"/>
              <w:jc w:val="center"/>
              <w:rPr>
                <w:rFonts w:ascii="宋体" w:hAnsi="宋体" w:cs="宋体" w:eastAsia="宋体" w:hint="default"/>
                <w:sz w:val="18"/>
                <w:szCs w:val="18"/>
              </w:rPr>
            </w:pPr>
            <w:r>
              <w:rPr>
                <w:rFonts w:ascii="宋体" w:hAnsi="宋体" w:cs="宋体" w:eastAsia="宋体" w:hint="default"/>
                <w:sz w:val="18"/>
                <w:szCs w:val="18"/>
              </w:rPr>
              <w:t>与资产相 关</w:t>
            </w:r>
            <w:r>
              <w:rPr>
                <w:rFonts w:ascii="Times New Roman" w:hAnsi="Times New Roman" w:cs="Times New Roman" w:eastAsia="Times New Roman" w:hint="default"/>
                <w:sz w:val="18"/>
                <w:szCs w:val="18"/>
              </w:rPr>
              <w:t>/</w:t>
            </w:r>
            <w:r>
              <w:rPr>
                <w:rFonts w:ascii="宋体" w:hAnsi="宋体" w:cs="宋体" w:eastAsia="宋体" w:hint="default"/>
                <w:sz w:val="18"/>
                <w:szCs w:val="18"/>
              </w:rPr>
              <w:t>与收益 相关</w:t>
            </w:r>
          </w:p>
        </w:tc>
      </w:tr>
      <w:tr>
        <w:trPr>
          <w:trHeight w:val="356" w:hRule="exact"/>
        </w:trPr>
        <w:tc>
          <w:tcPr>
            <w:tcW w:w="1065"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因符合地</w:t>
            </w:r>
          </w:p>
        </w:tc>
        <w:tc>
          <w:tcPr>
            <w:tcW w:w="1063"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r>
      <w:tr>
        <w:trPr>
          <w:trHeight w:val="1560" w:hRule="exact"/>
        </w:trPr>
        <w:tc>
          <w:tcPr>
            <w:tcW w:w="1065"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02" w:right="230"/>
              <w:jc w:val="both"/>
              <w:rPr>
                <w:rFonts w:ascii="宋体" w:hAnsi="宋体" w:cs="宋体" w:eastAsia="宋体" w:hint="default"/>
                <w:sz w:val="18"/>
                <w:szCs w:val="18"/>
              </w:rPr>
            </w:pPr>
            <w:r>
              <w:rPr>
                <w:rFonts w:ascii="宋体" w:hAnsi="宋体" w:cs="宋体" w:eastAsia="宋体" w:hint="default"/>
                <w:sz w:val="18"/>
                <w:szCs w:val="18"/>
              </w:rPr>
              <w:t>促进总部 经济发展 的企业奖 励资金</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319" w:lineRule="auto"/>
              <w:ind w:left="102" w:right="228"/>
              <w:jc w:val="left"/>
              <w:rPr>
                <w:rFonts w:ascii="宋体" w:hAnsi="宋体" w:cs="宋体" w:eastAsia="宋体" w:hint="default"/>
                <w:sz w:val="18"/>
                <w:szCs w:val="18"/>
              </w:rPr>
            </w:pPr>
            <w:r>
              <w:rPr>
                <w:rFonts w:ascii="宋体" w:hAnsi="宋体" w:cs="宋体" w:eastAsia="宋体" w:hint="default"/>
                <w:sz w:val="18"/>
                <w:szCs w:val="18"/>
              </w:rPr>
              <w:t>丹阳市政 府</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3" w:right="228"/>
              <w:jc w:val="both"/>
              <w:rPr>
                <w:rFonts w:ascii="宋体" w:hAnsi="宋体" w:cs="宋体" w:eastAsia="宋体" w:hint="default"/>
                <w:sz w:val="18"/>
                <w:szCs w:val="18"/>
              </w:rPr>
            </w:pPr>
            <w:r>
              <w:rPr>
                <w:rFonts w:ascii="宋体" w:hAnsi="宋体" w:cs="宋体" w:eastAsia="宋体" w:hint="default"/>
                <w:sz w:val="18"/>
                <w:szCs w:val="18"/>
              </w:rPr>
              <w:t>方政府招 商引资等 地方性扶 持政策而 获得的补</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162,551.95</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172,182.52</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319" w:lineRule="auto"/>
              <w:ind w:left="103" w:right="228"/>
              <w:jc w:val="left"/>
              <w:rPr>
                <w:rFonts w:ascii="宋体" w:hAnsi="宋体" w:cs="宋体" w:eastAsia="宋体" w:hint="default"/>
                <w:sz w:val="18"/>
                <w:szCs w:val="18"/>
              </w:rPr>
            </w:pPr>
            <w:r>
              <w:rPr>
                <w:rFonts w:ascii="宋体" w:hAnsi="宋体" w:cs="宋体" w:eastAsia="宋体" w:hint="default"/>
                <w:sz w:val="18"/>
                <w:szCs w:val="18"/>
              </w:rPr>
              <w:t>与收益相 关</w:t>
            </w:r>
          </w:p>
        </w:tc>
      </w:tr>
      <w:tr>
        <w:trPr>
          <w:trHeight w:val="359" w:hRule="exact"/>
        </w:trPr>
        <w:tc>
          <w:tcPr>
            <w:tcW w:w="1065"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助</w:t>
            </w:r>
          </w:p>
        </w:tc>
        <w:tc>
          <w:tcPr>
            <w:tcW w:w="1063"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r>
      <w:tr>
        <w:trPr>
          <w:trHeight w:val="345" w:hRule="exact"/>
        </w:trPr>
        <w:tc>
          <w:tcPr>
            <w:tcW w:w="1065"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因符合地</w:t>
            </w:r>
          </w:p>
        </w:tc>
        <w:tc>
          <w:tcPr>
            <w:tcW w:w="1063"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r>
      <w:tr>
        <w:trPr>
          <w:trHeight w:val="946" w:hRule="exact"/>
        </w:trPr>
        <w:tc>
          <w:tcPr>
            <w:tcW w:w="1065" w:type="dxa"/>
            <w:tcBorders>
              <w:top w:val="nil" w:sz="6" w:space="0" w:color="auto"/>
              <w:left w:val="single" w:sz="4" w:space="0" w:color="000000"/>
              <w:bottom w:val="nil" w:sz="6" w:space="0" w:color="auto"/>
              <w:right w:val="single" w:sz="4" w:space="0" w:color="000000"/>
            </w:tcBorders>
          </w:tcPr>
          <w:p>
            <w:pPr>
              <w:pStyle w:val="TableParagraph"/>
              <w:spacing w:line="316" w:lineRule="auto"/>
              <w:ind w:left="102" w:right="230"/>
              <w:jc w:val="both"/>
              <w:rPr>
                <w:rFonts w:ascii="宋体" w:hAnsi="宋体" w:cs="宋体" w:eastAsia="宋体" w:hint="default"/>
                <w:sz w:val="18"/>
                <w:szCs w:val="18"/>
              </w:rPr>
            </w:pPr>
            <w:r>
              <w:rPr>
                <w:rFonts w:ascii="宋体" w:hAnsi="宋体" w:cs="宋体" w:eastAsia="宋体" w:hint="default"/>
                <w:sz w:val="18"/>
                <w:szCs w:val="18"/>
              </w:rPr>
              <w:t>中小企业 国际市场 开拓资金</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319" w:lineRule="auto" w:before="156"/>
              <w:ind w:left="102" w:right="228"/>
              <w:jc w:val="left"/>
              <w:rPr>
                <w:rFonts w:ascii="宋体" w:hAnsi="宋体" w:cs="宋体" w:eastAsia="宋体" w:hint="default"/>
                <w:sz w:val="18"/>
                <w:szCs w:val="18"/>
              </w:rPr>
            </w:pPr>
            <w:r>
              <w:rPr>
                <w:rFonts w:ascii="宋体" w:hAnsi="宋体" w:cs="宋体" w:eastAsia="宋体" w:hint="default"/>
                <w:sz w:val="18"/>
                <w:szCs w:val="18"/>
              </w:rPr>
              <w:t>丹阳市政 府</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23"/>
                <w:szCs w:val="2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316" w:lineRule="auto" w:before="20"/>
              <w:ind w:left="103" w:right="228"/>
              <w:jc w:val="both"/>
              <w:rPr>
                <w:rFonts w:ascii="宋体" w:hAnsi="宋体" w:cs="宋体" w:eastAsia="宋体" w:hint="default"/>
                <w:sz w:val="18"/>
                <w:szCs w:val="18"/>
              </w:rPr>
            </w:pPr>
            <w:r>
              <w:rPr>
                <w:rFonts w:ascii="宋体" w:hAnsi="宋体" w:cs="宋体" w:eastAsia="宋体" w:hint="default"/>
                <w:sz w:val="18"/>
                <w:szCs w:val="18"/>
              </w:rPr>
              <w:t>方政府招 商引资等 地方性扶</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23"/>
                <w:szCs w:val="23"/>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23"/>
                <w:szCs w:val="2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8"/>
              <w:ind w:right="101"/>
              <w:jc w:val="right"/>
              <w:rPr>
                <w:rFonts w:ascii="Times New Roman" w:hAnsi="Times New Roman" w:cs="Times New Roman" w:eastAsia="Times New Roman" w:hint="default"/>
                <w:sz w:val="18"/>
                <w:szCs w:val="18"/>
              </w:rPr>
            </w:pPr>
            <w:r>
              <w:rPr>
                <w:rFonts w:ascii="Times New Roman"/>
                <w:sz w:val="18"/>
              </w:rPr>
              <w:t>80,000.00</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8"/>
              <w:ind w:right="101"/>
              <w:jc w:val="right"/>
              <w:rPr>
                <w:rFonts w:ascii="Times New Roman" w:hAnsi="Times New Roman" w:cs="Times New Roman" w:eastAsia="Times New Roman" w:hint="default"/>
                <w:sz w:val="18"/>
                <w:szCs w:val="18"/>
              </w:rPr>
            </w:pPr>
            <w:r>
              <w:rPr>
                <w:rFonts w:ascii="Times New Roman"/>
                <w:sz w:val="18"/>
              </w:rPr>
              <w:t>28,900.00</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319" w:lineRule="auto" w:before="156"/>
              <w:ind w:left="103" w:right="228"/>
              <w:jc w:val="left"/>
              <w:rPr>
                <w:rFonts w:ascii="宋体" w:hAnsi="宋体" w:cs="宋体" w:eastAsia="宋体" w:hint="default"/>
                <w:sz w:val="18"/>
                <w:szCs w:val="18"/>
              </w:rPr>
            </w:pPr>
            <w:r>
              <w:rPr>
                <w:rFonts w:ascii="宋体" w:hAnsi="宋体" w:cs="宋体" w:eastAsia="宋体" w:hint="default"/>
                <w:sz w:val="18"/>
                <w:szCs w:val="18"/>
              </w:rPr>
              <w:t>与收益相 关</w:t>
            </w:r>
          </w:p>
        </w:tc>
      </w:tr>
      <w:tr>
        <w:trPr>
          <w:trHeight w:val="318" w:hRule="exact"/>
        </w:trPr>
        <w:tc>
          <w:tcPr>
            <w:tcW w:w="1065"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持政策而</w:t>
            </w:r>
          </w:p>
        </w:tc>
        <w:tc>
          <w:tcPr>
            <w:tcW w:w="1063"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r>
    </w:tbl>
    <w:p>
      <w:pPr>
        <w:spacing w:after="0"/>
        <w:sectPr>
          <w:pgSz w:w="11910" w:h="16840"/>
          <w:pgMar w:header="906" w:footer="1018" w:top="1100" w:bottom="1200" w:left="1020" w:right="0"/>
        </w:sectPr>
      </w:pPr>
    </w:p>
    <w:p>
      <w:pPr>
        <w:spacing w:line="240" w:lineRule="auto" w:before="7"/>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065"/>
        <w:gridCol w:w="1063"/>
        <w:gridCol w:w="1063"/>
        <w:gridCol w:w="1063"/>
        <w:gridCol w:w="1063"/>
        <w:gridCol w:w="1063"/>
        <w:gridCol w:w="1063"/>
        <w:gridCol w:w="1063"/>
        <w:gridCol w:w="1063"/>
      </w:tblGrid>
      <w:tr>
        <w:trPr>
          <w:trHeight w:val="674" w:hRule="exact"/>
        </w:trPr>
        <w:tc>
          <w:tcPr>
            <w:tcW w:w="1065"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103" w:right="228"/>
              <w:jc w:val="left"/>
              <w:rPr>
                <w:rFonts w:ascii="宋体" w:hAnsi="宋体" w:cs="宋体" w:eastAsia="宋体" w:hint="default"/>
                <w:sz w:val="18"/>
                <w:szCs w:val="18"/>
              </w:rPr>
            </w:pPr>
            <w:r>
              <w:rPr>
                <w:rFonts w:ascii="宋体" w:hAnsi="宋体" w:cs="宋体" w:eastAsia="宋体" w:hint="default"/>
                <w:sz w:val="18"/>
                <w:szCs w:val="18"/>
              </w:rPr>
              <w:t>获得的补 助</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356" w:hRule="exact"/>
        </w:trPr>
        <w:tc>
          <w:tcPr>
            <w:tcW w:w="1065"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因符合地</w:t>
            </w:r>
          </w:p>
        </w:tc>
        <w:tc>
          <w:tcPr>
            <w:tcW w:w="1063"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3" w:type="dxa"/>
            <w:vMerge w:val="restart"/>
            <w:tcBorders>
              <w:top w:val="single" w:sz="4" w:space="0" w:color="000000"/>
              <w:left w:val="single" w:sz="4" w:space="0" w:color="000000"/>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r>
      <w:tr>
        <w:trPr>
          <w:trHeight w:val="1560" w:hRule="exact"/>
        </w:trPr>
        <w:tc>
          <w:tcPr>
            <w:tcW w:w="1065"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02" w:right="230"/>
              <w:jc w:val="both"/>
              <w:rPr>
                <w:rFonts w:ascii="宋体" w:hAnsi="宋体" w:cs="宋体" w:eastAsia="宋体" w:hint="default"/>
                <w:sz w:val="18"/>
                <w:szCs w:val="18"/>
              </w:rPr>
            </w:pPr>
            <w:r>
              <w:rPr>
                <w:rFonts w:ascii="宋体" w:hAnsi="宋体" w:cs="宋体" w:eastAsia="宋体" w:hint="default"/>
                <w:sz w:val="18"/>
                <w:szCs w:val="18"/>
              </w:rPr>
              <w:t>丹阳市云 阳街道财 政所扶持 资金</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319" w:lineRule="auto"/>
              <w:ind w:left="102" w:right="228"/>
              <w:jc w:val="left"/>
              <w:rPr>
                <w:rFonts w:ascii="宋体" w:hAnsi="宋体" w:cs="宋体" w:eastAsia="宋体" w:hint="default"/>
                <w:sz w:val="18"/>
                <w:szCs w:val="18"/>
              </w:rPr>
            </w:pPr>
            <w:r>
              <w:rPr>
                <w:rFonts w:ascii="宋体" w:hAnsi="宋体" w:cs="宋体" w:eastAsia="宋体" w:hint="default"/>
                <w:sz w:val="18"/>
                <w:szCs w:val="18"/>
              </w:rPr>
              <w:t>丹阳市政 府</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3" w:right="228"/>
              <w:jc w:val="both"/>
              <w:rPr>
                <w:rFonts w:ascii="宋体" w:hAnsi="宋体" w:cs="宋体" w:eastAsia="宋体" w:hint="default"/>
                <w:sz w:val="18"/>
                <w:szCs w:val="18"/>
              </w:rPr>
            </w:pPr>
            <w:r>
              <w:rPr>
                <w:rFonts w:ascii="宋体" w:hAnsi="宋体" w:cs="宋体" w:eastAsia="宋体" w:hint="default"/>
                <w:sz w:val="18"/>
                <w:szCs w:val="18"/>
              </w:rPr>
              <w:t>方政府招 商引资等 地方性扶 持政策而 获得的补</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40,000.00</w:t>
            </w:r>
          </w:p>
        </w:tc>
        <w:tc>
          <w:tcPr>
            <w:tcW w:w="1063" w:type="dxa"/>
            <w:vMerge/>
            <w:tcBorders>
              <w:left w:val="single" w:sz="4" w:space="0" w:color="000000"/>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319" w:lineRule="auto"/>
              <w:ind w:left="103" w:right="228"/>
              <w:jc w:val="left"/>
              <w:rPr>
                <w:rFonts w:ascii="宋体" w:hAnsi="宋体" w:cs="宋体" w:eastAsia="宋体" w:hint="default"/>
                <w:sz w:val="18"/>
                <w:szCs w:val="18"/>
              </w:rPr>
            </w:pPr>
            <w:r>
              <w:rPr>
                <w:rFonts w:ascii="宋体" w:hAnsi="宋体" w:cs="宋体" w:eastAsia="宋体" w:hint="default"/>
                <w:sz w:val="18"/>
                <w:szCs w:val="18"/>
              </w:rPr>
              <w:t>与收益相 关</w:t>
            </w:r>
          </w:p>
        </w:tc>
      </w:tr>
      <w:tr>
        <w:trPr>
          <w:trHeight w:val="358" w:hRule="exact"/>
        </w:trPr>
        <w:tc>
          <w:tcPr>
            <w:tcW w:w="1065"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助</w:t>
            </w:r>
          </w:p>
        </w:tc>
        <w:tc>
          <w:tcPr>
            <w:tcW w:w="1063"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r>
      <w:tr>
        <w:trPr>
          <w:trHeight w:val="356" w:hRule="exact"/>
        </w:trPr>
        <w:tc>
          <w:tcPr>
            <w:tcW w:w="1065"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因从事国</w:t>
            </w:r>
          </w:p>
        </w:tc>
        <w:tc>
          <w:tcPr>
            <w:tcW w:w="1063"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3" w:type="dxa"/>
            <w:vMerge w:val="restart"/>
            <w:tcBorders>
              <w:top w:val="single" w:sz="4" w:space="0" w:color="000000"/>
              <w:left w:val="single" w:sz="4" w:space="0" w:color="000000"/>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106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江苏省丹</w:t>
            </w:r>
          </w:p>
        </w:tc>
        <w:tc>
          <w:tcPr>
            <w:tcW w:w="1063"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家鼓励和</w:t>
            </w:r>
          </w:p>
        </w:tc>
        <w:tc>
          <w:tcPr>
            <w:tcW w:w="1063"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1063" w:type="dxa"/>
            <w:vMerge/>
            <w:tcBorders>
              <w:left w:val="single" w:sz="4" w:space="0" w:color="000000"/>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06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阳高新技</w:t>
            </w:r>
          </w:p>
        </w:tc>
        <w:tc>
          <w:tcPr>
            <w:tcW w:w="1063"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扶持特定</w:t>
            </w:r>
          </w:p>
        </w:tc>
        <w:tc>
          <w:tcPr>
            <w:tcW w:w="1063"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1063" w:type="dxa"/>
            <w:vMerge/>
            <w:tcBorders>
              <w:left w:val="single" w:sz="4" w:space="0" w:color="000000"/>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r>
      <w:tr>
        <w:trPr>
          <w:trHeight w:val="936" w:hRule="exact"/>
        </w:trPr>
        <w:tc>
          <w:tcPr>
            <w:tcW w:w="1065"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2" w:right="230"/>
              <w:jc w:val="both"/>
              <w:rPr>
                <w:rFonts w:ascii="宋体" w:hAnsi="宋体" w:cs="宋体" w:eastAsia="宋体" w:hint="default"/>
                <w:sz w:val="18"/>
                <w:szCs w:val="18"/>
              </w:rPr>
            </w:pPr>
            <w:r>
              <w:rPr>
                <w:rFonts w:ascii="宋体" w:hAnsi="宋体" w:cs="宋体" w:eastAsia="宋体" w:hint="default"/>
                <w:sz w:val="18"/>
                <w:szCs w:val="18"/>
              </w:rPr>
              <w:t>术产业开 发区高层 次人才引</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02" w:right="228"/>
              <w:jc w:val="left"/>
              <w:rPr>
                <w:rFonts w:ascii="宋体" w:hAnsi="宋体" w:cs="宋体" w:eastAsia="宋体" w:hint="default"/>
                <w:sz w:val="18"/>
                <w:szCs w:val="18"/>
              </w:rPr>
            </w:pPr>
            <w:r>
              <w:rPr>
                <w:rFonts w:ascii="宋体" w:hAnsi="宋体" w:cs="宋体" w:eastAsia="宋体" w:hint="default"/>
                <w:sz w:val="18"/>
                <w:szCs w:val="18"/>
              </w:rPr>
              <w:t>丹阳市政 府</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3" w:right="101"/>
              <w:jc w:val="left"/>
              <w:rPr>
                <w:rFonts w:ascii="宋体" w:hAnsi="宋体" w:cs="宋体" w:eastAsia="宋体" w:hint="default"/>
                <w:sz w:val="18"/>
                <w:szCs w:val="18"/>
              </w:rPr>
            </w:pPr>
            <w:r>
              <w:rPr>
                <w:rFonts w:ascii="宋体" w:hAnsi="宋体" w:cs="宋体" w:eastAsia="宋体" w:hint="default"/>
                <w:spacing w:val="-11"/>
                <w:sz w:val="18"/>
                <w:szCs w:val="18"/>
              </w:rPr>
              <w:t>行业、产业</w:t>
            </w:r>
            <w:r>
              <w:rPr>
                <w:rFonts w:ascii="宋体" w:hAnsi="宋体" w:cs="宋体" w:eastAsia="宋体" w:hint="default"/>
                <w:sz w:val="18"/>
                <w:szCs w:val="18"/>
              </w:rPr>
              <w:t> 而获得的 </w:t>
            </w:r>
            <w:r>
              <w:rPr>
                <w:rFonts w:ascii="宋体" w:hAnsi="宋体" w:cs="宋体" w:eastAsia="宋体" w:hint="default"/>
                <w:spacing w:val="-11"/>
                <w:sz w:val="18"/>
                <w:szCs w:val="18"/>
              </w:rPr>
              <w:t>补助（按国</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01"/>
              <w:jc w:val="right"/>
              <w:rPr>
                <w:rFonts w:ascii="Times New Roman" w:hAnsi="Times New Roman" w:cs="Times New Roman" w:eastAsia="Times New Roman" w:hint="default"/>
                <w:sz w:val="18"/>
                <w:szCs w:val="18"/>
              </w:rPr>
            </w:pPr>
            <w:r>
              <w:rPr>
                <w:rFonts w:ascii="Times New Roman"/>
                <w:sz w:val="18"/>
              </w:rPr>
              <w:t>20,000.00</w:t>
            </w:r>
          </w:p>
        </w:tc>
        <w:tc>
          <w:tcPr>
            <w:tcW w:w="1063" w:type="dxa"/>
            <w:vMerge/>
            <w:tcBorders>
              <w:left w:val="single" w:sz="4" w:space="0" w:color="000000"/>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03" w:right="228"/>
              <w:jc w:val="left"/>
              <w:rPr>
                <w:rFonts w:ascii="宋体" w:hAnsi="宋体" w:cs="宋体" w:eastAsia="宋体" w:hint="default"/>
                <w:sz w:val="18"/>
                <w:szCs w:val="18"/>
              </w:rPr>
            </w:pPr>
            <w:r>
              <w:rPr>
                <w:rFonts w:ascii="宋体" w:hAnsi="宋体" w:cs="宋体" w:eastAsia="宋体" w:hint="default"/>
                <w:sz w:val="18"/>
                <w:szCs w:val="18"/>
              </w:rPr>
              <w:t>与收益相 关</w:t>
            </w:r>
          </w:p>
        </w:tc>
      </w:tr>
      <w:tr>
        <w:trPr>
          <w:trHeight w:val="312" w:hRule="exact"/>
        </w:trPr>
        <w:tc>
          <w:tcPr>
            <w:tcW w:w="106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进补助资</w:t>
            </w:r>
          </w:p>
        </w:tc>
        <w:tc>
          <w:tcPr>
            <w:tcW w:w="1063"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家级政策</w:t>
            </w:r>
          </w:p>
        </w:tc>
        <w:tc>
          <w:tcPr>
            <w:tcW w:w="1063"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1063" w:type="dxa"/>
            <w:vMerge/>
            <w:tcBorders>
              <w:left w:val="single" w:sz="4" w:space="0" w:color="000000"/>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06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金</w:t>
            </w:r>
          </w:p>
        </w:tc>
        <w:tc>
          <w:tcPr>
            <w:tcW w:w="1063"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规定依法</w:t>
            </w:r>
          </w:p>
        </w:tc>
        <w:tc>
          <w:tcPr>
            <w:tcW w:w="1063"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1063" w:type="dxa"/>
            <w:vMerge/>
            <w:tcBorders>
              <w:left w:val="single" w:sz="4" w:space="0" w:color="000000"/>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r>
      <w:tr>
        <w:trPr>
          <w:trHeight w:val="358" w:hRule="exact"/>
        </w:trPr>
        <w:tc>
          <w:tcPr>
            <w:tcW w:w="1065"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取得）</w:t>
            </w:r>
          </w:p>
        </w:tc>
        <w:tc>
          <w:tcPr>
            <w:tcW w:w="1063"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r>
      <w:tr>
        <w:trPr>
          <w:trHeight w:val="356" w:hRule="exact"/>
        </w:trPr>
        <w:tc>
          <w:tcPr>
            <w:tcW w:w="1065"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因符合地</w:t>
            </w:r>
          </w:p>
        </w:tc>
        <w:tc>
          <w:tcPr>
            <w:tcW w:w="1063"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3" w:type="dxa"/>
            <w:vMerge w:val="restart"/>
            <w:tcBorders>
              <w:top w:val="single" w:sz="4" w:space="0" w:color="000000"/>
              <w:left w:val="single" w:sz="4" w:space="0" w:color="000000"/>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r>
      <w:tr>
        <w:trPr>
          <w:trHeight w:val="1560" w:hRule="exact"/>
        </w:trPr>
        <w:tc>
          <w:tcPr>
            <w:tcW w:w="1065"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02" w:right="230"/>
              <w:jc w:val="both"/>
              <w:rPr>
                <w:rFonts w:ascii="宋体" w:hAnsi="宋体" w:cs="宋体" w:eastAsia="宋体" w:hint="default"/>
                <w:sz w:val="18"/>
                <w:szCs w:val="18"/>
              </w:rPr>
            </w:pPr>
            <w:r>
              <w:rPr>
                <w:rFonts w:ascii="宋体" w:hAnsi="宋体" w:cs="宋体" w:eastAsia="宋体" w:hint="default"/>
                <w:sz w:val="18"/>
                <w:szCs w:val="18"/>
              </w:rPr>
              <w:t>贯标认证 和绩效评 价合格奖 励资金</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316" w:lineRule="auto"/>
              <w:ind w:left="102" w:right="228"/>
              <w:jc w:val="left"/>
              <w:rPr>
                <w:rFonts w:ascii="宋体" w:hAnsi="宋体" w:cs="宋体" w:eastAsia="宋体" w:hint="default"/>
                <w:sz w:val="18"/>
                <w:szCs w:val="18"/>
              </w:rPr>
            </w:pPr>
            <w:r>
              <w:rPr>
                <w:rFonts w:ascii="宋体" w:hAnsi="宋体" w:cs="宋体" w:eastAsia="宋体" w:hint="default"/>
                <w:sz w:val="18"/>
                <w:szCs w:val="18"/>
              </w:rPr>
              <w:t>丹阳市政 府</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3" w:right="228"/>
              <w:jc w:val="both"/>
              <w:rPr>
                <w:rFonts w:ascii="宋体" w:hAnsi="宋体" w:cs="宋体" w:eastAsia="宋体" w:hint="default"/>
                <w:sz w:val="18"/>
                <w:szCs w:val="18"/>
              </w:rPr>
            </w:pPr>
            <w:r>
              <w:rPr>
                <w:rFonts w:ascii="宋体" w:hAnsi="宋体" w:cs="宋体" w:eastAsia="宋体" w:hint="default"/>
                <w:sz w:val="18"/>
                <w:szCs w:val="18"/>
              </w:rPr>
              <w:t>方政府招 商引资等 地方性扶 持政策而 获得的补</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3" w:type="dxa"/>
            <w:vMerge/>
            <w:tcBorders>
              <w:left w:val="single" w:sz="4" w:space="0" w:color="000000"/>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90,000.00</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316" w:lineRule="auto"/>
              <w:ind w:left="103" w:right="228"/>
              <w:jc w:val="left"/>
              <w:rPr>
                <w:rFonts w:ascii="宋体" w:hAnsi="宋体" w:cs="宋体" w:eastAsia="宋体" w:hint="default"/>
                <w:sz w:val="18"/>
                <w:szCs w:val="18"/>
              </w:rPr>
            </w:pPr>
            <w:r>
              <w:rPr>
                <w:rFonts w:ascii="宋体" w:hAnsi="宋体" w:cs="宋体" w:eastAsia="宋体" w:hint="default"/>
                <w:sz w:val="18"/>
                <w:szCs w:val="18"/>
              </w:rPr>
              <w:t>与收益相 关</w:t>
            </w:r>
          </w:p>
        </w:tc>
      </w:tr>
      <w:tr>
        <w:trPr>
          <w:trHeight w:val="358" w:hRule="exact"/>
        </w:trPr>
        <w:tc>
          <w:tcPr>
            <w:tcW w:w="1065"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助</w:t>
            </w:r>
          </w:p>
        </w:tc>
        <w:tc>
          <w:tcPr>
            <w:tcW w:w="1063"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r>
      <w:tr>
        <w:trPr>
          <w:trHeight w:val="356" w:hRule="exact"/>
        </w:trPr>
        <w:tc>
          <w:tcPr>
            <w:tcW w:w="1065"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因符合地</w:t>
            </w:r>
          </w:p>
        </w:tc>
        <w:tc>
          <w:tcPr>
            <w:tcW w:w="1063"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3" w:type="dxa"/>
            <w:vMerge w:val="restart"/>
            <w:tcBorders>
              <w:top w:val="single" w:sz="4" w:space="0" w:color="000000"/>
              <w:left w:val="single" w:sz="4" w:space="0" w:color="000000"/>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1065"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方政府招</w:t>
            </w:r>
          </w:p>
        </w:tc>
        <w:tc>
          <w:tcPr>
            <w:tcW w:w="1063"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1063" w:type="dxa"/>
            <w:vMerge/>
            <w:tcBorders>
              <w:left w:val="single" w:sz="4" w:space="0" w:color="000000"/>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r>
      <w:tr>
        <w:trPr>
          <w:trHeight w:val="936" w:hRule="exact"/>
        </w:trPr>
        <w:tc>
          <w:tcPr>
            <w:tcW w:w="1065"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02" w:right="228"/>
              <w:jc w:val="left"/>
              <w:rPr>
                <w:rFonts w:ascii="宋体" w:hAnsi="宋体" w:cs="宋体" w:eastAsia="宋体" w:hint="default"/>
                <w:sz w:val="18"/>
                <w:szCs w:val="18"/>
              </w:rPr>
            </w:pPr>
            <w:r>
              <w:rPr>
                <w:rFonts w:ascii="宋体" w:hAnsi="宋体" w:cs="宋体" w:eastAsia="宋体" w:hint="default"/>
                <w:sz w:val="18"/>
                <w:szCs w:val="18"/>
              </w:rPr>
              <w:t>丹阳市政 府</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3" w:right="228"/>
              <w:jc w:val="both"/>
              <w:rPr>
                <w:rFonts w:ascii="宋体" w:hAnsi="宋体" w:cs="宋体" w:eastAsia="宋体" w:hint="default"/>
                <w:sz w:val="18"/>
                <w:szCs w:val="18"/>
              </w:rPr>
            </w:pPr>
            <w:r>
              <w:rPr>
                <w:rFonts w:ascii="宋体" w:hAnsi="宋体" w:cs="宋体" w:eastAsia="宋体" w:hint="default"/>
                <w:sz w:val="18"/>
                <w:szCs w:val="18"/>
              </w:rPr>
              <w:t>商引资等 地方性扶 持政策而</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3" w:type="dxa"/>
            <w:vMerge/>
            <w:tcBorders>
              <w:left w:val="single" w:sz="4" w:space="0" w:color="000000"/>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01"/>
              <w:jc w:val="right"/>
              <w:rPr>
                <w:rFonts w:ascii="Times New Roman" w:hAnsi="Times New Roman" w:cs="Times New Roman" w:eastAsia="Times New Roman" w:hint="default"/>
                <w:sz w:val="18"/>
                <w:szCs w:val="18"/>
              </w:rPr>
            </w:pPr>
            <w:r>
              <w:rPr>
                <w:rFonts w:ascii="Times New Roman"/>
                <w:sz w:val="18"/>
              </w:rPr>
              <w:t>9,600.00</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03" w:right="228"/>
              <w:jc w:val="left"/>
              <w:rPr>
                <w:rFonts w:ascii="宋体" w:hAnsi="宋体" w:cs="宋体" w:eastAsia="宋体" w:hint="default"/>
                <w:sz w:val="18"/>
                <w:szCs w:val="18"/>
              </w:rPr>
            </w:pPr>
            <w:r>
              <w:rPr>
                <w:rFonts w:ascii="宋体" w:hAnsi="宋体" w:cs="宋体" w:eastAsia="宋体" w:hint="default"/>
                <w:sz w:val="18"/>
                <w:szCs w:val="18"/>
              </w:rPr>
              <w:t>与收益相 关</w:t>
            </w:r>
          </w:p>
        </w:tc>
      </w:tr>
      <w:tr>
        <w:trPr>
          <w:trHeight w:val="312" w:hRule="exact"/>
        </w:trPr>
        <w:tc>
          <w:tcPr>
            <w:tcW w:w="1065"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获得的补</w:t>
            </w:r>
          </w:p>
        </w:tc>
        <w:tc>
          <w:tcPr>
            <w:tcW w:w="1063"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1063" w:type="dxa"/>
            <w:vMerge/>
            <w:tcBorders>
              <w:left w:val="single" w:sz="4" w:space="0" w:color="000000"/>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r>
      <w:tr>
        <w:trPr>
          <w:trHeight w:val="358" w:hRule="exact"/>
        </w:trPr>
        <w:tc>
          <w:tcPr>
            <w:tcW w:w="1065"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助</w:t>
            </w:r>
          </w:p>
        </w:tc>
        <w:tc>
          <w:tcPr>
            <w:tcW w:w="1063"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r>
      <w:tr>
        <w:trPr>
          <w:trHeight w:val="402" w:hRule="exact"/>
        </w:trPr>
        <w:tc>
          <w:tcPr>
            <w:tcW w:w="10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302,551.95</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300,682.52</w:t>
            </w:r>
          </w:p>
        </w:tc>
        <w:tc>
          <w:tcPr>
            <w:tcW w:w="1063"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49"/>
        <w:ind w:right="0"/>
        <w:jc w:val="left"/>
      </w:pPr>
      <w:r>
        <w:rPr/>
        <w:t>其他说明：</w:t>
      </w:r>
    </w:p>
    <w:p>
      <w:pPr>
        <w:spacing w:line="240" w:lineRule="auto" w:before="13"/>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75</w:t>
      </w:r>
      <w:r>
        <w:rPr/>
        <w:t>、营业外支出</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89"/>
        <w:gridCol w:w="2395"/>
        <w:gridCol w:w="2392"/>
        <w:gridCol w:w="2392"/>
      </w:tblGrid>
      <w:tr>
        <w:trPr>
          <w:trHeight w:val="714" w:hRule="exact"/>
        </w:trPr>
        <w:tc>
          <w:tcPr>
            <w:tcW w:w="23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3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742"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741"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0"/>
              <w:ind w:left="1101" w:right="110" w:hanging="990"/>
              <w:jc w:val="left"/>
              <w:rPr>
                <w:rFonts w:ascii="宋体" w:hAnsi="宋体" w:cs="宋体" w:eastAsia="宋体" w:hint="default"/>
                <w:sz w:val="18"/>
                <w:szCs w:val="18"/>
              </w:rPr>
            </w:pPr>
            <w:r>
              <w:rPr>
                <w:rFonts w:ascii="宋体" w:hAnsi="宋体" w:cs="宋体" w:eastAsia="宋体" w:hint="default"/>
                <w:sz w:val="18"/>
                <w:szCs w:val="18"/>
              </w:rPr>
              <w:t>计入当期非经常性损益的金 额</w:t>
            </w:r>
          </w:p>
        </w:tc>
      </w:tr>
      <w:tr>
        <w:trPr>
          <w:trHeight w:val="402" w:hRule="exact"/>
        </w:trPr>
        <w:tc>
          <w:tcPr>
            <w:tcW w:w="23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对外捐赠</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141,936.49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755,725.00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141,936.49</w:t>
            </w:r>
          </w:p>
        </w:tc>
      </w:tr>
      <w:tr>
        <w:trPr>
          <w:trHeight w:val="401" w:hRule="exact"/>
        </w:trPr>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47,013.58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101,248.94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47,013.58</w:t>
            </w:r>
          </w:p>
        </w:tc>
      </w:tr>
    </w:tbl>
    <w:p>
      <w:pPr>
        <w:spacing w:after="0" w:line="240" w:lineRule="auto"/>
        <w:jc w:val="right"/>
        <w:rPr>
          <w:rFonts w:ascii="Times New Roman" w:hAnsi="Times New Roman" w:cs="Times New Roman" w:eastAsia="Times New Roman" w:hint="default"/>
          <w:sz w:val="18"/>
          <w:szCs w:val="18"/>
        </w:rPr>
        <w:sectPr>
          <w:pgSz w:w="11910" w:h="16840"/>
          <w:pgMar w:header="906" w:footer="1018" w:top="1100" w:bottom="1200" w:left="1020" w:right="0"/>
        </w:sectPr>
      </w:pPr>
    </w:p>
    <w:p>
      <w:pPr>
        <w:spacing w:line="240" w:lineRule="auto" w:before="7"/>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389"/>
        <w:gridCol w:w="2395"/>
        <w:gridCol w:w="2392"/>
        <w:gridCol w:w="2392"/>
      </w:tblGrid>
      <w:tr>
        <w:trPr>
          <w:trHeight w:val="402" w:hRule="exact"/>
        </w:trPr>
        <w:tc>
          <w:tcPr>
            <w:tcW w:w="23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72" w:right="0"/>
              <w:jc w:val="left"/>
              <w:rPr>
                <w:rFonts w:ascii="Times New Roman" w:hAnsi="Times New Roman" w:cs="Times New Roman" w:eastAsia="Times New Roman" w:hint="default"/>
                <w:sz w:val="18"/>
                <w:szCs w:val="18"/>
              </w:rPr>
            </w:pPr>
            <w:r>
              <w:rPr>
                <w:rFonts w:ascii="Times New Roman"/>
                <w:sz w:val="18"/>
              </w:rPr>
              <w:t>188,950.07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68" w:right="0"/>
              <w:jc w:val="left"/>
              <w:rPr>
                <w:rFonts w:ascii="Times New Roman" w:hAnsi="Times New Roman" w:cs="Times New Roman" w:eastAsia="Times New Roman" w:hint="default"/>
                <w:sz w:val="18"/>
                <w:szCs w:val="18"/>
              </w:rPr>
            </w:pPr>
            <w:r>
              <w:rPr>
                <w:rFonts w:ascii="Times New Roman"/>
                <w:sz w:val="18"/>
              </w:rPr>
              <w:t>856,973.94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68" w:right="0"/>
              <w:jc w:val="left"/>
              <w:rPr>
                <w:rFonts w:ascii="Times New Roman" w:hAnsi="Times New Roman" w:cs="Times New Roman" w:eastAsia="Times New Roman" w:hint="default"/>
                <w:sz w:val="18"/>
                <w:szCs w:val="18"/>
              </w:rPr>
            </w:pPr>
            <w:r>
              <w:rPr>
                <w:rFonts w:ascii="Times New Roman"/>
                <w:sz w:val="18"/>
              </w:rPr>
              <w:t>188,950.07</w:t>
            </w:r>
          </w:p>
        </w:tc>
      </w:tr>
    </w:tbl>
    <w:p>
      <w:pPr>
        <w:pStyle w:val="BodyText"/>
        <w:spacing w:line="240" w:lineRule="auto" w:before="50"/>
        <w:ind w:right="0"/>
        <w:jc w:val="left"/>
      </w:pPr>
      <w:r>
        <w:rPr/>
        <w:t>其他说明：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76</w:t>
      </w:r>
      <w:r>
        <w:rPr/>
        <w:t>、所得税费用</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t>（</w:t>
      </w:r>
      <w:r>
        <w:rPr>
          <w:rFonts w:ascii="Times New Roman" w:hAnsi="Times New Roman" w:cs="Times New Roman" w:eastAsia="Times New Roman" w:hint="default"/>
        </w:rPr>
        <w:t>1</w:t>
      </w:r>
      <w:r>
        <w:rPr/>
        <w:t>）所得税费用表</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当期所得税费用</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7,836,928.26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12,335,660.89</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递延所得税费用</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w w:val="95"/>
                <w:sz w:val="18"/>
              </w:rPr>
              <w:t>-3,758,041.50</w:t>
            </w:r>
            <w:r>
              <w:rPr>
                <w:rFonts w:ascii="Times New Roman"/>
                <w:sz w:val="18"/>
              </w:rPr>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w w:val="95"/>
                <w:sz w:val="18"/>
              </w:rPr>
              <w:t>-1,985,607.94</w:t>
            </w:r>
            <w:r>
              <w:rPr>
                <w:rFonts w:ascii="Times New Roman"/>
                <w:sz w:val="18"/>
              </w:rPr>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4,078,886.76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10,350,052.95</w:t>
            </w:r>
          </w:p>
        </w:tc>
      </w:tr>
    </w:tbl>
    <w:p>
      <w:pPr>
        <w:spacing w:line="240" w:lineRule="auto" w:before="1"/>
        <w:rPr>
          <w:rFonts w:ascii="宋体" w:hAnsi="宋体" w:cs="宋体" w:eastAsia="宋体" w:hint="default"/>
          <w:sz w:val="19"/>
          <w:szCs w:val="19"/>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2</w:t>
      </w:r>
      <w:r>
        <w:rPr/>
        <w:t>）会计利润与所得税费用调整过程</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4779"/>
        <w:gridCol w:w="4789"/>
      </w:tblGrid>
      <w:tr>
        <w:trPr>
          <w:trHeight w:val="401" w:hRule="exact"/>
        </w:trPr>
        <w:tc>
          <w:tcPr>
            <w:tcW w:w="477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r>
      <w:tr>
        <w:trPr>
          <w:trHeight w:val="403" w:hRule="exact"/>
        </w:trPr>
        <w:tc>
          <w:tcPr>
            <w:tcW w:w="477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4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91,112,004.00</w:t>
            </w:r>
          </w:p>
        </w:tc>
      </w:tr>
      <w:tr>
        <w:trPr>
          <w:trHeight w:val="402" w:hRule="exact"/>
        </w:trPr>
        <w:tc>
          <w:tcPr>
            <w:tcW w:w="477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按法定</w:t>
            </w:r>
            <w:r>
              <w:rPr>
                <w:rFonts w:ascii="Times New Roman" w:hAnsi="Times New Roman" w:cs="Times New Roman" w:eastAsia="Times New Roman" w:hint="default"/>
                <w:sz w:val="18"/>
                <w:szCs w:val="18"/>
              </w:rPr>
              <w:t>/</w:t>
            </w:r>
            <w:r>
              <w:rPr>
                <w:rFonts w:ascii="宋体" w:hAnsi="宋体" w:cs="宋体" w:eastAsia="宋体" w:hint="default"/>
                <w:sz w:val="18"/>
                <w:szCs w:val="18"/>
              </w:rPr>
              <w:t>适用税率计算的所得税费用</w:t>
            </w:r>
          </w:p>
        </w:tc>
        <w:tc>
          <w:tcPr>
            <w:tcW w:w="4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2"/>
                <w:sz w:val="18"/>
              </w:rPr>
              <w:t>9,111,200.40</w:t>
            </w:r>
          </w:p>
        </w:tc>
      </w:tr>
      <w:tr>
        <w:trPr>
          <w:trHeight w:val="402" w:hRule="exact"/>
        </w:trPr>
        <w:tc>
          <w:tcPr>
            <w:tcW w:w="477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子公司适用不同税率的影响</w:t>
            </w:r>
          </w:p>
        </w:tc>
        <w:tc>
          <w:tcPr>
            <w:tcW w:w="4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464,441.20</w:t>
            </w:r>
          </w:p>
        </w:tc>
      </w:tr>
      <w:tr>
        <w:trPr>
          <w:trHeight w:val="402" w:hRule="exact"/>
        </w:trPr>
        <w:tc>
          <w:tcPr>
            <w:tcW w:w="477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调整以前期间所得税的影响</w:t>
            </w:r>
          </w:p>
        </w:tc>
        <w:tc>
          <w:tcPr>
            <w:tcW w:w="4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w w:val="95"/>
                <w:sz w:val="18"/>
              </w:rPr>
              <w:t>-9,024,243.18</w:t>
            </w:r>
            <w:r>
              <w:rPr>
                <w:rFonts w:ascii="Times New Roman"/>
                <w:sz w:val="18"/>
              </w:rPr>
            </w:r>
          </w:p>
        </w:tc>
      </w:tr>
      <w:tr>
        <w:trPr>
          <w:trHeight w:val="402" w:hRule="exact"/>
        </w:trPr>
        <w:tc>
          <w:tcPr>
            <w:tcW w:w="477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非应税收入的影响</w:t>
            </w:r>
          </w:p>
        </w:tc>
        <w:tc>
          <w:tcPr>
            <w:tcW w:w="4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-1,759.22</w:t>
            </w:r>
          </w:p>
        </w:tc>
      </w:tr>
      <w:tr>
        <w:trPr>
          <w:trHeight w:val="402" w:hRule="exact"/>
        </w:trPr>
        <w:tc>
          <w:tcPr>
            <w:tcW w:w="477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不可抵扣的成本、费用和损失的影响</w:t>
            </w:r>
          </w:p>
        </w:tc>
        <w:tc>
          <w:tcPr>
            <w:tcW w:w="4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613,402.80</w:t>
            </w:r>
          </w:p>
        </w:tc>
      </w:tr>
      <w:tr>
        <w:trPr>
          <w:trHeight w:val="714" w:hRule="exact"/>
        </w:trPr>
        <w:tc>
          <w:tcPr>
            <w:tcW w:w="477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49"/>
              <w:ind w:left="102" w:right="164"/>
              <w:jc w:val="left"/>
              <w:rPr>
                <w:rFonts w:ascii="宋体" w:hAnsi="宋体" w:cs="宋体" w:eastAsia="宋体" w:hint="default"/>
                <w:sz w:val="18"/>
                <w:szCs w:val="18"/>
              </w:rPr>
            </w:pPr>
            <w:r>
              <w:rPr>
                <w:rFonts w:ascii="宋体" w:hAnsi="宋体" w:cs="宋体" w:eastAsia="宋体" w:hint="default"/>
                <w:sz w:val="18"/>
                <w:szCs w:val="18"/>
              </w:rPr>
              <w:t>本期未确认递延所得税资产的可抵扣暂时性差异或可抵扣 亏损的影响</w:t>
            </w:r>
          </w:p>
        </w:tc>
        <w:tc>
          <w:tcPr>
            <w:tcW w:w="4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2,915,844.76</w:t>
            </w:r>
          </w:p>
        </w:tc>
      </w:tr>
      <w:tr>
        <w:trPr>
          <w:trHeight w:val="402" w:hRule="exact"/>
        </w:trPr>
        <w:tc>
          <w:tcPr>
            <w:tcW w:w="477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4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4,078,886.76</w:t>
            </w:r>
          </w:p>
        </w:tc>
      </w:tr>
    </w:tbl>
    <w:p>
      <w:pPr>
        <w:pStyle w:val="BodyText"/>
        <w:spacing w:line="240" w:lineRule="auto" w:before="49"/>
        <w:ind w:right="0"/>
        <w:jc w:val="left"/>
      </w:pPr>
      <w:r>
        <w:rPr/>
        <w:t>其他说明</w:t>
      </w:r>
    </w:p>
    <w:p>
      <w:pPr>
        <w:spacing w:line="240" w:lineRule="auto" w:before="13"/>
        <w:rPr>
          <w:rFonts w:ascii="宋体" w:hAnsi="宋体" w:cs="宋体" w:eastAsia="宋体" w:hint="default"/>
          <w:sz w:val="26"/>
          <w:szCs w:val="26"/>
        </w:rPr>
      </w:pPr>
    </w:p>
    <w:p>
      <w:pPr>
        <w:spacing w:line="547" w:lineRule="auto" w:before="0"/>
        <w:ind w:left="113" w:right="885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77</w:t>
      </w:r>
      <w:r>
        <w:rPr>
          <w:rFonts w:ascii="宋体" w:hAnsi="宋体" w:cs="宋体" w:eastAsia="宋体" w:hint="default"/>
          <w:b/>
          <w:bCs/>
          <w:sz w:val="21"/>
          <w:szCs w:val="21"/>
        </w:rPr>
        <w:t>、其他综合收益</w:t>
      </w:r>
      <w:r>
        <w:rPr>
          <w:rFonts w:ascii="宋体" w:hAnsi="宋体" w:cs="宋体" w:eastAsia="宋体" w:hint="default"/>
          <w:b/>
          <w:bCs/>
          <w:w w:val="99"/>
          <w:sz w:val="21"/>
          <w:szCs w:val="21"/>
        </w:rPr>
        <w:t> </w:t>
      </w:r>
      <w:r>
        <w:rPr>
          <w:rFonts w:ascii="宋体" w:hAnsi="宋体" w:cs="宋体" w:eastAsia="宋体" w:hint="default"/>
          <w:sz w:val="18"/>
          <w:szCs w:val="18"/>
        </w:rPr>
        <w:t>详见附注</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57</w:t>
      </w:r>
      <w:r>
        <w:rPr>
          <w:rFonts w:ascii="宋体" w:hAnsi="宋体" w:cs="宋体" w:eastAsia="宋体" w:hint="default"/>
          <w:sz w:val="18"/>
          <w:szCs w:val="18"/>
        </w:rPr>
        <w:t>。 </w:t>
      </w:r>
      <w:r>
        <w:rPr>
          <w:rFonts w:ascii="Times New Roman" w:hAnsi="Times New Roman" w:cs="Times New Roman" w:eastAsia="Times New Roman" w:hint="default"/>
          <w:b/>
          <w:bCs/>
          <w:sz w:val="21"/>
          <w:szCs w:val="21"/>
        </w:rPr>
        <w:t>78</w:t>
      </w:r>
      <w:r>
        <w:rPr>
          <w:rFonts w:ascii="宋体" w:hAnsi="宋体" w:cs="宋体" w:eastAsia="宋体" w:hint="default"/>
          <w:b/>
          <w:bCs/>
          <w:sz w:val="21"/>
          <w:szCs w:val="21"/>
        </w:rPr>
        <w:t>、现金流量表项目</w:t>
      </w:r>
      <w:r>
        <w:rPr>
          <w:rFonts w:ascii="宋体" w:hAnsi="宋体" w:cs="宋体" w:eastAsia="宋体" w:hint="default"/>
          <w:sz w:val="21"/>
          <w:szCs w:val="21"/>
        </w:rPr>
      </w:r>
    </w:p>
    <w:p>
      <w:pPr>
        <w:pStyle w:val="Heading3"/>
        <w:spacing w:line="240" w:lineRule="auto" w:before="25"/>
        <w:ind w:right="0"/>
        <w:jc w:val="left"/>
        <w:rPr>
          <w:b w:val="0"/>
          <w:bCs w:val="0"/>
        </w:rPr>
      </w:pPr>
      <w:r>
        <w:rPr/>
        <w:t>（</w:t>
      </w:r>
      <w:r>
        <w:rPr>
          <w:rFonts w:ascii="Times New Roman" w:hAnsi="Times New Roman" w:cs="Times New Roman" w:eastAsia="Times New Roman" w:hint="default"/>
        </w:rPr>
        <w:t>1</w:t>
      </w:r>
      <w:r>
        <w:rPr/>
        <w:t>）收到的其他与经营活动有关的现金</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押金及保证金</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9,858,327.20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6,218,593.40</w:t>
            </w:r>
          </w:p>
        </w:tc>
      </w:tr>
    </w:tbl>
    <w:p>
      <w:pPr>
        <w:spacing w:after="0" w:line="240" w:lineRule="auto"/>
        <w:jc w:val="right"/>
        <w:rPr>
          <w:rFonts w:ascii="Times New Roman" w:hAnsi="Times New Roman" w:cs="Times New Roman" w:eastAsia="Times New Roman" w:hint="default"/>
          <w:sz w:val="18"/>
          <w:szCs w:val="18"/>
        </w:rPr>
        <w:sectPr>
          <w:pgSz w:w="11910" w:h="16840"/>
          <w:pgMar w:header="906" w:footer="1018" w:top="1100" w:bottom="1200" w:left="1020" w:right="0"/>
        </w:sectPr>
      </w:pPr>
    </w:p>
    <w:p>
      <w:pPr>
        <w:spacing w:line="240" w:lineRule="auto" w:before="7"/>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6,488,161.77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3,223,682.52</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5,456,589.18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3,877,004.51</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4,837,069.03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1,738,590.85</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收回</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个月以上到期的保函保证金</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3,945,311.42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3,701,259.99</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166,420.23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298,172.26</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30,751,878.83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19,057,303.53</w:t>
            </w:r>
          </w:p>
        </w:tc>
      </w:tr>
    </w:tbl>
    <w:p>
      <w:pPr>
        <w:pStyle w:val="BodyText"/>
        <w:spacing w:line="240" w:lineRule="auto" w:before="50"/>
        <w:ind w:right="0"/>
        <w:jc w:val="left"/>
      </w:pPr>
      <w:r>
        <w:rPr/>
        <w:t>收到的其他与经营活动有关的现金说明：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t>（</w:t>
      </w:r>
      <w:r>
        <w:rPr>
          <w:rFonts w:ascii="Times New Roman" w:hAnsi="Times New Roman" w:cs="Times New Roman" w:eastAsia="Times New Roman" w:hint="default"/>
        </w:rPr>
        <w:t>2</w:t>
      </w:r>
      <w:r>
        <w:rPr/>
        <w:t>）支付的其他与经营活动有关的现金</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研究与开发费</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24,386,672.65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29,692,772.37</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运输费</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19,974,594.97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17,350,532.91</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12,189,669.39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5,214,470.77</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9,404,046.98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7,947,532.43</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押金及保证金</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12,229,480.00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6,320,227.00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8,425,291.65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8,259,575.19</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8,339,973.11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6,509,423.22</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第三方机构服务费</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7,633,749.66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8,402,331.88</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租赁及物业费</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6,348,822.52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5,567,812.81</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支付</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个月以上保函保证金额</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4,716,990.39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3,945,311.42</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广告宣传费</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4,124,262.04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3,255,233.69</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1,504,592.08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1,728,348.65</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销售佣金</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1,440,167.60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1,287,117.93</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银行手续费</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427,959.16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537,006.99</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捐赠支出</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141,936.49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755,725.00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121,288,208.69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106,773,422.26</w:t>
            </w:r>
          </w:p>
        </w:tc>
      </w:tr>
    </w:tbl>
    <w:p>
      <w:pPr>
        <w:pStyle w:val="BodyText"/>
        <w:spacing w:line="240" w:lineRule="auto" w:before="50"/>
        <w:ind w:right="0"/>
        <w:jc w:val="left"/>
      </w:pPr>
      <w:r>
        <w:rPr/>
        <w:t>支付的其他与经营活动有关的现金说明：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t>（</w:t>
      </w:r>
      <w:r>
        <w:rPr>
          <w:rFonts w:ascii="Times New Roman" w:hAnsi="Times New Roman" w:cs="Times New Roman" w:eastAsia="Times New Roman" w:hint="default"/>
        </w:rPr>
        <w:t>3</w:t>
      </w:r>
      <w:r>
        <w:rPr/>
        <w:t>）收到的其他与投资活动有关的现金</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pStyle w:val="BodyText"/>
        <w:spacing w:line="240" w:lineRule="auto" w:before="49"/>
        <w:ind w:right="0"/>
        <w:jc w:val="left"/>
      </w:pPr>
      <w:r>
        <w:rPr/>
        <w:t>收到的其他与投资活动有关的现金说明：</w:t>
      </w:r>
    </w:p>
    <w:p>
      <w:pPr>
        <w:spacing w:after="0" w:line="240" w:lineRule="auto"/>
        <w:jc w:val="left"/>
        <w:sectPr>
          <w:pgSz w:w="11910" w:h="16840"/>
          <w:pgMar w:header="906" w:footer="1018" w:top="1100" w:bottom="1200" w:left="1020" w:right="0"/>
        </w:sectPr>
      </w:pPr>
    </w:p>
    <w:p>
      <w:pPr>
        <w:spacing w:line="240" w:lineRule="auto" w:before="9"/>
        <w:rPr>
          <w:rFonts w:ascii="宋体" w:hAnsi="宋体" w:cs="宋体" w:eastAsia="宋体" w:hint="default"/>
          <w:sz w:val="21"/>
          <w:szCs w:val="21"/>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4</w:t>
      </w:r>
      <w:r>
        <w:rPr/>
        <w:t>）支付的其他与投资活动有关的现金</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pStyle w:val="BodyText"/>
        <w:spacing w:line="240" w:lineRule="auto" w:before="49"/>
        <w:ind w:right="0"/>
        <w:jc w:val="left"/>
      </w:pPr>
      <w:r>
        <w:rPr/>
        <w:t>支付的其他与投资活动有关的现金说明：</w:t>
      </w:r>
    </w:p>
    <w:p>
      <w:pPr>
        <w:spacing w:line="240" w:lineRule="auto" w:before="13"/>
        <w:rPr>
          <w:rFonts w:ascii="宋体" w:hAnsi="宋体" w:cs="宋体" w:eastAsia="宋体" w:hint="default"/>
          <w:sz w:val="26"/>
          <w:szCs w:val="26"/>
        </w:rPr>
      </w:pPr>
    </w:p>
    <w:p>
      <w:pPr>
        <w:pStyle w:val="Heading3"/>
        <w:spacing w:line="240" w:lineRule="auto"/>
        <w:ind w:right="0"/>
        <w:jc w:val="left"/>
        <w:rPr>
          <w:b w:val="0"/>
          <w:bCs w:val="0"/>
        </w:rPr>
      </w:pPr>
      <w:r>
        <w:rPr/>
        <w:t>（</w:t>
      </w:r>
      <w:r>
        <w:rPr>
          <w:rFonts w:ascii="Times New Roman" w:hAnsi="Times New Roman" w:cs="Times New Roman" w:eastAsia="Times New Roman" w:hint="default"/>
        </w:rPr>
        <w:t>5</w:t>
      </w:r>
      <w:r>
        <w:rPr/>
        <w:t>）收到的其他与筹资活动有关的现金</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pStyle w:val="BodyText"/>
        <w:spacing w:line="240" w:lineRule="auto" w:before="49"/>
        <w:ind w:right="0"/>
        <w:jc w:val="left"/>
      </w:pPr>
      <w:r>
        <w:rPr/>
        <w:t>收到的其他与筹资活动有关的现金说明：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t>（</w:t>
      </w:r>
      <w:r>
        <w:rPr>
          <w:rFonts w:ascii="Times New Roman" w:hAnsi="Times New Roman" w:cs="Times New Roman" w:eastAsia="Times New Roman" w:hint="default"/>
        </w:rPr>
        <w:t>6</w:t>
      </w:r>
      <w:r>
        <w:rPr/>
        <w:t>）支付的其他与筹资活动有关的现金</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股票回购款项</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53,009,074.03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46,010,428.76</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53,009,074.03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46,010,428.76</w:t>
            </w:r>
          </w:p>
        </w:tc>
      </w:tr>
    </w:tbl>
    <w:p>
      <w:pPr>
        <w:pStyle w:val="BodyText"/>
        <w:spacing w:line="240" w:lineRule="auto" w:before="49"/>
        <w:ind w:right="0"/>
        <w:jc w:val="left"/>
      </w:pPr>
      <w:r>
        <w:rPr/>
        <w:t>支付的其他与筹资活动有关的现金说明：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79</w:t>
      </w:r>
      <w:r>
        <w:rPr/>
        <w:t>、现金流量表补充资料</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r>
        <w:rPr/>
        <w:t>（</w:t>
      </w:r>
      <w:r>
        <w:rPr>
          <w:rFonts w:ascii="Times New Roman" w:hAnsi="Times New Roman" w:cs="Times New Roman" w:eastAsia="Times New Roman" w:hint="default"/>
        </w:rPr>
        <w:t>1</w:t>
      </w:r>
      <w:r>
        <w:rPr/>
        <w:t>）现金流量表补充资料</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327"/>
        <w:gridCol w:w="3057"/>
        <w:gridCol w:w="3184"/>
      </w:tblGrid>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补充资料</w:t>
            </w:r>
          </w:p>
        </w:tc>
        <w:tc>
          <w:tcPr>
            <w:tcW w:w="305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31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401" w:hRule="exact"/>
        </w:trPr>
        <w:tc>
          <w:tcPr>
            <w:tcW w:w="33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62"/>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．将净利润调节为经营活动现金流量：</w:t>
            </w:r>
          </w:p>
        </w:tc>
        <w:tc>
          <w:tcPr>
            <w:tcW w:w="305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0"/>
              <w:ind w:right="0"/>
              <w:jc w:val="center"/>
              <w:rPr>
                <w:rFonts w:ascii="Times New Roman" w:hAnsi="Times New Roman" w:cs="Times New Roman" w:eastAsia="Times New Roman" w:hint="default"/>
                <w:sz w:val="18"/>
                <w:szCs w:val="18"/>
              </w:rPr>
            </w:pPr>
            <w:r>
              <w:rPr>
                <w:rFonts w:ascii="Times New Roman"/>
                <w:sz w:val="18"/>
              </w:rPr>
              <w:t>--</w:t>
            </w:r>
          </w:p>
        </w:tc>
        <w:tc>
          <w:tcPr>
            <w:tcW w:w="31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0"/>
              <w:ind w:left="1" w:right="0"/>
              <w:jc w:val="center"/>
              <w:rPr>
                <w:rFonts w:ascii="Times New Roman" w:hAnsi="Times New Roman" w:cs="Times New Roman" w:eastAsia="Times New Roman" w:hint="default"/>
                <w:sz w:val="18"/>
                <w:szCs w:val="18"/>
              </w:rPr>
            </w:pPr>
            <w:r>
              <w:rPr>
                <w:rFonts w:ascii="Times New Roman"/>
                <w:sz w:val="18"/>
              </w:rPr>
              <w:t>--</w:t>
            </w:r>
          </w:p>
        </w:tc>
      </w:tr>
      <w:tr>
        <w:trPr>
          <w:trHeight w:val="403" w:hRule="exact"/>
        </w:trPr>
        <w:tc>
          <w:tcPr>
            <w:tcW w:w="33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87,033,117.24</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147,632,268.11</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18,674,576.15</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6,425,026.28</w:t>
            </w:r>
          </w:p>
        </w:tc>
      </w:tr>
      <w:tr>
        <w:trPr>
          <w:trHeight w:val="714" w:hRule="exact"/>
        </w:trPr>
        <w:tc>
          <w:tcPr>
            <w:tcW w:w="33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02" w:right="11" w:firstLine="720"/>
              <w:jc w:val="left"/>
              <w:rPr>
                <w:rFonts w:ascii="宋体" w:hAnsi="宋体" w:cs="宋体" w:eastAsia="宋体" w:hint="default"/>
                <w:sz w:val="18"/>
                <w:szCs w:val="18"/>
              </w:rPr>
            </w:pPr>
            <w:r>
              <w:rPr>
                <w:rFonts w:ascii="宋体" w:hAnsi="宋体" w:cs="宋体" w:eastAsia="宋体" w:hint="default"/>
                <w:spacing w:val="-3"/>
                <w:sz w:val="18"/>
                <w:szCs w:val="18"/>
              </w:rPr>
              <w:t>固定资产折旧、油气资产折耗、</w:t>
            </w:r>
            <w:r>
              <w:rPr>
                <w:rFonts w:ascii="宋体" w:hAnsi="宋体" w:cs="宋体" w:eastAsia="宋体" w:hint="default"/>
                <w:sz w:val="18"/>
                <w:szCs w:val="18"/>
              </w:rPr>
              <w:t> 生产性生物资产折旧</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27,428,304.78</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35,290,807.29</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822"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21,701,145.71</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21,079,929.97</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822"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1,769,911.84</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1,100,777.98</w:t>
            </w:r>
          </w:p>
        </w:tc>
      </w:tr>
      <w:tr>
        <w:trPr>
          <w:trHeight w:val="1026" w:hRule="exact"/>
        </w:trPr>
        <w:tc>
          <w:tcPr>
            <w:tcW w:w="33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02" w:right="152" w:firstLine="720"/>
              <w:jc w:val="both"/>
              <w:rPr>
                <w:rFonts w:ascii="宋体" w:hAnsi="宋体" w:cs="宋体" w:eastAsia="宋体" w:hint="default"/>
                <w:sz w:val="18"/>
                <w:szCs w:val="18"/>
              </w:rPr>
            </w:pPr>
            <w:r>
              <w:rPr>
                <w:rFonts w:ascii="宋体" w:hAnsi="宋体" w:cs="宋体" w:eastAsia="宋体" w:hint="default"/>
                <w:sz w:val="18"/>
                <w:szCs w:val="18"/>
              </w:rPr>
              <w:t>处置固定资产、无形资产和其 他长期资产的损失（收益以“－”号填 列）</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577,486.26</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-52,214,754.01</w:t>
            </w:r>
            <w:r>
              <w:rPr>
                <w:rFonts w:ascii="Times New Roman"/>
                <w:sz w:val="18"/>
              </w:rPr>
            </w:r>
          </w:p>
        </w:tc>
      </w:tr>
      <w:tr>
        <w:trPr>
          <w:trHeight w:val="714" w:hRule="exact"/>
        </w:trPr>
        <w:tc>
          <w:tcPr>
            <w:tcW w:w="33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822" w:right="0"/>
              <w:jc w:val="left"/>
              <w:rPr>
                <w:rFonts w:ascii="宋体" w:hAnsi="宋体" w:cs="宋体" w:eastAsia="宋体" w:hint="default"/>
                <w:sz w:val="18"/>
                <w:szCs w:val="18"/>
              </w:rPr>
            </w:pPr>
            <w:r>
              <w:rPr>
                <w:rFonts w:ascii="宋体" w:hAnsi="宋体" w:cs="宋体" w:eastAsia="宋体" w:hint="default"/>
                <w:sz w:val="18"/>
                <w:szCs w:val="18"/>
              </w:rPr>
              <w:t>财务费用（收益以“－”号填</w:t>
            </w:r>
          </w:p>
          <w:p>
            <w:pPr>
              <w:pStyle w:val="TableParagraph"/>
              <w:spacing w:line="240" w:lineRule="auto" w:before="76"/>
              <w:ind w:left="102"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59,805.05</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3,227,857.72</w:t>
            </w:r>
          </w:p>
        </w:tc>
      </w:tr>
      <w:tr>
        <w:trPr>
          <w:trHeight w:val="401" w:hRule="exact"/>
        </w:trPr>
        <w:tc>
          <w:tcPr>
            <w:tcW w:w="33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69"/>
              <w:ind w:right="152"/>
              <w:jc w:val="right"/>
              <w:rPr>
                <w:rFonts w:ascii="宋体" w:hAnsi="宋体" w:cs="宋体" w:eastAsia="宋体" w:hint="default"/>
                <w:sz w:val="18"/>
                <w:szCs w:val="18"/>
              </w:rPr>
            </w:pPr>
            <w:r>
              <w:rPr>
                <w:rFonts w:ascii="宋体" w:hAnsi="宋体" w:cs="宋体" w:eastAsia="宋体" w:hint="default"/>
                <w:spacing w:val="-1"/>
                <w:sz w:val="18"/>
                <w:szCs w:val="18"/>
              </w:rPr>
              <w:t>投资损失（收益以“－”号填</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w w:val="95"/>
                <w:sz w:val="18"/>
              </w:rPr>
              <w:t>-16,273,521.96</w:t>
            </w:r>
            <w:r>
              <w:rPr>
                <w:rFonts w:ascii="Times New Roman"/>
                <w:sz w:val="18"/>
              </w:rPr>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w w:val="95"/>
                <w:sz w:val="18"/>
              </w:rPr>
              <w:t>-13,070,592.79</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906" w:footer="1018" w:top="1100" w:bottom="1200" w:left="1020" w:right="0"/>
        </w:sectPr>
      </w:pPr>
    </w:p>
    <w:p>
      <w:pPr>
        <w:spacing w:line="240" w:lineRule="auto" w:before="7"/>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3327"/>
        <w:gridCol w:w="3057"/>
        <w:gridCol w:w="3184"/>
      </w:tblGrid>
      <w:tr>
        <w:trPr>
          <w:trHeight w:val="362" w:hRule="exact"/>
        </w:trPr>
        <w:tc>
          <w:tcPr>
            <w:tcW w:w="33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057" w:type="dxa"/>
            <w:tcBorders>
              <w:top w:val="single" w:sz="4" w:space="0" w:color="000000"/>
              <w:left w:val="single" w:sz="4" w:space="0" w:color="000000"/>
              <w:bottom w:val="single" w:sz="4" w:space="0" w:color="000000"/>
              <w:right w:val="single" w:sz="4" w:space="0" w:color="000000"/>
            </w:tcBorders>
          </w:tcPr>
          <w:p>
            <w:pPr/>
          </w:p>
        </w:tc>
        <w:tc>
          <w:tcPr>
            <w:tcW w:w="318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3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02" w:right="153" w:firstLine="720"/>
              <w:jc w:val="left"/>
              <w:rPr>
                <w:rFonts w:ascii="宋体" w:hAnsi="宋体" w:cs="宋体" w:eastAsia="宋体" w:hint="default"/>
                <w:sz w:val="18"/>
                <w:szCs w:val="18"/>
              </w:rPr>
            </w:pPr>
            <w:r>
              <w:rPr>
                <w:rFonts w:ascii="宋体" w:hAnsi="宋体" w:cs="宋体" w:eastAsia="宋体" w:hint="default"/>
                <w:sz w:val="18"/>
                <w:szCs w:val="18"/>
              </w:rPr>
              <w:t>递延所得税资产减少（增加以 “－”号填列）</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-1,095,407.01</w:t>
            </w:r>
            <w:r>
              <w:rPr>
                <w:rFonts w:ascii="Times New Roman"/>
                <w:sz w:val="18"/>
              </w:rPr>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667,857.21</w:t>
            </w:r>
          </w:p>
        </w:tc>
      </w:tr>
      <w:tr>
        <w:trPr>
          <w:trHeight w:val="714" w:hRule="exact"/>
        </w:trPr>
        <w:tc>
          <w:tcPr>
            <w:tcW w:w="33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49"/>
              <w:ind w:left="102" w:right="153" w:firstLine="720"/>
              <w:jc w:val="left"/>
              <w:rPr>
                <w:rFonts w:ascii="宋体" w:hAnsi="宋体" w:cs="宋体" w:eastAsia="宋体" w:hint="default"/>
                <w:sz w:val="18"/>
                <w:szCs w:val="18"/>
              </w:rPr>
            </w:pPr>
            <w:r>
              <w:rPr>
                <w:rFonts w:ascii="宋体" w:hAnsi="宋体" w:cs="宋体" w:eastAsia="宋体" w:hint="default"/>
                <w:sz w:val="18"/>
                <w:szCs w:val="18"/>
              </w:rPr>
              <w:t>递延所得税负债增加（减少以 “－”号填列）</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-2,662,634.49</w:t>
            </w:r>
            <w:r>
              <w:rPr>
                <w:rFonts w:ascii="Times New Roman"/>
                <w:sz w:val="18"/>
              </w:rPr>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-2,653,465.15</w:t>
            </w:r>
            <w:r>
              <w:rPr>
                <w:rFonts w:ascii="Times New Roman"/>
                <w:sz w:val="18"/>
              </w:rPr>
            </w:r>
          </w:p>
        </w:tc>
      </w:tr>
      <w:tr>
        <w:trPr>
          <w:trHeight w:val="714" w:hRule="exact"/>
        </w:trPr>
        <w:tc>
          <w:tcPr>
            <w:tcW w:w="33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822" w:right="0"/>
              <w:jc w:val="left"/>
              <w:rPr>
                <w:rFonts w:ascii="宋体" w:hAnsi="宋体" w:cs="宋体" w:eastAsia="宋体" w:hint="default"/>
                <w:sz w:val="18"/>
                <w:szCs w:val="18"/>
              </w:rPr>
            </w:pPr>
            <w:r>
              <w:rPr>
                <w:rFonts w:ascii="宋体" w:hAnsi="宋体" w:cs="宋体" w:eastAsia="宋体" w:hint="default"/>
                <w:sz w:val="18"/>
                <w:szCs w:val="18"/>
              </w:rPr>
              <w:t>存货的减少（增加以“－”号</w:t>
            </w:r>
          </w:p>
          <w:p>
            <w:pPr>
              <w:pStyle w:val="TableParagraph"/>
              <w:spacing w:line="240" w:lineRule="auto" w:before="76"/>
              <w:ind w:left="102" w:right="0"/>
              <w:jc w:val="left"/>
              <w:rPr>
                <w:rFonts w:ascii="宋体" w:hAnsi="宋体" w:cs="宋体" w:eastAsia="宋体" w:hint="default"/>
                <w:sz w:val="18"/>
                <w:szCs w:val="18"/>
              </w:rPr>
            </w:pPr>
            <w:r>
              <w:rPr>
                <w:rFonts w:ascii="宋体" w:hAnsi="宋体" w:cs="宋体" w:eastAsia="宋体" w:hint="default"/>
                <w:sz w:val="18"/>
                <w:szCs w:val="18"/>
              </w:rPr>
              <w:t>填列）</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-8,671,750.09</w:t>
            </w:r>
            <w:r>
              <w:rPr>
                <w:rFonts w:ascii="Times New Roman"/>
                <w:sz w:val="18"/>
              </w:rPr>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-40,996,480.25</w:t>
            </w:r>
            <w:r>
              <w:rPr>
                <w:rFonts w:ascii="Times New Roman"/>
                <w:sz w:val="18"/>
              </w:rPr>
            </w:r>
          </w:p>
        </w:tc>
      </w:tr>
      <w:tr>
        <w:trPr>
          <w:trHeight w:val="714" w:hRule="exact"/>
        </w:trPr>
        <w:tc>
          <w:tcPr>
            <w:tcW w:w="33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02" w:right="153" w:firstLine="720"/>
              <w:jc w:val="left"/>
              <w:rPr>
                <w:rFonts w:ascii="宋体" w:hAnsi="宋体" w:cs="宋体" w:eastAsia="宋体" w:hint="default"/>
                <w:sz w:val="18"/>
                <w:szCs w:val="18"/>
              </w:rPr>
            </w:pPr>
            <w:r>
              <w:rPr>
                <w:rFonts w:ascii="宋体" w:hAnsi="宋体" w:cs="宋体" w:eastAsia="宋体" w:hint="default"/>
                <w:sz w:val="18"/>
                <w:szCs w:val="18"/>
              </w:rPr>
              <w:t>经营性应收项目的减少（增加 以“－”号填列）</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-230,394,464.32</w:t>
            </w:r>
            <w:r>
              <w:rPr>
                <w:rFonts w:ascii="Times New Roman"/>
                <w:sz w:val="18"/>
              </w:rPr>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434,970,799.18</w:t>
            </w:r>
          </w:p>
        </w:tc>
      </w:tr>
      <w:tr>
        <w:trPr>
          <w:trHeight w:val="714" w:hRule="exact"/>
        </w:trPr>
        <w:tc>
          <w:tcPr>
            <w:tcW w:w="33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49"/>
              <w:ind w:left="102" w:right="153" w:firstLine="720"/>
              <w:jc w:val="left"/>
              <w:rPr>
                <w:rFonts w:ascii="宋体" w:hAnsi="宋体" w:cs="宋体" w:eastAsia="宋体" w:hint="default"/>
                <w:sz w:val="18"/>
                <w:szCs w:val="18"/>
              </w:rPr>
            </w:pPr>
            <w:r>
              <w:rPr>
                <w:rFonts w:ascii="宋体" w:hAnsi="宋体" w:cs="宋体" w:eastAsia="宋体" w:hint="default"/>
                <w:sz w:val="18"/>
                <w:szCs w:val="18"/>
              </w:rPr>
              <w:t>经营性应付项目的增加（减少 以“－”号填列）</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57,401,607.58</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46,783,077.31</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82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-44,451,823.26</w:t>
            </w:r>
            <w:r>
              <w:rPr>
                <w:rFonts w:ascii="Times New Roman"/>
                <w:sz w:val="18"/>
              </w:rPr>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588,243,108.85</w:t>
            </w:r>
          </w:p>
        </w:tc>
      </w:tr>
      <w:tr>
        <w:trPr>
          <w:trHeight w:val="714" w:hRule="exact"/>
        </w:trPr>
        <w:tc>
          <w:tcPr>
            <w:tcW w:w="33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49"/>
              <w:ind w:left="102" w:right="101"/>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．不涉及现金收支的重大投资和筹资活</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动：</w:t>
            </w:r>
          </w:p>
        </w:tc>
        <w:tc>
          <w:tcPr>
            <w:tcW w:w="305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63" w:right="0"/>
              <w:jc w:val="left"/>
              <w:rPr>
                <w:rFonts w:ascii="Times New Roman" w:hAnsi="Times New Roman" w:cs="Times New Roman" w:eastAsia="Times New Roman" w:hint="default"/>
                <w:sz w:val="18"/>
                <w:szCs w:val="18"/>
              </w:rPr>
            </w:pPr>
            <w:r>
              <w:rPr>
                <w:rFonts w:ascii="Times New Roman"/>
                <w:sz w:val="18"/>
              </w:rPr>
              <w:t>--</w:t>
            </w:r>
          </w:p>
        </w:tc>
        <w:tc>
          <w:tcPr>
            <w:tcW w:w="31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27" w:right="0"/>
              <w:jc w:val="left"/>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．现金及现金等价物净变动情况：</w:t>
            </w:r>
          </w:p>
        </w:tc>
        <w:tc>
          <w:tcPr>
            <w:tcW w:w="305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left="1463" w:right="0"/>
              <w:jc w:val="left"/>
              <w:rPr>
                <w:rFonts w:ascii="Times New Roman" w:hAnsi="Times New Roman" w:cs="Times New Roman" w:eastAsia="Times New Roman" w:hint="default"/>
                <w:sz w:val="18"/>
                <w:szCs w:val="18"/>
              </w:rPr>
            </w:pPr>
            <w:r>
              <w:rPr>
                <w:rFonts w:ascii="Times New Roman"/>
                <w:sz w:val="18"/>
              </w:rPr>
              <w:t>--</w:t>
            </w:r>
          </w:p>
        </w:tc>
        <w:tc>
          <w:tcPr>
            <w:tcW w:w="31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left="1527" w:right="0"/>
              <w:jc w:val="left"/>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497,972,770.37</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771,050,604.51</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减：现金的期初余额</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771,050,604.51</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351,632,898.58</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加：现金等价物的期末余额</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886,347.38</w:t>
            </w:r>
          </w:p>
        </w:tc>
        <w:tc>
          <w:tcPr>
            <w:tcW w:w="318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减：现金等价物的期初余额</w:t>
            </w:r>
          </w:p>
        </w:tc>
        <w:tc>
          <w:tcPr>
            <w:tcW w:w="3057" w:type="dxa"/>
            <w:tcBorders>
              <w:top w:val="single" w:sz="4" w:space="0" w:color="000000"/>
              <w:left w:val="single" w:sz="4" w:space="0" w:color="000000"/>
              <w:bottom w:val="single" w:sz="4" w:space="0" w:color="000000"/>
              <w:right w:val="single" w:sz="4" w:space="0" w:color="000000"/>
            </w:tcBorders>
          </w:tcPr>
          <w:p>
            <w:pP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521,455.90</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-272,191,486.76</w:t>
            </w:r>
            <w:r>
              <w:rPr>
                <w:rFonts w:ascii="Times New Roman"/>
                <w:sz w:val="18"/>
              </w:rPr>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418,896,250.03</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2</w:t>
      </w:r>
      <w:r>
        <w:rPr/>
        <w:t>）本期支付的取得子公司的现金净额</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4988"/>
        <w:gridCol w:w="4580"/>
      </w:tblGrid>
      <w:tr>
        <w:trPr>
          <w:trHeight w:val="402" w:hRule="exact"/>
        </w:trPr>
        <w:tc>
          <w:tcPr>
            <w:tcW w:w="4988"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45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金额</w:t>
            </w:r>
          </w:p>
        </w:tc>
      </w:tr>
      <w:tr>
        <w:trPr>
          <w:trHeight w:val="402" w:hRule="exact"/>
        </w:trPr>
        <w:tc>
          <w:tcPr>
            <w:tcW w:w="49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49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49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49"/>
        <w:ind w:right="0"/>
        <w:jc w:val="left"/>
      </w:pPr>
      <w:r>
        <w:rPr/>
        <w:t>其他说明：</w:t>
      </w:r>
    </w:p>
    <w:p>
      <w:pPr>
        <w:spacing w:line="240" w:lineRule="auto" w:before="13"/>
        <w:rPr>
          <w:rFonts w:ascii="宋体" w:hAnsi="宋体" w:cs="宋体" w:eastAsia="宋体" w:hint="default"/>
          <w:sz w:val="26"/>
          <w:szCs w:val="26"/>
        </w:rPr>
      </w:pPr>
    </w:p>
    <w:p>
      <w:pPr>
        <w:pStyle w:val="Heading3"/>
        <w:spacing w:line="240" w:lineRule="auto"/>
        <w:ind w:right="0"/>
        <w:jc w:val="left"/>
        <w:rPr>
          <w:b w:val="0"/>
          <w:bCs w:val="0"/>
        </w:rPr>
      </w:pPr>
      <w:r>
        <w:rPr/>
        <w:t>（</w:t>
      </w:r>
      <w:r>
        <w:rPr>
          <w:rFonts w:ascii="Times New Roman" w:hAnsi="Times New Roman" w:cs="Times New Roman" w:eastAsia="Times New Roman" w:hint="default"/>
        </w:rPr>
        <w:t>3</w:t>
      </w:r>
      <w:r>
        <w:rPr/>
        <w:t>）本期收到的处置子公司的现金净额</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4988"/>
        <w:gridCol w:w="4580"/>
      </w:tblGrid>
      <w:tr>
        <w:trPr>
          <w:trHeight w:val="401" w:hRule="exact"/>
        </w:trPr>
        <w:tc>
          <w:tcPr>
            <w:tcW w:w="4988"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45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金额</w:t>
            </w:r>
          </w:p>
        </w:tc>
      </w:tr>
      <w:tr>
        <w:trPr>
          <w:trHeight w:val="403" w:hRule="exact"/>
        </w:trPr>
        <w:tc>
          <w:tcPr>
            <w:tcW w:w="49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0"/>
              <w:ind w:left="1"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49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0"/>
              <w:ind w:left="1" w:right="0"/>
              <w:jc w:val="center"/>
              <w:rPr>
                <w:rFonts w:ascii="Times New Roman" w:hAnsi="Times New Roman" w:cs="Times New Roman" w:eastAsia="Times New Roman" w:hint="default"/>
                <w:sz w:val="18"/>
                <w:szCs w:val="18"/>
              </w:rPr>
            </w:pPr>
            <w:r>
              <w:rPr>
                <w:rFonts w:ascii="Times New Roman"/>
                <w:sz w:val="18"/>
              </w:rPr>
              <w:t>--</w:t>
            </w:r>
          </w:p>
        </w:tc>
      </w:tr>
      <w:tr>
        <w:trPr>
          <w:trHeight w:val="401" w:hRule="exact"/>
        </w:trPr>
        <w:tc>
          <w:tcPr>
            <w:tcW w:w="49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0"/>
              <w:ind w:left="1"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49"/>
        <w:ind w:right="0"/>
        <w:jc w:val="left"/>
      </w:pPr>
      <w:r>
        <w:rPr/>
        <w:t>其他说明：</w:t>
      </w:r>
    </w:p>
    <w:p>
      <w:pPr>
        <w:spacing w:after="0" w:line="240" w:lineRule="auto"/>
        <w:jc w:val="left"/>
        <w:sectPr>
          <w:pgSz w:w="11910" w:h="16840"/>
          <w:pgMar w:header="906" w:footer="1018" w:top="1100" w:bottom="1200" w:left="1020" w:right="0"/>
        </w:sectPr>
      </w:pPr>
    </w:p>
    <w:p>
      <w:pPr>
        <w:spacing w:line="240" w:lineRule="auto" w:before="9"/>
        <w:rPr>
          <w:rFonts w:ascii="宋体" w:hAnsi="宋体" w:cs="宋体" w:eastAsia="宋体" w:hint="default"/>
          <w:sz w:val="21"/>
          <w:szCs w:val="21"/>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4</w:t>
      </w:r>
      <w:r>
        <w:rPr/>
        <w:t>）现金和现金等价物的构成</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327"/>
        <w:gridCol w:w="3057"/>
        <w:gridCol w:w="3184"/>
      </w:tblGrid>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05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一、现金</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497,972,770.37</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771,050,604.51</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其中：库存现金</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345,269.50</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388,744.51</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642" w:right="0"/>
              <w:jc w:val="left"/>
              <w:rPr>
                <w:rFonts w:ascii="宋体" w:hAnsi="宋体" w:cs="宋体" w:eastAsia="宋体" w:hint="default"/>
                <w:sz w:val="18"/>
                <w:szCs w:val="18"/>
              </w:rPr>
            </w:pPr>
            <w:r>
              <w:rPr>
                <w:rFonts w:ascii="宋体" w:hAnsi="宋体" w:cs="宋体" w:eastAsia="宋体" w:hint="default"/>
                <w:sz w:val="18"/>
                <w:szCs w:val="18"/>
              </w:rPr>
              <w:t>可随时用于支付的银行存款</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497,627,500.87</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765,681,496.00</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642" w:right="0"/>
              <w:jc w:val="left"/>
              <w:rPr>
                <w:rFonts w:ascii="宋体" w:hAnsi="宋体" w:cs="宋体" w:eastAsia="宋体" w:hint="default"/>
                <w:sz w:val="18"/>
                <w:szCs w:val="18"/>
              </w:rPr>
            </w:pPr>
            <w:r>
              <w:rPr>
                <w:rFonts w:ascii="宋体" w:hAnsi="宋体" w:cs="宋体" w:eastAsia="宋体" w:hint="default"/>
                <w:sz w:val="18"/>
                <w:szCs w:val="18"/>
              </w:rPr>
              <w:t>可随时用于支付的其他货币资金</w:t>
            </w:r>
          </w:p>
        </w:tc>
        <w:tc>
          <w:tcPr>
            <w:tcW w:w="3057" w:type="dxa"/>
            <w:tcBorders>
              <w:top w:val="single" w:sz="4" w:space="0" w:color="000000"/>
              <w:left w:val="single" w:sz="4" w:space="0" w:color="000000"/>
              <w:bottom w:val="single" w:sz="4" w:space="0" w:color="000000"/>
              <w:right w:val="single" w:sz="4" w:space="0" w:color="000000"/>
            </w:tcBorders>
          </w:tcPr>
          <w:p>
            <w:pP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4,980,364.00</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二、现金等价物</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886,347.38</w:t>
            </w:r>
          </w:p>
        </w:tc>
        <w:tc>
          <w:tcPr>
            <w:tcW w:w="318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其中：三个月内到期的保函保证金</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886,347.38</w:t>
            </w:r>
          </w:p>
        </w:tc>
        <w:tc>
          <w:tcPr>
            <w:tcW w:w="318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三、期末现金及现金等价物余额</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498,859,117.75</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771,050,604.51</w:t>
            </w:r>
          </w:p>
        </w:tc>
      </w:tr>
    </w:tbl>
    <w:p>
      <w:pPr>
        <w:pStyle w:val="BodyText"/>
        <w:spacing w:line="240" w:lineRule="auto" w:before="49"/>
        <w:ind w:right="0"/>
        <w:jc w:val="left"/>
      </w:pPr>
      <w:r>
        <w:rPr/>
        <w:t>其他说明：</w:t>
      </w:r>
    </w:p>
    <w:p>
      <w:pPr>
        <w:spacing w:line="240" w:lineRule="auto" w:before="13"/>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80</w:t>
      </w:r>
      <w:r>
        <w:rPr/>
        <w:t>、所有者权益变动表项目注释</w:t>
      </w:r>
      <w:r>
        <w:rPr>
          <w:b w:val="0"/>
          <w:bCs w:val="0"/>
        </w:rPr>
      </w:r>
    </w:p>
    <w:p>
      <w:pPr>
        <w:spacing w:line="240" w:lineRule="auto" w:before="6"/>
        <w:rPr>
          <w:rFonts w:ascii="宋体" w:hAnsi="宋体" w:cs="宋体" w:eastAsia="宋体" w:hint="default"/>
          <w:b/>
          <w:bCs/>
          <w:sz w:val="26"/>
          <w:szCs w:val="26"/>
        </w:rPr>
      </w:pPr>
    </w:p>
    <w:p>
      <w:pPr>
        <w:pStyle w:val="BodyText"/>
        <w:spacing w:line="360" w:lineRule="auto"/>
        <w:ind w:right="3322"/>
        <w:jc w:val="left"/>
        <w:rPr>
          <w:rFonts w:ascii="Times New Roman" w:hAnsi="Times New Roman" w:cs="Times New Roman" w:eastAsia="Times New Roman" w:hint="default"/>
        </w:rPr>
      </w:pPr>
      <w:r>
        <w:rPr/>
        <w:t>说明对上年期末余额进行调整的“其他”项目名称及调整金额等事项： 合并所有者权益变动表中对本年发生额额进行调整的</w:t>
      </w:r>
      <w:r>
        <w:rPr>
          <w:rFonts w:ascii="Times New Roman" w:hAnsi="Times New Roman" w:cs="Times New Roman" w:eastAsia="Times New Roman" w:hint="default"/>
        </w:rPr>
        <w:t>“</w:t>
      </w:r>
      <w:r>
        <w:rPr/>
        <w:t>其他</w:t>
      </w:r>
      <w:r>
        <w:rPr>
          <w:rFonts w:ascii="Times New Roman" w:hAnsi="Times New Roman" w:cs="Times New Roman" w:eastAsia="Times New Roman" w:hint="default"/>
        </w:rPr>
        <w:t>”</w:t>
      </w:r>
      <w:r>
        <w:rPr/>
        <w:t>项目形成原因，详见本附注</w:t>
      </w:r>
      <w:r>
        <w:rPr>
          <w:rFonts w:ascii="Times New Roman" w:hAnsi="Times New Roman" w:cs="Times New Roman" w:eastAsia="Times New Roman" w:hint="default"/>
        </w:rPr>
        <w:t>“</w:t>
      </w:r>
      <w:r>
        <w:rPr/>
        <w:t>九、</w:t>
      </w:r>
      <w:r>
        <w:rPr>
          <w:rFonts w:ascii="Times New Roman" w:hAnsi="Times New Roman" w:cs="Times New Roman" w:eastAsia="Times New Roman" w:hint="default"/>
        </w:rPr>
        <w:t>2”</w:t>
      </w:r>
    </w:p>
    <w:p>
      <w:pPr>
        <w:spacing w:line="240" w:lineRule="auto" w:before="9"/>
        <w:rPr>
          <w:rFonts w:ascii="Times New Roman" w:hAnsi="Times New Roman" w:cs="Times New Roman" w:eastAsia="Times New Roman" w:hint="default"/>
          <w:sz w:val="20"/>
          <w:szCs w:val="20"/>
        </w:rPr>
      </w:pPr>
    </w:p>
    <w:p>
      <w:pPr>
        <w:pStyle w:val="Heading3"/>
        <w:spacing w:line="240" w:lineRule="auto"/>
        <w:ind w:right="0"/>
        <w:jc w:val="left"/>
        <w:rPr>
          <w:b w:val="0"/>
          <w:bCs w:val="0"/>
        </w:rPr>
      </w:pPr>
      <w:r>
        <w:rPr>
          <w:rFonts w:ascii="Times New Roman" w:hAnsi="Times New Roman" w:cs="Times New Roman" w:eastAsia="Times New Roman" w:hint="default"/>
        </w:rPr>
        <w:t>81</w:t>
      </w:r>
      <w:r>
        <w:rPr/>
        <w:t>、所有权或使用权受到限制的资产</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327"/>
        <w:gridCol w:w="3057"/>
        <w:gridCol w:w="3184"/>
      </w:tblGrid>
      <w:tr>
        <w:trPr>
          <w:trHeight w:val="401" w:hRule="exact"/>
        </w:trPr>
        <w:tc>
          <w:tcPr>
            <w:tcW w:w="33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05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982" w:right="0"/>
              <w:jc w:val="left"/>
              <w:rPr>
                <w:rFonts w:ascii="宋体" w:hAnsi="宋体" w:cs="宋体" w:eastAsia="宋体" w:hint="default"/>
                <w:sz w:val="18"/>
                <w:szCs w:val="18"/>
              </w:rPr>
            </w:pPr>
            <w:r>
              <w:rPr>
                <w:rFonts w:ascii="宋体" w:hAnsi="宋体" w:cs="宋体" w:eastAsia="宋体" w:hint="default"/>
                <w:sz w:val="18"/>
                <w:szCs w:val="18"/>
              </w:rPr>
              <w:t>期末账面价值</w:t>
            </w:r>
          </w:p>
        </w:tc>
        <w:tc>
          <w:tcPr>
            <w:tcW w:w="31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受限原因</w:t>
            </w:r>
          </w:p>
        </w:tc>
      </w:tr>
      <w:tr>
        <w:trPr>
          <w:trHeight w:val="403" w:hRule="exact"/>
        </w:trPr>
        <w:tc>
          <w:tcPr>
            <w:tcW w:w="33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5,603,337.77</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保函保证金</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74,572,260.22</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抵押（注）</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18,499,611.25</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抵押（注）</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98,675,209.24</w:t>
            </w:r>
          </w:p>
        </w:tc>
        <w:tc>
          <w:tcPr>
            <w:tcW w:w="31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0"/>
              <w:ind w:left="1"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360" w:lineRule="auto" w:before="49"/>
        <w:ind w:right="8502"/>
        <w:jc w:val="left"/>
      </w:pPr>
      <w:r>
        <w:rPr/>
        <w:t>其他说明： 注：详见附注第四节四、3。</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Heading3"/>
        <w:spacing w:line="240" w:lineRule="auto" w:before="143"/>
        <w:ind w:right="0"/>
        <w:jc w:val="left"/>
        <w:rPr>
          <w:b w:val="0"/>
          <w:bCs w:val="0"/>
        </w:rPr>
      </w:pPr>
      <w:r>
        <w:rPr>
          <w:rFonts w:ascii="Times New Roman" w:hAnsi="Times New Roman" w:cs="Times New Roman" w:eastAsia="Times New Roman" w:hint="default"/>
        </w:rPr>
        <w:t>82</w:t>
      </w:r>
      <w:r>
        <w:rPr/>
        <w:t>、外币货币性项目</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r>
        <w:rPr/>
        <w:t>（</w:t>
      </w:r>
      <w:r>
        <w:rPr>
          <w:rFonts w:ascii="Times New Roman" w:hAnsi="Times New Roman" w:cs="Times New Roman" w:eastAsia="Times New Roman" w:hint="default"/>
        </w:rPr>
        <w:t>1</w:t>
      </w:r>
      <w:r>
        <w:rPr/>
        <w:t>）外币货币性项目</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495"/>
        <w:gridCol w:w="2293"/>
        <w:gridCol w:w="2390"/>
        <w:gridCol w:w="2390"/>
      </w:tblGrid>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2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601" w:right="0"/>
              <w:jc w:val="left"/>
              <w:rPr>
                <w:rFonts w:ascii="宋体" w:hAnsi="宋体" w:cs="宋体" w:eastAsia="宋体" w:hint="default"/>
                <w:sz w:val="18"/>
                <w:szCs w:val="18"/>
              </w:rPr>
            </w:pPr>
            <w:r>
              <w:rPr>
                <w:rFonts w:ascii="宋体" w:hAnsi="宋体" w:cs="宋体" w:eastAsia="宋体" w:hint="default"/>
                <w:sz w:val="18"/>
                <w:szCs w:val="18"/>
              </w:rPr>
              <w:t>期末外币余额</w:t>
            </w:r>
          </w:p>
        </w:tc>
        <w:tc>
          <w:tcPr>
            <w:tcW w:w="23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折算汇率</w:t>
            </w:r>
          </w:p>
        </w:tc>
        <w:tc>
          <w:tcPr>
            <w:tcW w:w="23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379" w:right="0"/>
              <w:jc w:val="left"/>
              <w:rPr>
                <w:rFonts w:ascii="宋体" w:hAnsi="宋体" w:cs="宋体" w:eastAsia="宋体" w:hint="default"/>
                <w:sz w:val="18"/>
                <w:szCs w:val="18"/>
              </w:rPr>
            </w:pPr>
            <w:r>
              <w:rPr>
                <w:rFonts w:ascii="宋体" w:hAnsi="宋体" w:cs="宋体" w:eastAsia="宋体" w:hint="default"/>
                <w:sz w:val="18"/>
                <w:szCs w:val="18"/>
              </w:rPr>
              <w:t>期末折算人民币余额</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2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23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c>
          <w:tcPr>
            <w:tcW w:w="23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4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34" w:right="0"/>
              <w:jc w:val="left"/>
              <w:rPr>
                <w:rFonts w:ascii="Times New Roman" w:hAnsi="Times New Roman" w:cs="Times New Roman" w:eastAsia="Times New Roman" w:hint="default"/>
                <w:sz w:val="18"/>
                <w:szCs w:val="18"/>
              </w:rPr>
            </w:pPr>
            <w:r>
              <w:rPr>
                <w:rFonts w:ascii="Times New Roman"/>
                <w:sz w:val="18"/>
              </w:rPr>
              <w:t>4,379,081.00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2" w:right="0"/>
              <w:jc w:val="left"/>
              <w:rPr>
                <w:rFonts w:ascii="Times New Roman" w:hAnsi="Times New Roman" w:cs="Times New Roman" w:eastAsia="Times New Roman" w:hint="default"/>
                <w:sz w:val="18"/>
                <w:szCs w:val="18"/>
              </w:rPr>
            </w:pPr>
            <w:r>
              <w:rPr>
                <w:rFonts w:ascii="Times New Roman"/>
                <w:sz w:val="18"/>
              </w:rPr>
              <w:t>6.976200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41" w:right="0"/>
              <w:jc w:val="left"/>
              <w:rPr>
                <w:rFonts w:ascii="Times New Roman" w:hAnsi="Times New Roman" w:cs="Times New Roman" w:eastAsia="Times New Roman" w:hint="default"/>
                <w:sz w:val="18"/>
                <w:szCs w:val="18"/>
              </w:rPr>
            </w:pPr>
            <w:r>
              <w:rPr>
                <w:rFonts w:ascii="Times New Roman"/>
                <w:sz w:val="18"/>
              </w:rPr>
              <w:t>30,549,344.87</w:t>
            </w:r>
          </w:p>
        </w:tc>
      </w:tr>
    </w:tbl>
    <w:p>
      <w:pPr>
        <w:spacing w:after="0" w:line="240" w:lineRule="auto"/>
        <w:jc w:val="left"/>
        <w:rPr>
          <w:rFonts w:ascii="Times New Roman" w:hAnsi="Times New Roman" w:cs="Times New Roman" w:eastAsia="Times New Roman" w:hint="default"/>
          <w:sz w:val="18"/>
          <w:szCs w:val="18"/>
        </w:rPr>
        <w:sectPr>
          <w:pgSz w:w="11910" w:h="16840"/>
          <w:pgMar w:header="906" w:footer="1018" w:top="1100" w:bottom="1200" w:left="1020" w:right="0"/>
        </w:sectPr>
      </w:pPr>
    </w:p>
    <w:p>
      <w:pPr>
        <w:spacing w:line="240" w:lineRule="auto" w:before="7"/>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495"/>
        <w:gridCol w:w="2293"/>
        <w:gridCol w:w="2390"/>
        <w:gridCol w:w="2390"/>
      </w:tblGrid>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642"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170,290.98</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2" w:right="0"/>
              <w:jc w:val="left"/>
              <w:rPr>
                <w:rFonts w:ascii="Times New Roman" w:hAnsi="Times New Roman" w:cs="Times New Roman" w:eastAsia="Times New Roman" w:hint="default"/>
                <w:sz w:val="18"/>
                <w:szCs w:val="18"/>
              </w:rPr>
            </w:pPr>
            <w:r>
              <w:rPr>
                <w:rFonts w:ascii="Times New Roman"/>
                <w:sz w:val="18"/>
              </w:rPr>
              <w:t>7.815500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1,330,909.15</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642"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293" w:type="dxa"/>
            <w:tcBorders>
              <w:top w:val="single" w:sz="4" w:space="0" w:color="000000"/>
              <w:left w:val="single" w:sz="4" w:space="0" w:color="000000"/>
              <w:bottom w:val="single" w:sz="4" w:space="0" w:color="000000"/>
              <w:right w:val="single" w:sz="4" w:space="0" w:color="000000"/>
            </w:tcBorders>
          </w:tcPr>
          <w:p>
            <w:pPr/>
          </w:p>
        </w:tc>
        <w:tc>
          <w:tcPr>
            <w:tcW w:w="2390" w:type="dxa"/>
            <w:tcBorders>
              <w:top w:val="single" w:sz="4" w:space="0" w:color="000000"/>
              <w:left w:val="single" w:sz="4" w:space="0" w:color="000000"/>
              <w:bottom w:val="single" w:sz="4" w:space="0" w:color="000000"/>
              <w:right w:val="single" w:sz="4" w:space="0" w:color="000000"/>
            </w:tcBorders>
          </w:tcPr>
          <w:p>
            <w:pPr/>
          </w:p>
        </w:tc>
        <w:tc>
          <w:tcPr>
            <w:tcW w:w="23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新加坡元</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42,380.90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2" w:right="0"/>
              <w:jc w:val="left"/>
              <w:rPr>
                <w:rFonts w:ascii="Times New Roman" w:hAnsi="Times New Roman" w:cs="Times New Roman" w:eastAsia="Times New Roman" w:hint="default"/>
                <w:sz w:val="18"/>
                <w:szCs w:val="18"/>
              </w:rPr>
            </w:pPr>
            <w:r>
              <w:rPr>
                <w:rFonts w:ascii="Times New Roman"/>
                <w:sz w:val="18"/>
              </w:rPr>
              <w:t>5.173900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219,274.54</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马来西亚林吉特</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153,211.88</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2" w:right="0"/>
              <w:jc w:val="left"/>
              <w:rPr>
                <w:rFonts w:ascii="Times New Roman" w:hAnsi="Times New Roman" w:cs="Times New Roman" w:eastAsia="Times New Roman" w:hint="default"/>
                <w:sz w:val="18"/>
                <w:szCs w:val="18"/>
              </w:rPr>
            </w:pPr>
            <w:r>
              <w:rPr>
                <w:rFonts w:ascii="Times New Roman"/>
                <w:sz w:val="18"/>
              </w:rPr>
              <w:t>1.698590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260,244.17</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肯尼亚先令</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8,038,847.90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2" w:right="0"/>
              <w:jc w:val="left"/>
              <w:rPr>
                <w:rFonts w:ascii="Times New Roman" w:hAnsi="Times New Roman" w:cs="Times New Roman" w:eastAsia="Times New Roman" w:hint="default"/>
                <w:sz w:val="18"/>
                <w:szCs w:val="18"/>
              </w:rPr>
            </w:pPr>
            <w:r>
              <w:rPr>
                <w:rFonts w:ascii="Times New Roman"/>
                <w:sz w:val="18"/>
              </w:rPr>
              <w:t>0.068799</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553,064.70</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2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left="1081" w:right="0"/>
              <w:jc w:val="left"/>
              <w:rPr>
                <w:rFonts w:ascii="Times New Roman" w:hAnsi="Times New Roman" w:cs="Times New Roman" w:eastAsia="Times New Roman" w:hint="default"/>
                <w:sz w:val="18"/>
                <w:szCs w:val="18"/>
              </w:rPr>
            </w:pPr>
            <w:r>
              <w:rPr>
                <w:rFonts w:ascii="Times New Roman"/>
                <w:sz w:val="18"/>
              </w:rPr>
              <w:t>--</w:t>
            </w:r>
          </w:p>
        </w:tc>
        <w:tc>
          <w:tcPr>
            <w:tcW w:w="23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1127"/>
              <w:jc w:val="right"/>
              <w:rPr>
                <w:rFonts w:ascii="Times New Roman" w:hAnsi="Times New Roman" w:cs="Times New Roman" w:eastAsia="Times New Roman" w:hint="default"/>
                <w:sz w:val="18"/>
                <w:szCs w:val="18"/>
              </w:rPr>
            </w:pPr>
            <w:r>
              <w:rPr>
                <w:rFonts w:ascii="Times New Roman"/>
                <w:sz w:val="18"/>
              </w:rPr>
              <w:t>--</w:t>
            </w:r>
          </w:p>
        </w:tc>
        <w:tc>
          <w:tcPr>
            <w:tcW w:w="23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3,033,829.45</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2" w:right="0"/>
              <w:jc w:val="left"/>
              <w:rPr>
                <w:rFonts w:ascii="Times New Roman" w:hAnsi="Times New Roman" w:cs="Times New Roman" w:eastAsia="Times New Roman" w:hint="default"/>
                <w:sz w:val="18"/>
                <w:szCs w:val="18"/>
              </w:rPr>
            </w:pPr>
            <w:r>
              <w:rPr>
                <w:rFonts w:ascii="Times New Roman"/>
                <w:sz w:val="18"/>
              </w:rPr>
              <w:t>6.976200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21,164,601.01</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642"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32.55</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2" w:right="0"/>
              <w:jc w:val="left"/>
              <w:rPr>
                <w:rFonts w:ascii="Times New Roman" w:hAnsi="Times New Roman" w:cs="Times New Roman" w:eastAsia="Times New Roman" w:hint="default"/>
                <w:sz w:val="18"/>
                <w:szCs w:val="18"/>
              </w:rPr>
            </w:pPr>
            <w:r>
              <w:rPr>
                <w:rFonts w:ascii="Times New Roman"/>
                <w:sz w:val="18"/>
              </w:rPr>
              <w:t>7.815500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254.39</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642"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293" w:type="dxa"/>
            <w:tcBorders>
              <w:top w:val="single" w:sz="4" w:space="0" w:color="000000"/>
              <w:left w:val="single" w:sz="4" w:space="0" w:color="000000"/>
              <w:bottom w:val="single" w:sz="4" w:space="0" w:color="000000"/>
              <w:right w:val="single" w:sz="4" w:space="0" w:color="000000"/>
            </w:tcBorders>
          </w:tcPr>
          <w:p>
            <w:pPr/>
          </w:p>
        </w:tc>
        <w:tc>
          <w:tcPr>
            <w:tcW w:w="2390" w:type="dxa"/>
            <w:tcBorders>
              <w:top w:val="single" w:sz="4" w:space="0" w:color="000000"/>
              <w:left w:val="single" w:sz="4" w:space="0" w:color="000000"/>
              <w:bottom w:val="single" w:sz="4" w:space="0" w:color="000000"/>
              <w:right w:val="single" w:sz="4" w:space="0" w:color="000000"/>
            </w:tcBorders>
          </w:tcPr>
          <w:p>
            <w:pPr/>
          </w:p>
        </w:tc>
        <w:tc>
          <w:tcPr>
            <w:tcW w:w="23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马来西亚林吉特</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188,584.85</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2" w:right="0"/>
              <w:jc w:val="left"/>
              <w:rPr>
                <w:rFonts w:ascii="Times New Roman" w:hAnsi="Times New Roman" w:cs="Times New Roman" w:eastAsia="Times New Roman" w:hint="default"/>
                <w:sz w:val="18"/>
                <w:szCs w:val="18"/>
              </w:rPr>
            </w:pPr>
            <w:r>
              <w:rPr>
                <w:rFonts w:ascii="Times New Roman"/>
                <w:sz w:val="18"/>
              </w:rPr>
              <w:t>1.698590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320,328.34</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22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left="1081" w:right="0"/>
              <w:jc w:val="left"/>
              <w:rPr>
                <w:rFonts w:ascii="Times New Roman" w:hAnsi="Times New Roman" w:cs="Times New Roman" w:eastAsia="Times New Roman" w:hint="default"/>
                <w:sz w:val="18"/>
                <w:szCs w:val="18"/>
              </w:rPr>
            </w:pPr>
            <w:r>
              <w:rPr>
                <w:rFonts w:ascii="Times New Roman"/>
                <w:sz w:val="18"/>
              </w:rPr>
              <w:t>--</w:t>
            </w:r>
          </w:p>
        </w:tc>
        <w:tc>
          <w:tcPr>
            <w:tcW w:w="23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1127"/>
              <w:jc w:val="right"/>
              <w:rPr>
                <w:rFonts w:ascii="Times New Roman" w:hAnsi="Times New Roman" w:cs="Times New Roman" w:eastAsia="Times New Roman" w:hint="default"/>
                <w:sz w:val="18"/>
                <w:szCs w:val="18"/>
              </w:rPr>
            </w:pPr>
            <w:r>
              <w:rPr>
                <w:rFonts w:ascii="Times New Roman"/>
                <w:sz w:val="18"/>
              </w:rPr>
              <w:t>--</w:t>
            </w:r>
          </w:p>
        </w:tc>
        <w:tc>
          <w:tcPr>
            <w:tcW w:w="23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3" w:type="dxa"/>
            <w:tcBorders>
              <w:top w:val="single" w:sz="4" w:space="0" w:color="000000"/>
              <w:left w:val="single" w:sz="4" w:space="0" w:color="000000"/>
              <w:bottom w:val="single" w:sz="4" w:space="0" w:color="000000"/>
              <w:right w:val="single" w:sz="4" w:space="0" w:color="000000"/>
            </w:tcBorders>
          </w:tcPr>
          <w:p>
            <w:pPr/>
          </w:p>
        </w:tc>
        <w:tc>
          <w:tcPr>
            <w:tcW w:w="2390" w:type="dxa"/>
            <w:tcBorders>
              <w:top w:val="single" w:sz="4" w:space="0" w:color="000000"/>
              <w:left w:val="single" w:sz="4" w:space="0" w:color="000000"/>
              <w:bottom w:val="single" w:sz="4" w:space="0" w:color="000000"/>
              <w:right w:val="single" w:sz="4" w:space="0" w:color="000000"/>
            </w:tcBorders>
          </w:tcPr>
          <w:p>
            <w:pPr/>
          </w:p>
        </w:tc>
        <w:tc>
          <w:tcPr>
            <w:tcW w:w="23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642"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2293" w:type="dxa"/>
            <w:tcBorders>
              <w:top w:val="single" w:sz="4" w:space="0" w:color="000000"/>
              <w:left w:val="single" w:sz="4" w:space="0" w:color="000000"/>
              <w:bottom w:val="single" w:sz="4" w:space="0" w:color="000000"/>
              <w:right w:val="single" w:sz="4" w:space="0" w:color="000000"/>
            </w:tcBorders>
          </w:tcPr>
          <w:p>
            <w:pPr/>
          </w:p>
        </w:tc>
        <w:tc>
          <w:tcPr>
            <w:tcW w:w="2390" w:type="dxa"/>
            <w:tcBorders>
              <w:top w:val="single" w:sz="4" w:space="0" w:color="000000"/>
              <w:left w:val="single" w:sz="4" w:space="0" w:color="000000"/>
              <w:bottom w:val="single" w:sz="4" w:space="0" w:color="000000"/>
              <w:right w:val="single" w:sz="4" w:space="0" w:color="000000"/>
            </w:tcBorders>
          </w:tcPr>
          <w:p>
            <w:pPr/>
          </w:p>
        </w:tc>
        <w:tc>
          <w:tcPr>
            <w:tcW w:w="23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642"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293" w:type="dxa"/>
            <w:tcBorders>
              <w:top w:val="single" w:sz="4" w:space="0" w:color="000000"/>
              <w:left w:val="single" w:sz="4" w:space="0" w:color="000000"/>
              <w:bottom w:val="single" w:sz="4" w:space="0" w:color="000000"/>
              <w:right w:val="single" w:sz="4" w:space="0" w:color="000000"/>
            </w:tcBorders>
          </w:tcPr>
          <w:p>
            <w:pPr/>
          </w:p>
        </w:tc>
        <w:tc>
          <w:tcPr>
            <w:tcW w:w="2390" w:type="dxa"/>
            <w:tcBorders>
              <w:top w:val="single" w:sz="4" w:space="0" w:color="000000"/>
              <w:left w:val="single" w:sz="4" w:space="0" w:color="000000"/>
              <w:bottom w:val="single" w:sz="4" w:space="0" w:color="000000"/>
              <w:right w:val="single" w:sz="4" w:space="0" w:color="000000"/>
            </w:tcBorders>
          </w:tcPr>
          <w:p>
            <w:pPr/>
          </w:p>
        </w:tc>
        <w:tc>
          <w:tcPr>
            <w:tcW w:w="23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293" w:type="dxa"/>
            <w:tcBorders>
              <w:top w:val="single" w:sz="4" w:space="0" w:color="000000"/>
              <w:left w:val="single" w:sz="4" w:space="0" w:color="000000"/>
              <w:bottom w:val="single" w:sz="4" w:space="0" w:color="000000"/>
              <w:right w:val="single" w:sz="4" w:space="0" w:color="000000"/>
            </w:tcBorders>
          </w:tcPr>
          <w:p>
            <w:pPr/>
          </w:p>
        </w:tc>
        <w:tc>
          <w:tcPr>
            <w:tcW w:w="2390" w:type="dxa"/>
            <w:tcBorders>
              <w:top w:val="single" w:sz="4" w:space="0" w:color="000000"/>
              <w:left w:val="single" w:sz="4" w:space="0" w:color="000000"/>
              <w:bottom w:val="single" w:sz="4" w:space="0" w:color="000000"/>
              <w:right w:val="single" w:sz="4" w:space="0" w:color="000000"/>
            </w:tcBorders>
          </w:tcPr>
          <w:p>
            <w:pPr/>
          </w:p>
        </w:tc>
        <w:tc>
          <w:tcPr>
            <w:tcW w:w="23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2,018,414.77</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2" w:right="0"/>
              <w:jc w:val="left"/>
              <w:rPr>
                <w:rFonts w:ascii="Times New Roman" w:hAnsi="Times New Roman" w:cs="Times New Roman" w:eastAsia="Times New Roman" w:hint="default"/>
                <w:sz w:val="18"/>
                <w:szCs w:val="18"/>
              </w:rPr>
            </w:pPr>
            <w:r>
              <w:rPr>
                <w:rFonts w:ascii="Times New Roman"/>
                <w:sz w:val="18"/>
              </w:rPr>
              <w:t>6.976200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14,080,865.12</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马来西亚林吉特</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166,636.07</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2" w:right="0"/>
              <w:jc w:val="left"/>
              <w:rPr>
                <w:rFonts w:ascii="Times New Roman" w:hAnsi="Times New Roman" w:cs="Times New Roman" w:eastAsia="Times New Roman" w:hint="default"/>
                <w:sz w:val="18"/>
                <w:szCs w:val="18"/>
              </w:rPr>
            </w:pPr>
            <w:r>
              <w:rPr>
                <w:rFonts w:ascii="Times New Roman"/>
                <w:sz w:val="18"/>
              </w:rPr>
              <w:t>1.698590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283,046.36</w:t>
            </w:r>
          </w:p>
        </w:tc>
      </w:tr>
    </w:tbl>
    <w:p>
      <w:pPr>
        <w:pStyle w:val="BodyText"/>
        <w:spacing w:line="240" w:lineRule="auto" w:before="50"/>
        <w:ind w:right="0"/>
        <w:jc w:val="left"/>
      </w:pPr>
      <w:r>
        <w:rPr/>
        <w:t>其他说明：</w:t>
      </w:r>
    </w:p>
    <w:p>
      <w:pPr>
        <w:spacing w:line="240" w:lineRule="auto" w:before="12"/>
        <w:rPr>
          <w:rFonts w:ascii="宋体" w:hAnsi="宋体" w:cs="宋体" w:eastAsia="宋体" w:hint="default"/>
          <w:sz w:val="26"/>
          <w:szCs w:val="26"/>
        </w:rPr>
      </w:pPr>
    </w:p>
    <w:p>
      <w:pPr>
        <w:pStyle w:val="Heading3"/>
        <w:spacing w:line="259" w:lineRule="auto"/>
        <w:ind w:right="0"/>
        <w:jc w:val="left"/>
        <w:rPr>
          <w:b w:val="0"/>
          <w:bCs w:val="0"/>
        </w:rPr>
      </w:pPr>
      <w:r>
        <w:rPr/>
        <w:t>（</w:t>
      </w:r>
      <w:r>
        <w:rPr>
          <w:rFonts w:ascii="Times New Roman" w:hAnsi="Times New Roman" w:cs="Times New Roman" w:eastAsia="Times New Roman" w:hint="default"/>
        </w:rPr>
        <w:t>2</w:t>
      </w:r>
      <w:r>
        <w:rPr/>
        <w:t>）境外经营实体说明，包括对于重要的境外经营实体，应披露其境外主要经营地、记账本位币及选择</w:t>
      </w:r>
      <w:r>
        <w:rPr>
          <w:spacing w:val="-55"/>
        </w:rPr>
        <w:t> </w:t>
      </w:r>
      <w:r>
        <w:rPr>
          <w:spacing w:val="-55"/>
        </w:rPr>
      </w:r>
      <w:r>
        <w:rPr/>
        <w:t>依据，记账本位币发生变化的还应披露原因。</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3"/>
        <w:rPr>
          <w:rFonts w:ascii="宋体" w:hAnsi="宋体" w:cs="宋体" w:eastAsia="宋体" w:hint="default"/>
          <w:sz w:val="8"/>
          <w:szCs w:val="8"/>
        </w:rPr>
      </w:pPr>
    </w:p>
    <w:tbl>
      <w:tblPr>
        <w:tblW w:w="0" w:type="auto"/>
        <w:jc w:val="left"/>
        <w:tblInd w:w="712" w:type="dxa"/>
        <w:tblLayout w:type="fixed"/>
        <w:tblCellMar>
          <w:top w:w="0" w:type="dxa"/>
          <w:left w:w="0" w:type="dxa"/>
          <w:bottom w:w="0" w:type="dxa"/>
          <w:right w:w="0" w:type="dxa"/>
        </w:tblCellMar>
        <w:tblLook w:val="01E0"/>
      </w:tblPr>
      <w:tblGrid>
        <w:gridCol w:w="3789"/>
        <w:gridCol w:w="1701"/>
        <w:gridCol w:w="2323"/>
      </w:tblGrid>
      <w:tr>
        <w:trPr>
          <w:trHeight w:val="427" w:hRule="exact"/>
        </w:trPr>
        <w:tc>
          <w:tcPr>
            <w:tcW w:w="37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right="1"/>
              <w:jc w:val="center"/>
              <w:rPr>
                <w:rFonts w:ascii="宋体" w:hAnsi="宋体" w:cs="宋体" w:eastAsia="宋体" w:hint="default"/>
                <w:sz w:val="18"/>
                <w:szCs w:val="18"/>
              </w:rPr>
            </w:pPr>
            <w:r>
              <w:rPr>
                <w:rFonts w:ascii="宋体" w:hAnsi="宋体" w:cs="宋体" w:eastAsia="宋体" w:hint="default"/>
                <w:sz w:val="18"/>
                <w:szCs w:val="18"/>
              </w:rPr>
              <w:t>企业名称</w:t>
            </w:r>
          </w:p>
        </w:tc>
        <w:tc>
          <w:tcPr>
            <w:tcW w:w="17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right="1"/>
              <w:jc w:val="center"/>
              <w:rPr>
                <w:rFonts w:ascii="宋体" w:hAnsi="宋体" w:cs="宋体" w:eastAsia="宋体" w:hint="default"/>
                <w:sz w:val="18"/>
                <w:szCs w:val="18"/>
              </w:rPr>
            </w:pPr>
            <w:r>
              <w:rPr>
                <w:rFonts w:ascii="宋体" w:hAnsi="宋体" w:cs="宋体" w:eastAsia="宋体" w:hint="default"/>
                <w:sz w:val="18"/>
                <w:szCs w:val="18"/>
              </w:rPr>
              <w:t>经营地址</w:t>
            </w:r>
          </w:p>
        </w:tc>
        <w:tc>
          <w:tcPr>
            <w:tcW w:w="23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right="1"/>
              <w:jc w:val="center"/>
              <w:rPr>
                <w:rFonts w:ascii="宋体" w:hAnsi="宋体" w:cs="宋体" w:eastAsia="宋体" w:hint="default"/>
                <w:sz w:val="18"/>
                <w:szCs w:val="18"/>
              </w:rPr>
            </w:pPr>
            <w:r>
              <w:rPr>
                <w:rFonts w:ascii="宋体" w:hAnsi="宋体" w:cs="宋体" w:eastAsia="宋体" w:hint="default"/>
                <w:sz w:val="18"/>
                <w:szCs w:val="18"/>
              </w:rPr>
              <w:t>记账本位币</w:t>
            </w:r>
          </w:p>
        </w:tc>
      </w:tr>
      <w:tr>
        <w:trPr>
          <w:trHeight w:val="427" w:hRule="exact"/>
        </w:trPr>
        <w:tc>
          <w:tcPr>
            <w:tcW w:w="37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left="2" w:right="0"/>
              <w:jc w:val="left"/>
              <w:rPr>
                <w:rFonts w:ascii="宋体" w:hAnsi="宋体" w:cs="宋体" w:eastAsia="宋体" w:hint="default"/>
                <w:sz w:val="18"/>
                <w:szCs w:val="18"/>
              </w:rPr>
            </w:pPr>
            <w:r>
              <w:rPr>
                <w:rFonts w:ascii="宋体" w:hAnsi="宋体" w:cs="宋体" w:eastAsia="宋体" w:hint="default"/>
                <w:sz w:val="18"/>
                <w:szCs w:val="18"/>
              </w:rPr>
              <w:t>恒宝国际有限责任公司</w:t>
            </w:r>
          </w:p>
        </w:tc>
        <w:tc>
          <w:tcPr>
            <w:tcW w:w="17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right="1"/>
              <w:jc w:val="center"/>
              <w:rPr>
                <w:rFonts w:ascii="宋体" w:hAnsi="宋体" w:cs="宋体" w:eastAsia="宋体" w:hint="default"/>
                <w:sz w:val="18"/>
                <w:szCs w:val="18"/>
              </w:rPr>
            </w:pPr>
            <w:r>
              <w:rPr>
                <w:rFonts w:ascii="宋体" w:hAnsi="宋体" w:cs="宋体" w:eastAsia="宋体" w:hint="default"/>
                <w:sz w:val="18"/>
                <w:szCs w:val="18"/>
              </w:rPr>
              <w:t>新加坡</w:t>
            </w:r>
          </w:p>
        </w:tc>
        <w:tc>
          <w:tcPr>
            <w:tcW w:w="23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right="1"/>
              <w:jc w:val="center"/>
              <w:rPr>
                <w:rFonts w:ascii="宋体" w:hAnsi="宋体" w:cs="宋体" w:eastAsia="宋体" w:hint="default"/>
                <w:sz w:val="18"/>
                <w:szCs w:val="18"/>
              </w:rPr>
            </w:pPr>
            <w:r>
              <w:rPr>
                <w:rFonts w:ascii="宋体" w:hAnsi="宋体" w:cs="宋体" w:eastAsia="宋体" w:hint="default"/>
                <w:sz w:val="18"/>
                <w:szCs w:val="18"/>
              </w:rPr>
              <w:t>美元</w:t>
            </w:r>
          </w:p>
        </w:tc>
      </w:tr>
      <w:tr>
        <w:trPr>
          <w:trHeight w:val="427" w:hRule="exact"/>
        </w:trPr>
        <w:tc>
          <w:tcPr>
            <w:tcW w:w="37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left="2" w:right="0"/>
              <w:jc w:val="left"/>
              <w:rPr>
                <w:rFonts w:ascii="宋体" w:hAnsi="宋体" w:cs="宋体" w:eastAsia="宋体" w:hint="default"/>
                <w:sz w:val="18"/>
                <w:szCs w:val="18"/>
              </w:rPr>
            </w:pPr>
            <w:r>
              <w:rPr>
                <w:rFonts w:ascii="宋体" w:hAnsi="宋体" w:cs="宋体" w:eastAsia="宋体" w:hint="default"/>
                <w:sz w:val="18"/>
                <w:szCs w:val="18"/>
              </w:rPr>
              <w:t>恒宝科技（印度）私人有限公司</w:t>
            </w:r>
          </w:p>
        </w:tc>
        <w:tc>
          <w:tcPr>
            <w:tcW w:w="17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right="1"/>
              <w:jc w:val="center"/>
              <w:rPr>
                <w:rFonts w:ascii="宋体" w:hAnsi="宋体" w:cs="宋体" w:eastAsia="宋体" w:hint="default"/>
                <w:sz w:val="18"/>
                <w:szCs w:val="18"/>
              </w:rPr>
            </w:pPr>
            <w:r>
              <w:rPr>
                <w:rFonts w:ascii="宋体" w:hAnsi="宋体" w:cs="宋体" w:eastAsia="宋体" w:hint="default"/>
                <w:sz w:val="18"/>
                <w:szCs w:val="18"/>
              </w:rPr>
              <w:t>印度</w:t>
            </w:r>
          </w:p>
        </w:tc>
        <w:tc>
          <w:tcPr>
            <w:tcW w:w="23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right="1"/>
              <w:jc w:val="center"/>
              <w:rPr>
                <w:rFonts w:ascii="宋体" w:hAnsi="宋体" w:cs="宋体" w:eastAsia="宋体" w:hint="default"/>
                <w:sz w:val="18"/>
                <w:szCs w:val="18"/>
              </w:rPr>
            </w:pPr>
            <w:r>
              <w:rPr>
                <w:rFonts w:ascii="宋体" w:hAnsi="宋体" w:cs="宋体" w:eastAsia="宋体" w:hint="default"/>
                <w:sz w:val="18"/>
                <w:szCs w:val="18"/>
              </w:rPr>
              <w:t>印度卢比</w:t>
            </w:r>
          </w:p>
        </w:tc>
      </w:tr>
      <w:tr>
        <w:trPr>
          <w:trHeight w:val="427" w:hRule="exact"/>
        </w:trPr>
        <w:tc>
          <w:tcPr>
            <w:tcW w:w="37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left="2" w:right="0"/>
              <w:jc w:val="left"/>
              <w:rPr>
                <w:rFonts w:ascii="宋体" w:hAnsi="宋体" w:cs="宋体" w:eastAsia="宋体" w:hint="default"/>
                <w:sz w:val="18"/>
                <w:szCs w:val="18"/>
              </w:rPr>
            </w:pPr>
            <w:r>
              <w:rPr>
                <w:rFonts w:ascii="宋体" w:hAnsi="宋体" w:cs="宋体" w:eastAsia="宋体" w:hint="default"/>
                <w:sz w:val="18"/>
                <w:szCs w:val="18"/>
              </w:rPr>
              <w:t>恒宝（中东非洲）有限责任公司</w:t>
            </w:r>
          </w:p>
        </w:tc>
        <w:tc>
          <w:tcPr>
            <w:tcW w:w="17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right="1"/>
              <w:jc w:val="center"/>
              <w:rPr>
                <w:rFonts w:ascii="宋体" w:hAnsi="宋体" w:cs="宋体" w:eastAsia="宋体" w:hint="default"/>
                <w:sz w:val="18"/>
                <w:szCs w:val="18"/>
              </w:rPr>
            </w:pPr>
            <w:r>
              <w:rPr>
                <w:rFonts w:ascii="宋体" w:hAnsi="宋体" w:cs="宋体" w:eastAsia="宋体" w:hint="default"/>
                <w:sz w:val="18"/>
                <w:szCs w:val="18"/>
              </w:rPr>
              <w:t>肯尼亚</w:t>
            </w:r>
          </w:p>
        </w:tc>
        <w:tc>
          <w:tcPr>
            <w:tcW w:w="23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right="1"/>
              <w:jc w:val="center"/>
              <w:rPr>
                <w:rFonts w:ascii="宋体" w:hAnsi="宋体" w:cs="宋体" w:eastAsia="宋体" w:hint="default"/>
                <w:sz w:val="18"/>
                <w:szCs w:val="18"/>
              </w:rPr>
            </w:pPr>
            <w:r>
              <w:rPr>
                <w:rFonts w:ascii="宋体" w:hAnsi="宋体" w:cs="宋体" w:eastAsia="宋体" w:hint="default"/>
                <w:sz w:val="18"/>
                <w:szCs w:val="18"/>
              </w:rPr>
              <w:t>肯尼亚先令</w:t>
            </w:r>
          </w:p>
        </w:tc>
      </w:tr>
      <w:tr>
        <w:trPr>
          <w:trHeight w:val="427" w:hRule="exact"/>
        </w:trPr>
        <w:tc>
          <w:tcPr>
            <w:tcW w:w="37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left="2" w:right="0"/>
              <w:jc w:val="left"/>
              <w:rPr>
                <w:rFonts w:ascii="Times New Roman" w:hAnsi="Times New Roman" w:cs="Times New Roman" w:eastAsia="Times New Roman" w:hint="default"/>
                <w:sz w:val="18"/>
                <w:szCs w:val="18"/>
              </w:rPr>
            </w:pPr>
            <w:r>
              <w:rPr>
                <w:rFonts w:ascii="Times New Roman"/>
                <w:sz w:val="18"/>
              </w:rPr>
              <w:t>Modularsoft Sdn.</w:t>
            </w:r>
            <w:r>
              <w:rPr>
                <w:rFonts w:ascii="Times New Roman"/>
                <w:spacing w:val="-1"/>
                <w:sz w:val="18"/>
              </w:rPr>
              <w:t> </w:t>
            </w:r>
            <w:r>
              <w:rPr>
                <w:rFonts w:ascii="Times New Roman"/>
                <w:sz w:val="18"/>
              </w:rPr>
              <w:t>Bhd.</w:t>
            </w:r>
          </w:p>
        </w:tc>
        <w:tc>
          <w:tcPr>
            <w:tcW w:w="17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right="1"/>
              <w:jc w:val="center"/>
              <w:rPr>
                <w:rFonts w:ascii="宋体" w:hAnsi="宋体" w:cs="宋体" w:eastAsia="宋体" w:hint="default"/>
                <w:sz w:val="18"/>
                <w:szCs w:val="18"/>
              </w:rPr>
            </w:pPr>
            <w:r>
              <w:rPr>
                <w:rFonts w:ascii="宋体" w:hAnsi="宋体" w:cs="宋体" w:eastAsia="宋体" w:hint="default"/>
                <w:sz w:val="18"/>
                <w:szCs w:val="18"/>
              </w:rPr>
              <w:t>马来西亚</w:t>
            </w:r>
          </w:p>
        </w:tc>
        <w:tc>
          <w:tcPr>
            <w:tcW w:w="23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right="1"/>
              <w:jc w:val="center"/>
              <w:rPr>
                <w:rFonts w:ascii="宋体" w:hAnsi="宋体" w:cs="宋体" w:eastAsia="宋体" w:hint="default"/>
                <w:sz w:val="18"/>
                <w:szCs w:val="18"/>
              </w:rPr>
            </w:pPr>
            <w:r>
              <w:rPr>
                <w:rFonts w:ascii="宋体" w:hAnsi="宋体" w:cs="宋体" w:eastAsia="宋体" w:hint="default"/>
                <w:sz w:val="18"/>
                <w:szCs w:val="18"/>
              </w:rPr>
              <w:t>林吉特</w:t>
            </w:r>
          </w:p>
        </w:tc>
      </w:tr>
      <w:tr>
        <w:trPr>
          <w:trHeight w:val="427" w:hRule="exact"/>
        </w:trPr>
        <w:tc>
          <w:tcPr>
            <w:tcW w:w="37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left="2" w:right="0"/>
              <w:jc w:val="left"/>
              <w:rPr>
                <w:rFonts w:ascii="Times New Roman" w:hAnsi="Times New Roman" w:cs="Times New Roman" w:eastAsia="Times New Roman" w:hint="default"/>
                <w:sz w:val="18"/>
                <w:szCs w:val="18"/>
              </w:rPr>
            </w:pPr>
            <w:r>
              <w:rPr>
                <w:rFonts w:ascii="Times New Roman"/>
                <w:sz w:val="18"/>
              </w:rPr>
              <w:t>Asia Smart Cards Centre(M)</w:t>
            </w:r>
            <w:r>
              <w:rPr>
                <w:rFonts w:ascii="Times New Roman"/>
                <w:spacing w:val="-4"/>
                <w:sz w:val="18"/>
              </w:rPr>
              <w:t> </w:t>
            </w:r>
            <w:r>
              <w:rPr>
                <w:rFonts w:ascii="Times New Roman"/>
                <w:sz w:val="18"/>
              </w:rPr>
              <w:t>Sdn.Bhd.</w:t>
            </w:r>
          </w:p>
        </w:tc>
        <w:tc>
          <w:tcPr>
            <w:tcW w:w="17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right="1"/>
              <w:jc w:val="center"/>
              <w:rPr>
                <w:rFonts w:ascii="宋体" w:hAnsi="宋体" w:cs="宋体" w:eastAsia="宋体" w:hint="default"/>
                <w:sz w:val="18"/>
                <w:szCs w:val="18"/>
              </w:rPr>
            </w:pPr>
            <w:r>
              <w:rPr>
                <w:rFonts w:ascii="宋体" w:hAnsi="宋体" w:cs="宋体" w:eastAsia="宋体" w:hint="default"/>
                <w:sz w:val="18"/>
                <w:szCs w:val="18"/>
              </w:rPr>
              <w:t>马来西亚</w:t>
            </w:r>
          </w:p>
        </w:tc>
        <w:tc>
          <w:tcPr>
            <w:tcW w:w="23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right="1"/>
              <w:jc w:val="center"/>
              <w:rPr>
                <w:rFonts w:ascii="宋体" w:hAnsi="宋体" w:cs="宋体" w:eastAsia="宋体" w:hint="default"/>
                <w:sz w:val="18"/>
                <w:szCs w:val="18"/>
              </w:rPr>
            </w:pPr>
            <w:r>
              <w:rPr>
                <w:rFonts w:ascii="宋体" w:hAnsi="宋体" w:cs="宋体" w:eastAsia="宋体" w:hint="default"/>
                <w:sz w:val="18"/>
                <w:szCs w:val="18"/>
              </w:rPr>
              <w:t>林吉特</w:t>
            </w:r>
          </w:p>
        </w:tc>
      </w:tr>
    </w:tbl>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2"/>
          <w:szCs w:val="22"/>
        </w:rPr>
      </w:pPr>
    </w:p>
    <w:p>
      <w:pPr>
        <w:pStyle w:val="Heading3"/>
        <w:spacing w:line="240" w:lineRule="auto" w:before="35"/>
        <w:ind w:right="0"/>
        <w:jc w:val="left"/>
        <w:rPr>
          <w:b w:val="0"/>
          <w:bCs w:val="0"/>
        </w:rPr>
      </w:pPr>
      <w:r>
        <w:rPr>
          <w:rFonts w:ascii="Times New Roman" w:hAnsi="Times New Roman" w:cs="Times New Roman" w:eastAsia="Times New Roman" w:hint="default"/>
        </w:rPr>
        <w:t>83</w:t>
      </w:r>
      <w:r>
        <w:rPr/>
        <w:t>、套期</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按照套期类别披露套期项目及相关套期工具、被套期风险的定性和定量信息：</w:t>
      </w:r>
    </w:p>
    <w:p>
      <w:pPr>
        <w:spacing w:after="0" w:line="240" w:lineRule="auto"/>
        <w:jc w:val="left"/>
        <w:sectPr>
          <w:pgSz w:w="11910" w:h="16840"/>
          <w:pgMar w:header="906" w:footer="1018" w:top="1100" w:bottom="1200" w:left="1020" w:right="0"/>
        </w:sectPr>
      </w:pPr>
    </w:p>
    <w:p>
      <w:pPr>
        <w:spacing w:line="240" w:lineRule="auto" w:before="9"/>
        <w:rPr>
          <w:rFonts w:ascii="宋体" w:hAnsi="宋体" w:cs="宋体" w:eastAsia="宋体" w:hint="default"/>
          <w:sz w:val="21"/>
          <w:szCs w:val="21"/>
        </w:rPr>
      </w:pPr>
    </w:p>
    <w:p>
      <w:pPr>
        <w:pStyle w:val="Heading3"/>
        <w:spacing w:line="240" w:lineRule="auto" w:before="35"/>
        <w:ind w:right="0"/>
        <w:jc w:val="left"/>
        <w:rPr>
          <w:b w:val="0"/>
          <w:bCs w:val="0"/>
        </w:rPr>
      </w:pPr>
      <w:r>
        <w:rPr>
          <w:rFonts w:ascii="Times New Roman" w:hAnsi="Times New Roman" w:cs="Times New Roman" w:eastAsia="Times New Roman" w:hint="default"/>
        </w:rPr>
        <w:t>84</w:t>
      </w:r>
      <w:r>
        <w:rPr/>
        <w:t>、政府补助</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t>（</w:t>
      </w:r>
      <w:r>
        <w:rPr>
          <w:rFonts w:ascii="Times New Roman" w:hAnsi="Times New Roman" w:cs="Times New Roman" w:eastAsia="Times New Roman" w:hint="default"/>
        </w:rPr>
        <w:t>1</w:t>
      </w:r>
      <w:r>
        <w:rPr/>
        <w:t>）政府补助基本情况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92"/>
        <w:gridCol w:w="2392"/>
        <w:gridCol w:w="2392"/>
        <w:gridCol w:w="2392"/>
      </w:tblGrid>
      <w:tr>
        <w:trPr>
          <w:trHeight w:val="401" w:hRule="exact"/>
        </w:trPr>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种类</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列报项目</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381" w:right="0"/>
              <w:jc w:val="left"/>
              <w:rPr>
                <w:rFonts w:ascii="宋体" w:hAnsi="宋体" w:cs="宋体" w:eastAsia="宋体" w:hint="default"/>
                <w:sz w:val="18"/>
                <w:szCs w:val="18"/>
              </w:rPr>
            </w:pPr>
            <w:r>
              <w:rPr>
                <w:rFonts w:ascii="宋体" w:hAnsi="宋体" w:cs="宋体" w:eastAsia="宋体" w:hint="default"/>
                <w:sz w:val="18"/>
                <w:szCs w:val="18"/>
              </w:rPr>
              <w:t>计入当期损益的金额</w:t>
            </w:r>
          </w:p>
        </w:tc>
      </w:tr>
      <w:tr>
        <w:trPr>
          <w:trHeight w:val="715"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2" w:right="117"/>
              <w:jc w:val="left"/>
              <w:rPr>
                <w:rFonts w:ascii="宋体" w:hAnsi="宋体" w:cs="宋体" w:eastAsia="宋体" w:hint="default"/>
                <w:sz w:val="18"/>
                <w:szCs w:val="18"/>
              </w:rPr>
            </w:pPr>
            <w:r>
              <w:rPr>
                <w:rFonts w:ascii="宋体" w:hAnsi="宋体" w:cs="宋体" w:eastAsia="宋体" w:hint="default"/>
                <w:sz w:val="18"/>
                <w:szCs w:val="18"/>
              </w:rPr>
              <w:t>省级工业和信息产业转型升 级专项资金</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1,600,000.00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1,600,000.00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102" w:right="117"/>
              <w:jc w:val="left"/>
              <w:rPr>
                <w:rFonts w:ascii="宋体" w:hAnsi="宋体" w:cs="宋体" w:eastAsia="宋体" w:hint="default"/>
                <w:sz w:val="18"/>
                <w:szCs w:val="18"/>
              </w:rPr>
            </w:pPr>
            <w:r>
              <w:rPr>
                <w:rFonts w:ascii="宋体" w:hAnsi="宋体" w:cs="宋体" w:eastAsia="宋体" w:hint="default"/>
                <w:sz w:val="18"/>
                <w:szCs w:val="18"/>
              </w:rPr>
              <w:t>企业研究开发费用省级财政 资金奖励</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1,000,000.00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2" w:right="117"/>
              <w:jc w:val="left"/>
              <w:rPr>
                <w:rFonts w:ascii="宋体" w:hAnsi="宋体" w:cs="宋体" w:eastAsia="宋体" w:hint="default"/>
                <w:sz w:val="18"/>
                <w:szCs w:val="18"/>
              </w:rPr>
            </w:pPr>
            <w:r>
              <w:rPr>
                <w:rFonts w:ascii="宋体" w:hAnsi="宋体" w:cs="宋体" w:eastAsia="宋体" w:hint="default"/>
                <w:sz w:val="18"/>
                <w:szCs w:val="18"/>
              </w:rPr>
              <w:t>深圳市企业研究开发补助资 金</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676,000.00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676,000.00</w:t>
            </w:r>
          </w:p>
        </w:tc>
      </w:tr>
      <w:tr>
        <w:trPr>
          <w:trHeight w:val="1026"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2" w:right="117"/>
              <w:jc w:val="both"/>
              <w:rPr>
                <w:rFonts w:ascii="宋体" w:hAnsi="宋体" w:cs="宋体" w:eastAsia="宋体" w:hint="default"/>
                <w:sz w:val="18"/>
                <w:szCs w:val="18"/>
              </w:rPr>
            </w:pPr>
            <w:r>
              <w:rPr>
                <w:rFonts w:ascii="宋体" w:hAnsi="宋体" w:cs="宋体" w:eastAsia="宋体" w:hint="default"/>
                <w:sz w:val="18"/>
                <w:szCs w:val="18"/>
              </w:rPr>
              <w:t>江苏省丹阳高新技术产业开 发区科技发展资助类项目资 金</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470,000.00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470,000.00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102" w:right="207"/>
              <w:jc w:val="left"/>
              <w:rPr>
                <w:rFonts w:ascii="宋体" w:hAnsi="宋体" w:cs="宋体" w:eastAsia="宋体" w:hint="default"/>
                <w:sz w:val="18"/>
                <w:szCs w:val="18"/>
              </w:rPr>
            </w:pPr>
            <w:r>
              <w:rPr>
                <w:rFonts w:ascii="宋体" w:hAnsi="宋体" w:cs="宋体" w:eastAsia="宋体" w:hint="default"/>
                <w:sz w:val="18"/>
                <w:szCs w:val="18"/>
              </w:rPr>
              <w:t>深圳市龙华区</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年科技 创新专项资金</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450,200.00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450,200.00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102" w:right="117"/>
              <w:jc w:val="left"/>
              <w:rPr>
                <w:rFonts w:ascii="宋体" w:hAnsi="宋体" w:cs="宋体" w:eastAsia="宋体" w:hint="default"/>
                <w:sz w:val="18"/>
                <w:szCs w:val="18"/>
              </w:rPr>
            </w:pPr>
            <w:r>
              <w:rPr>
                <w:rFonts w:ascii="宋体" w:hAnsi="宋体" w:cs="宋体" w:eastAsia="宋体" w:hint="default"/>
                <w:sz w:val="18"/>
                <w:szCs w:val="18"/>
              </w:rPr>
              <w:t>促进制造业与互联网融合发 展的大数据项目补助资金</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400,000.00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2" w:right="117"/>
              <w:jc w:val="left"/>
              <w:rPr>
                <w:rFonts w:ascii="宋体" w:hAnsi="宋体" w:cs="宋体" w:eastAsia="宋体" w:hint="default"/>
                <w:sz w:val="18"/>
                <w:szCs w:val="18"/>
              </w:rPr>
            </w:pPr>
            <w:r>
              <w:rPr>
                <w:rFonts w:ascii="宋体" w:hAnsi="宋体" w:cs="宋体" w:eastAsia="宋体" w:hint="default"/>
                <w:sz w:val="18"/>
                <w:szCs w:val="18"/>
              </w:rPr>
              <w:t>深圳市龙华区国家高新技术 企业认定奖励资金</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380,000.00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380,000.00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2" w:right="117"/>
              <w:jc w:val="left"/>
              <w:rPr>
                <w:rFonts w:ascii="宋体" w:hAnsi="宋体" w:cs="宋体" w:eastAsia="宋体" w:hint="default"/>
                <w:sz w:val="18"/>
                <w:szCs w:val="18"/>
              </w:rPr>
            </w:pPr>
            <w:r>
              <w:rPr>
                <w:rFonts w:ascii="宋体" w:hAnsi="宋体" w:cs="宋体" w:eastAsia="宋体" w:hint="default"/>
                <w:sz w:val="18"/>
                <w:szCs w:val="18"/>
              </w:rPr>
              <w:t>知识产权战略推进计划补助 资金</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180,000.00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180,000.00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稳岗补贴</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169,409.82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169,409.82</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2" w:right="117"/>
              <w:jc w:val="left"/>
              <w:rPr>
                <w:rFonts w:ascii="宋体" w:hAnsi="宋体" w:cs="宋体" w:eastAsia="宋体" w:hint="default"/>
                <w:sz w:val="18"/>
                <w:szCs w:val="18"/>
              </w:rPr>
            </w:pPr>
            <w:r>
              <w:rPr>
                <w:rFonts w:ascii="宋体" w:hAnsi="宋体" w:cs="宋体" w:eastAsia="宋体" w:hint="default"/>
                <w:sz w:val="18"/>
                <w:szCs w:val="18"/>
              </w:rPr>
              <w:t>丹阳市市场监督管理局质量 发展奖励资金</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130,000.00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130,000.00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省科学技术奖配套奖励资金</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100,000.00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102" w:right="117"/>
              <w:jc w:val="left"/>
              <w:rPr>
                <w:rFonts w:ascii="宋体" w:hAnsi="宋体" w:cs="宋体" w:eastAsia="宋体" w:hint="default"/>
                <w:sz w:val="18"/>
                <w:szCs w:val="18"/>
              </w:rPr>
            </w:pPr>
            <w:r>
              <w:rPr>
                <w:rFonts w:ascii="Times New Roman" w:hAnsi="Times New Roman" w:cs="Times New Roman" w:eastAsia="Times New Roman" w:hint="default"/>
                <w:sz w:val="18"/>
                <w:szCs w:val="18"/>
              </w:rPr>
              <w:t>5G</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移动通信网络身份识别 模块研发及产业化补助资金</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87,500.00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87,500.00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102" w:right="117"/>
              <w:jc w:val="left"/>
              <w:rPr>
                <w:rFonts w:ascii="宋体" w:hAnsi="宋体" w:cs="宋体" w:eastAsia="宋体" w:hint="default"/>
                <w:sz w:val="18"/>
                <w:szCs w:val="18"/>
              </w:rPr>
            </w:pPr>
            <w:r>
              <w:rPr>
                <w:rFonts w:ascii="宋体" w:hAnsi="宋体" w:cs="宋体" w:eastAsia="宋体" w:hint="default"/>
                <w:sz w:val="18"/>
                <w:szCs w:val="18"/>
              </w:rPr>
              <w:t>云会员移动互联网营销服务 平台补助资金</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70,845.00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70,845.00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高新技术企业培育奖励资金</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50,000.00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50,000.00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102" w:right="117"/>
              <w:jc w:val="left"/>
              <w:rPr>
                <w:rFonts w:ascii="宋体" w:hAnsi="宋体" w:cs="宋体" w:eastAsia="宋体" w:hint="default"/>
                <w:sz w:val="18"/>
                <w:szCs w:val="18"/>
              </w:rPr>
            </w:pPr>
            <w:r>
              <w:rPr>
                <w:rFonts w:ascii="宋体" w:hAnsi="宋体" w:cs="宋体" w:eastAsia="宋体" w:hint="default"/>
                <w:sz w:val="18"/>
                <w:szCs w:val="18"/>
              </w:rPr>
              <w:t>促进总部经济发展的企业奖 励资金</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162,551.95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162,551.95</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中小企业国际市场开拓资金</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80,000.00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80,000.00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102" w:right="117"/>
              <w:jc w:val="left"/>
              <w:rPr>
                <w:rFonts w:ascii="宋体" w:hAnsi="宋体" w:cs="宋体" w:eastAsia="宋体" w:hint="default"/>
                <w:sz w:val="18"/>
                <w:szCs w:val="18"/>
              </w:rPr>
            </w:pPr>
            <w:r>
              <w:rPr>
                <w:rFonts w:ascii="宋体" w:hAnsi="宋体" w:cs="宋体" w:eastAsia="宋体" w:hint="default"/>
                <w:sz w:val="18"/>
                <w:szCs w:val="18"/>
              </w:rPr>
              <w:t>丹阳市云阳街道财政所扶持 资金</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40,000.00</w:t>
            </w:r>
          </w:p>
        </w:tc>
      </w:tr>
      <w:tr>
        <w:trPr>
          <w:trHeight w:val="673"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2" w:right="117"/>
              <w:jc w:val="left"/>
              <w:rPr>
                <w:rFonts w:ascii="宋体" w:hAnsi="宋体" w:cs="宋体" w:eastAsia="宋体" w:hint="default"/>
                <w:sz w:val="18"/>
                <w:szCs w:val="18"/>
              </w:rPr>
            </w:pPr>
            <w:r>
              <w:rPr>
                <w:rFonts w:ascii="宋体" w:hAnsi="宋体" w:cs="宋体" w:eastAsia="宋体" w:hint="default"/>
                <w:sz w:val="18"/>
                <w:szCs w:val="18"/>
              </w:rPr>
              <w:t>江苏省丹阳高新技术产业开 发区高层次人才引进补助资</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20,000.00</w:t>
            </w:r>
          </w:p>
        </w:tc>
      </w:tr>
    </w:tbl>
    <w:p>
      <w:pPr>
        <w:spacing w:after="0" w:line="240" w:lineRule="auto"/>
        <w:jc w:val="right"/>
        <w:rPr>
          <w:rFonts w:ascii="Times New Roman" w:hAnsi="Times New Roman" w:cs="Times New Roman" w:eastAsia="Times New Roman" w:hint="default"/>
          <w:sz w:val="18"/>
          <w:szCs w:val="18"/>
        </w:rPr>
        <w:sectPr>
          <w:pgSz w:w="11910" w:h="16840"/>
          <w:pgMar w:header="906" w:footer="1018" w:top="1100" w:bottom="1200" w:left="1020" w:right="0"/>
        </w:sectPr>
      </w:pPr>
    </w:p>
    <w:p>
      <w:pPr>
        <w:spacing w:line="240" w:lineRule="auto" w:before="7"/>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392"/>
        <w:gridCol w:w="2392"/>
        <w:gridCol w:w="2392"/>
        <w:gridCol w:w="2392"/>
      </w:tblGrid>
      <w:tr>
        <w:trPr>
          <w:trHeight w:val="36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金</w:t>
            </w: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34" w:right="0"/>
              <w:jc w:val="left"/>
              <w:rPr>
                <w:rFonts w:ascii="Times New Roman" w:hAnsi="Times New Roman" w:cs="Times New Roman" w:eastAsia="Times New Roman" w:hint="default"/>
                <w:sz w:val="18"/>
                <w:szCs w:val="18"/>
              </w:rPr>
            </w:pPr>
            <w:r>
              <w:rPr>
                <w:rFonts w:ascii="Times New Roman"/>
                <w:sz w:val="18"/>
              </w:rPr>
              <w:t>6,066,506.77</w:t>
            </w: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33" w:right="0"/>
              <w:jc w:val="left"/>
              <w:rPr>
                <w:rFonts w:ascii="Times New Roman" w:hAnsi="Times New Roman" w:cs="Times New Roman" w:eastAsia="Times New Roman" w:hint="default"/>
                <w:sz w:val="18"/>
                <w:szCs w:val="18"/>
              </w:rPr>
            </w:pPr>
            <w:r>
              <w:rPr>
                <w:rFonts w:ascii="Times New Roman"/>
                <w:sz w:val="18"/>
              </w:rPr>
              <w:t>6,066,506.77</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2</w:t>
      </w:r>
      <w:r>
        <w:rPr/>
        <w:t>）政府补助退回情况</w:t>
      </w:r>
      <w:r>
        <w:rPr>
          <w:b w:val="0"/>
          <w:bCs w:val="0"/>
        </w:rPr>
      </w:r>
    </w:p>
    <w:p>
      <w:pPr>
        <w:spacing w:line="240" w:lineRule="auto" w:before="6"/>
        <w:rPr>
          <w:rFonts w:ascii="宋体" w:hAnsi="宋体" w:cs="宋体" w:eastAsia="宋体" w:hint="default"/>
          <w:b/>
          <w:bCs/>
          <w:sz w:val="26"/>
          <w:szCs w:val="26"/>
        </w:rPr>
      </w:pPr>
    </w:p>
    <w:p>
      <w:pPr>
        <w:pStyle w:val="BodyText"/>
        <w:spacing w:line="360" w:lineRule="auto"/>
        <w:ind w:right="9222"/>
        <w:jc w:val="left"/>
      </w:pPr>
      <w:r>
        <w:rPr/>
        <w:t>□ 适用 √ 不适用 其他说明：</w:t>
      </w:r>
    </w:p>
    <w:p>
      <w:pPr>
        <w:spacing w:line="240" w:lineRule="auto" w:before="0"/>
        <w:rPr>
          <w:rFonts w:ascii="宋体" w:hAnsi="宋体" w:cs="宋体" w:eastAsia="宋体" w:hint="default"/>
          <w:sz w:val="20"/>
          <w:szCs w:val="20"/>
        </w:rPr>
      </w:pPr>
    </w:p>
    <w:p>
      <w:pPr>
        <w:spacing w:line="487" w:lineRule="auto" w:before="0"/>
        <w:ind w:left="113" w:right="8328"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85</w:t>
      </w:r>
      <w:r>
        <w:rPr>
          <w:rFonts w:ascii="宋体" w:hAnsi="宋体" w:cs="宋体" w:eastAsia="宋体" w:hint="default"/>
          <w:b/>
          <w:bCs/>
          <w:sz w:val="21"/>
          <w:szCs w:val="21"/>
        </w:rPr>
        <w:t>、其他</w:t>
      </w:r>
      <w:r>
        <w:rPr>
          <w:rFonts w:ascii="宋体" w:hAnsi="宋体" w:cs="宋体" w:eastAsia="宋体" w:hint="default"/>
          <w:b/>
          <w:bCs/>
          <w:w w:val="99"/>
          <w:sz w:val="21"/>
          <w:szCs w:val="21"/>
        </w:rPr>
        <w:t> </w:t>
      </w:r>
      <w:r>
        <w:rPr>
          <w:rFonts w:ascii="宋体" w:hAnsi="宋体" w:cs="宋体" w:eastAsia="宋体" w:hint="default"/>
          <w:b/>
          <w:bCs/>
          <w:sz w:val="24"/>
          <w:szCs w:val="24"/>
        </w:rPr>
        <w:t>八、合并范围的变更</w:t>
      </w:r>
      <w:r>
        <w:rPr>
          <w:rFonts w:ascii="宋体" w:hAnsi="宋体" w:cs="宋体" w:eastAsia="宋体" w:hint="default"/>
          <w:b/>
          <w:bCs/>
          <w:w w:val="99"/>
          <w:sz w:val="24"/>
          <w:szCs w:val="24"/>
        </w:rPr>
        <w:t> </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、非同一控制下企业合并</w:t>
      </w:r>
      <w:r>
        <w:rPr>
          <w:rFonts w:ascii="宋体" w:hAnsi="宋体" w:cs="宋体" w:eastAsia="宋体" w:hint="default"/>
          <w:sz w:val="21"/>
          <w:szCs w:val="21"/>
        </w:rPr>
      </w:r>
    </w:p>
    <w:p>
      <w:pPr>
        <w:pStyle w:val="Heading3"/>
        <w:spacing w:line="240" w:lineRule="auto" w:before="83"/>
        <w:ind w:right="0"/>
        <w:jc w:val="left"/>
        <w:rPr>
          <w:b w:val="0"/>
          <w:bCs w:val="0"/>
        </w:rPr>
      </w:pPr>
      <w:r>
        <w:rPr/>
        <w:t>（</w:t>
      </w:r>
      <w:r>
        <w:rPr>
          <w:rFonts w:ascii="Times New Roman" w:hAnsi="Times New Roman" w:cs="Times New Roman" w:eastAsia="Times New Roman" w:hint="default"/>
        </w:rPr>
        <w:t>1</w:t>
      </w:r>
      <w:r>
        <w:rPr/>
        <w:t>）本期发生的非同一控制下企业合并</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063"/>
        <w:gridCol w:w="1064"/>
        <w:gridCol w:w="1064"/>
        <w:gridCol w:w="1064"/>
        <w:gridCol w:w="1064"/>
        <w:gridCol w:w="1064"/>
        <w:gridCol w:w="1062"/>
        <w:gridCol w:w="1062"/>
        <w:gridCol w:w="1062"/>
      </w:tblGrid>
      <w:tr>
        <w:trPr>
          <w:trHeight w:val="355" w:hRule="exact"/>
        </w:trPr>
        <w:tc>
          <w:tcPr>
            <w:tcW w:w="1063" w:type="dxa"/>
            <w:tcBorders>
              <w:top w:val="single" w:sz="4" w:space="0" w:color="000000"/>
              <w:left w:val="single" w:sz="4" w:space="0" w:color="000000"/>
              <w:bottom w:val="nil" w:sz="6" w:space="0" w:color="auto"/>
              <w:right w:val="single" w:sz="4" w:space="0" w:color="000000"/>
            </w:tcBorders>
            <w:shd w:val="clear" w:color="auto" w:fill="D3D3D3"/>
          </w:tcPr>
          <w:p>
            <w:pPr/>
          </w:p>
        </w:tc>
        <w:tc>
          <w:tcPr>
            <w:tcW w:w="1064" w:type="dxa"/>
            <w:tcBorders>
              <w:top w:val="single" w:sz="4" w:space="0" w:color="000000"/>
              <w:left w:val="single" w:sz="4" w:space="0" w:color="000000"/>
              <w:bottom w:val="nil" w:sz="6" w:space="0" w:color="auto"/>
              <w:right w:val="single" w:sz="4" w:space="0" w:color="000000"/>
            </w:tcBorders>
            <w:shd w:val="clear" w:color="auto" w:fill="D3D3D3"/>
          </w:tcPr>
          <w:p>
            <w:pPr/>
          </w:p>
        </w:tc>
        <w:tc>
          <w:tcPr>
            <w:tcW w:w="1064" w:type="dxa"/>
            <w:tcBorders>
              <w:top w:val="single" w:sz="4" w:space="0" w:color="000000"/>
              <w:left w:val="single" w:sz="4" w:space="0" w:color="000000"/>
              <w:bottom w:val="nil" w:sz="6" w:space="0" w:color="auto"/>
              <w:right w:val="single" w:sz="4" w:space="0" w:color="000000"/>
            </w:tcBorders>
            <w:shd w:val="clear" w:color="auto" w:fill="D3D3D3"/>
          </w:tcPr>
          <w:p>
            <w:pPr/>
          </w:p>
        </w:tc>
        <w:tc>
          <w:tcPr>
            <w:tcW w:w="1064" w:type="dxa"/>
            <w:tcBorders>
              <w:top w:val="single" w:sz="4" w:space="0" w:color="000000"/>
              <w:left w:val="single" w:sz="4" w:space="0" w:color="000000"/>
              <w:bottom w:val="nil" w:sz="6" w:space="0" w:color="auto"/>
              <w:right w:val="single" w:sz="4" w:space="0" w:color="000000"/>
            </w:tcBorders>
            <w:shd w:val="clear" w:color="auto" w:fill="D3D3D3"/>
          </w:tcPr>
          <w:p>
            <w:pPr/>
          </w:p>
        </w:tc>
        <w:tc>
          <w:tcPr>
            <w:tcW w:w="1064" w:type="dxa"/>
            <w:tcBorders>
              <w:top w:val="single" w:sz="4" w:space="0" w:color="000000"/>
              <w:left w:val="single" w:sz="4" w:space="0" w:color="000000"/>
              <w:bottom w:val="nil" w:sz="6" w:space="0" w:color="auto"/>
              <w:right w:val="single" w:sz="4" w:space="0" w:color="000000"/>
            </w:tcBorders>
            <w:shd w:val="clear" w:color="auto" w:fill="D3D3D3"/>
          </w:tcPr>
          <w:p>
            <w:pPr/>
          </w:p>
        </w:tc>
        <w:tc>
          <w:tcPr>
            <w:tcW w:w="1064" w:type="dxa"/>
            <w:tcBorders>
              <w:top w:val="single" w:sz="4" w:space="0" w:color="000000"/>
              <w:left w:val="single" w:sz="4" w:space="0" w:color="000000"/>
              <w:bottom w:val="nil" w:sz="6" w:space="0" w:color="auto"/>
              <w:right w:val="single" w:sz="4" w:space="0" w:color="000000"/>
            </w:tcBorders>
            <w:shd w:val="clear" w:color="auto" w:fill="D3D3D3"/>
          </w:tcPr>
          <w:p>
            <w:pPr/>
          </w:p>
        </w:tc>
        <w:tc>
          <w:tcPr>
            <w:tcW w:w="1062" w:type="dxa"/>
            <w:tcBorders>
              <w:top w:val="single" w:sz="4" w:space="0" w:color="000000"/>
              <w:left w:val="single" w:sz="4" w:space="0" w:color="000000"/>
              <w:bottom w:val="nil" w:sz="6" w:space="0" w:color="auto"/>
              <w:right w:val="single" w:sz="4" w:space="0" w:color="000000"/>
            </w:tcBorders>
            <w:shd w:val="clear" w:color="auto" w:fill="D3D3D3"/>
          </w:tcPr>
          <w:p>
            <w:pPr/>
          </w:p>
        </w:tc>
        <w:tc>
          <w:tcPr>
            <w:tcW w:w="1062" w:type="dxa"/>
            <w:tcBorders>
              <w:top w:val="single" w:sz="4" w:space="0" w:color="000000"/>
              <w:left w:val="single" w:sz="4" w:space="0" w:color="000000"/>
              <w:bottom w:val="nil" w:sz="6" w:space="0" w:color="auto"/>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购买日至</w:t>
            </w:r>
          </w:p>
        </w:tc>
        <w:tc>
          <w:tcPr>
            <w:tcW w:w="1062" w:type="dxa"/>
            <w:tcBorders>
              <w:top w:val="single" w:sz="4" w:space="0" w:color="000000"/>
              <w:left w:val="single" w:sz="4" w:space="0" w:color="000000"/>
              <w:bottom w:val="nil" w:sz="6" w:space="0" w:color="auto"/>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购买日至</w:t>
            </w:r>
          </w:p>
        </w:tc>
      </w:tr>
      <w:tr>
        <w:trPr>
          <w:trHeight w:val="624" w:hRule="exact"/>
        </w:trPr>
        <w:tc>
          <w:tcPr>
            <w:tcW w:w="1063"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316" w:lineRule="auto" w:before="10"/>
              <w:ind w:left="345" w:right="165" w:hanging="180"/>
              <w:jc w:val="left"/>
              <w:rPr>
                <w:rFonts w:ascii="宋体" w:hAnsi="宋体" w:cs="宋体" w:eastAsia="宋体" w:hint="default"/>
                <w:sz w:val="18"/>
                <w:szCs w:val="18"/>
              </w:rPr>
            </w:pPr>
            <w:r>
              <w:rPr>
                <w:rFonts w:ascii="宋体" w:hAnsi="宋体" w:cs="宋体" w:eastAsia="宋体" w:hint="default"/>
                <w:sz w:val="18"/>
                <w:szCs w:val="18"/>
              </w:rPr>
              <w:t>被购买方 名称</w:t>
            </w:r>
          </w:p>
        </w:tc>
        <w:tc>
          <w:tcPr>
            <w:tcW w:w="1064"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316" w:lineRule="auto" w:before="10"/>
              <w:ind w:left="347" w:right="165" w:hanging="180"/>
              <w:jc w:val="left"/>
              <w:rPr>
                <w:rFonts w:ascii="宋体" w:hAnsi="宋体" w:cs="宋体" w:eastAsia="宋体" w:hint="default"/>
                <w:sz w:val="18"/>
                <w:szCs w:val="18"/>
              </w:rPr>
            </w:pPr>
            <w:r>
              <w:rPr>
                <w:rFonts w:ascii="宋体" w:hAnsi="宋体" w:cs="宋体" w:eastAsia="宋体" w:hint="default"/>
                <w:sz w:val="18"/>
                <w:szCs w:val="18"/>
              </w:rPr>
              <w:t>股权取得 时点</w:t>
            </w:r>
          </w:p>
        </w:tc>
        <w:tc>
          <w:tcPr>
            <w:tcW w:w="1064"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316" w:lineRule="auto" w:before="10"/>
              <w:ind w:left="346" w:right="165" w:hanging="180"/>
              <w:jc w:val="left"/>
              <w:rPr>
                <w:rFonts w:ascii="宋体" w:hAnsi="宋体" w:cs="宋体" w:eastAsia="宋体" w:hint="default"/>
                <w:sz w:val="18"/>
                <w:szCs w:val="18"/>
              </w:rPr>
            </w:pPr>
            <w:r>
              <w:rPr>
                <w:rFonts w:ascii="宋体" w:hAnsi="宋体" w:cs="宋体" w:eastAsia="宋体" w:hint="default"/>
                <w:sz w:val="18"/>
                <w:szCs w:val="18"/>
              </w:rPr>
              <w:t>股权取得 成本</w:t>
            </w:r>
          </w:p>
        </w:tc>
        <w:tc>
          <w:tcPr>
            <w:tcW w:w="1064"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316" w:lineRule="auto" w:before="10"/>
              <w:ind w:left="346" w:right="165" w:hanging="180"/>
              <w:jc w:val="left"/>
              <w:rPr>
                <w:rFonts w:ascii="宋体" w:hAnsi="宋体" w:cs="宋体" w:eastAsia="宋体" w:hint="default"/>
                <w:sz w:val="18"/>
                <w:szCs w:val="18"/>
              </w:rPr>
            </w:pPr>
            <w:r>
              <w:rPr>
                <w:rFonts w:ascii="宋体" w:hAnsi="宋体" w:cs="宋体" w:eastAsia="宋体" w:hint="default"/>
                <w:sz w:val="18"/>
                <w:szCs w:val="18"/>
              </w:rPr>
              <w:t>股权取得 比例</w:t>
            </w:r>
          </w:p>
        </w:tc>
        <w:tc>
          <w:tcPr>
            <w:tcW w:w="1064"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316" w:lineRule="auto" w:before="10"/>
              <w:ind w:left="347" w:right="165" w:hanging="180"/>
              <w:jc w:val="left"/>
              <w:rPr>
                <w:rFonts w:ascii="宋体" w:hAnsi="宋体" w:cs="宋体" w:eastAsia="宋体" w:hint="default"/>
                <w:sz w:val="18"/>
                <w:szCs w:val="18"/>
              </w:rPr>
            </w:pPr>
            <w:r>
              <w:rPr>
                <w:rFonts w:ascii="宋体" w:hAnsi="宋体" w:cs="宋体" w:eastAsia="宋体" w:hint="default"/>
                <w:sz w:val="18"/>
                <w:szCs w:val="18"/>
              </w:rPr>
              <w:t>股权取得 方式</w:t>
            </w:r>
          </w:p>
        </w:tc>
        <w:tc>
          <w:tcPr>
            <w:tcW w:w="1064"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256" w:right="0"/>
              <w:jc w:val="left"/>
              <w:rPr>
                <w:rFonts w:ascii="宋体" w:hAnsi="宋体" w:cs="宋体" w:eastAsia="宋体" w:hint="default"/>
                <w:sz w:val="18"/>
                <w:szCs w:val="18"/>
              </w:rPr>
            </w:pPr>
            <w:r>
              <w:rPr>
                <w:rFonts w:ascii="宋体" w:hAnsi="宋体" w:cs="宋体" w:eastAsia="宋体" w:hint="default"/>
                <w:sz w:val="18"/>
                <w:szCs w:val="18"/>
              </w:rPr>
              <w:t>购买日</w:t>
            </w:r>
          </w:p>
        </w:tc>
        <w:tc>
          <w:tcPr>
            <w:tcW w:w="1062"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316" w:lineRule="auto" w:before="10"/>
              <w:ind w:left="166" w:right="164"/>
              <w:jc w:val="left"/>
              <w:rPr>
                <w:rFonts w:ascii="宋体" w:hAnsi="宋体" w:cs="宋体" w:eastAsia="宋体" w:hint="default"/>
                <w:sz w:val="18"/>
                <w:szCs w:val="18"/>
              </w:rPr>
            </w:pPr>
            <w:r>
              <w:rPr>
                <w:rFonts w:ascii="宋体" w:hAnsi="宋体" w:cs="宋体" w:eastAsia="宋体" w:hint="default"/>
                <w:sz w:val="18"/>
                <w:szCs w:val="18"/>
              </w:rPr>
              <w:t>购买日的 确定依据</w:t>
            </w:r>
          </w:p>
        </w:tc>
        <w:tc>
          <w:tcPr>
            <w:tcW w:w="1062"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316" w:lineRule="auto" w:before="10"/>
              <w:ind w:left="166" w:right="164"/>
              <w:jc w:val="left"/>
              <w:rPr>
                <w:rFonts w:ascii="宋体" w:hAnsi="宋体" w:cs="宋体" w:eastAsia="宋体" w:hint="default"/>
                <w:sz w:val="18"/>
                <w:szCs w:val="18"/>
              </w:rPr>
            </w:pPr>
            <w:r>
              <w:rPr>
                <w:rFonts w:ascii="宋体" w:hAnsi="宋体" w:cs="宋体" w:eastAsia="宋体" w:hint="default"/>
                <w:sz w:val="18"/>
                <w:szCs w:val="18"/>
              </w:rPr>
              <w:t>期末被购 买方的收</w:t>
            </w:r>
          </w:p>
        </w:tc>
        <w:tc>
          <w:tcPr>
            <w:tcW w:w="1062"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316" w:lineRule="auto" w:before="10"/>
              <w:ind w:left="166" w:right="164"/>
              <w:jc w:val="left"/>
              <w:rPr>
                <w:rFonts w:ascii="宋体" w:hAnsi="宋体" w:cs="宋体" w:eastAsia="宋体" w:hint="default"/>
                <w:sz w:val="18"/>
                <w:szCs w:val="18"/>
              </w:rPr>
            </w:pPr>
            <w:r>
              <w:rPr>
                <w:rFonts w:ascii="宋体" w:hAnsi="宋体" w:cs="宋体" w:eastAsia="宋体" w:hint="default"/>
                <w:sz w:val="18"/>
                <w:szCs w:val="18"/>
              </w:rPr>
              <w:t>期末被购 买方的净</w:t>
            </w:r>
          </w:p>
        </w:tc>
      </w:tr>
      <w:tr>
        <w:trPr>
          <w:trHeight w:val="358" w:hRule="exact"/>
        </w:trPr>
        <w:tc>
          <w:tcPr>
            <w:tcW w:w="1063" w:type="dxa"/>
            <w:tcBorders>
              <w:top w:val="nil" w:sz="6" w:space="0" w:color="auto"/>
              <w:left w:val="single" w:sz="4" w:space="0" w:color="000000"/>
              <w:bottom w:val="single" w:sz="4" w:space="0" w:color="000000"/>
              <w:right w:val="single" w:sz="4" w:space="0" w:color="000000"/>
            </w:tcBorders>
            <w:shd w:val="clear" w:color="auto" w:fill="D3D3D3"/>
          </w:tcPr>
          <w:p>
            <w:pPr/>
          </w:p>
        </w:tc>
        <w:tc>
          <w:tcPr>
            <w:tcW w:w="1064" w:type="dxa"/>
            <w:tcBorders>
              <w:top w:val="nil" w:sz="6" w:space="0" w:color="auto"/>
              <w:left w:val="single" w:sz="4" w:space="0" w:color="000000"/>
              <w:bottom w:val="single" w:sz="4" w:space="0" w:color="000000"/>
              <w:right w:val="single" w:sz="4" w:space="0" w:color="000000"/>
            </w:tcBorders>
            <w:shd w:val="clear" w:color="auto" w:fill="D3D3D3"/>
          </w:tcPr>
          <w:p>
            <w:pPr/>
          </w:p>
        </w:tc>
        <w:tc>
          <w:tcPr>
            <w:tcW w:w="1064" w:type="dxa"/>
            <w:tcBorders>
              <w:top w:val="nil" w:sz="6" w:space="0" w:color="auto"/>
              <w:left w:val="single" w:sz="4" w:space="0" w:color="000000"/>
              <w:bottom w:val="single" w:sz="4" w:space="0" w:color="000000"/>
              <w:right w:val="single" w:sz="4" w:space="0" w:color="000000"/>
            </w:tcBorders>
            <w:shd w:val="clear" w:color="auto" w:fill="D3D3D3"/>
          </w:tcPr>
          <w:p>
            <w:pPr/>
          </w:p>
        </w:tc>
        <w:tc>
          <w:tcPr>
            <w:tcW w:w="1064" w:type="dxa"/>
            <w:tcBorders>
              <w:top w:val="nil" w:sz="6" w:space="0" w:color="auto"/>
              <w:left w:val="single" w:sz="4" w:space="0" w:color="000000"/>
              <w:bottom w:val="single" w:sz="4" w:space="0" w:color="000000"/>
              <w:right w:val="single" w:sz="4" w:space="0" w:color="000000"/>
            </w:tcBorders>
            <w:shd w:val="clear" w:color="auto" w:fill="D3D3D3"/>
          </w:tcPr>
          <w:p>
            <w:pPr/>
          </w:p>
        </w:tc>
        <w:tc>
          <w:tcPr>
            <w:tcW w:w="1064" w:type="dxa"/>
            <w:tcBorders>
              <w:top w:val="nil" w:sz="6" w:space="0" w:color="auto"/>
              <w:left w:val="single" w:sz="4" w:space="0" w:color="000000"/>
              <w:bottom w:val="single" w:sz="4" w:space="0" w:color="000000"/>
              <w:right w:val="single" w:sz="4" w:space="0" w:color="000000"/>
            </w:tcBorders>
            <w:shd w:val="clear" w:color="auto" w:fill="D3D3D3"/>
          </w:tcPr>
          <w:p>
            <w:pPr/>
          </w:p>
        </w:tc>
        <w:tc>
          <w:tcPr>
            <w:tcW w:w="1064" w:type="dxa"/>
            <w:tcBorders>
              <w:top w:val="nil" w:sz="6" w:space="0" w:color="auto"/>
              <w:left w:val="single" w:sz="4" w:space="0" w:color="000000"/>
              <w:bottom w:val="single" w:sz="4" w:space="0" w:color="000000"/>
              <w:right w:val="single" w:sz="4" w:space="0" w:color="000000"/>
            </w:tcBorders>
            <w:shd w:val="clear" w:color="auto" w:fill="D3D3D3"/>
          </w:tcPr>
          <w:p>
            <w:pPr/>
          </w:p>
        </w:tc>
        <w:tc>
          <w:tcPr>
            <w:tcW w:w="1062" w:type="dxa"/>
            <w:tcBorders>
              <w:top w:val="nil" w:sz="6" w:space="0" w:color="auto"/>
              <w:left w:val="single" w:sz="4" w:space="0" w:color="000000"/>
              <w:bottom w:val="single" w:sz="4" w:space="0" w:color="000000"/>
              <w:right w:val="single" w:sz="4" w:space="0" w:color="000000"/>
            </w:tcBorders>
            <w:shd w:val="clear" w:color="auto" w:fill="D3D3D3"/>
          </w:tcPr>
          <w:p>
            <w:pPr/>
          </w:p>
        </w:tc>
        <w:tc>
          <w:tcPr>
            <w:tcW w:w="1062" w:type="dxa"/>
            <w:tcBorders>
              <w:top w:val="nil" w:sz="6" w:space="0" w:color="auto"/>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入</w:t>
            </w:r>
          </w:p>
        </w:tc>
        <w:tc>
          <w:tcPr>
            <w:tcW w:w="1062" w:type="dxa"/>
            <w:tcBorders>
              <w:top w:val="nil" w:sz="6" w:space="0" w:color="auto"/>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利润</w:t>
            </w:r>
          </w:p>
        </w:tc>
      </w:tr>
      <w:tr>
        <w:trPr>
          <w:trHeight w:val="715" w:hRule="exact"/>
        </w:trPr>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102" w:right="158"/>
              <w:jc w:val="left"/>
              <w:rPr>
                <w:rFonts w:ascii="Times New Roman" w:hAnsi="Times New Roman" w:cs="Times New Roman" w:eastAsia="Times New Roman" w:hint="default"/>
                <w:sz w:val="18"/>
                <w:szCs w:val="18"/>
              </w:rPr>
            </w:pPr>
            <w:r>
              <w:rPr>
                <w:rFonts w:ascii="Times New Roman"/>
                <w:sz w:val="18"/>
              </w:rPr>
              <w:t>MOD&amp;AS</w:t>
            </w:r>
            <w:r>
              <w:rPr>
                <w:rFonts w:ascii="Times New Roman"/>
                <w:w w:val="99"/>
                <w:sz w:val="18"/>
              </w:rPr>
              <w:t> </w:t>
            </w:r>
            <w:r>
              <w:rPr>
                <w:rFonts w:ascii="Times New Roman"/>
                <w:sz w:val="18"/>
              </w:rPr>
              <w:t>CC</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01</w:t>
            </w:r>
          </w:p>
          <w:p>
            <w:pPr>
              <w:pStyle w:val="TableParagraph"/>
              <w:spacing w:line="240" w:lineRule="auto" w:before="62"/>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25 </w:t>
            </w:r>
            <w:r>
              <w:rPr>
                <w:rFonts w:ascii="宋体" w:hAnsi="宋体" w:cs="宋体" w:eastAsia="宋体" w:hint="default"/>
                <w:sz w:val="18"/>
                <w:szCs w:val="18"/>
              </w:rPr>
              <w:t>日</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3,052,979.</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70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07" w:right="0"/>
              <w:jc w:val="left"/>
              <w:rPr>
                <w:rFonts w:ascii="Times New Roman" w:hAnsi="Times New Roman" w:cs="Times New Roman" w:eastAsia="Times New Roman" w:hint="default"/>
                <w:sz w:val="18"/>
                <w:szCs w:val="18"/>
              </w:rPr>
            </w:pPr>
            <w:r>
              <w:rPr>
                <w:rFonts w:ascii="Times New Roman"/>
                <w:sz w:val="18"/>
              </w:rPr>
              <w:t>100.00%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现金支付</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01</w:t>
            </w:r>
          </w:p>
          <w:p>
            <w:pPr>
              <w:pStyle w:val="TableParagraph"/>
              <w:spacing w:line="240" w:lineRule="auto" w:before="62"/>
              <w:ind w:left="10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227"/>
              <w:jc w:val="left"/>
              <w:rPr>
                <w:rFonts w:ascii="宋体" w:hAnsi="宋体" w:cs="宋体" w:eastAsia="宋体" w:hint="default"/>
                <w:sz w:val="18"/>
                <w:szCs w:val="18"/>
              </w:rPr>
            </w:pPr>
            <w:r>
              <w:rPr>
                <w:rFonts w:ascii="宋体" w:hAnsi="宋体" w:cs="宋体" w:eastAsia="宋体" w:hint="default"/>
                <w:sz w:val="18"/>
                <w:szCs w:val="18"/>
              </w:rPr>
              <w:t>取得控制 权</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4,967,755.</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26</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-3,798,761.</w:t>
            </w:r>
            <w:r>
              <w:rPr>
                <w:rFonts w:ascii="Times New Roman"/>
                <w:sz w:val="18"/>
              </w:rPr>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45</w:t>
            </w:r>
          </w:p>
        </w:tc>
      </w:tr>
    </w:tbl>
    <w:p>
      <w:pPr>
        <w:pStyle w:val="BodyText"/>
        <w:spacing w:line="240" w:lineRule="auto" w:before="49"/>
        <w:ind w:right="0"/>
        <w:jc w:val="left"/>
      </w:pPr>
      <w:r>
        <w:rPr/>
        <w:t>其他说明：</w:t>
      </w:r>
    </w:p>
    <w:p>
      <w:pPr>
        <w:spacing w:line="240" w:lineRule="auto" w:before="13"/>
        <w:rPr>
          <w:rFonts w:ascii="宋体" w:hAnsi="宋体" w:cs="宋体" w:eastAsia="宋体" w:hint="default"/>
          <w:sz w:val="26"/>
          <w:szCs w:val="26"/>
        </w:rPr>
      </w:pPr>
    </w:p>
    <w:p>
      <w:pPr>
        <w:pStyle w:val="Heading3"/>
        <w:spacing w:line="240" w:lineRule="auto"/>
        <w:ind w:right="0"/>
        <w:jc w:val="left"/>
        <w:rPr>
          <w:b w:val="0"/>
          <w:bCs w:val="0"/>
        </w:rPr>
      </w:pPr>
      <w:r>
        <w:rPr/>
        <w:t>（</w:t>
      </w:r>
      <w:r>
        <w:rPr>
          <w:rFonts w:ascii="Times New Roman" w:hAnsi="Times New Roman" w:cs="Times New Roman" w:eastAsia="Times New Roman" w:hint="default"/>
        </w:rPr>
        <w:t>2</w:t>
      </w:r>
      <w:r>
        <w:rPr/>
        <w:t>）合并成本及商誉</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4784"/>
        <w:gridCol w:w="4784"/>
      </w:tblGrid>
      <w:tr>
        <w:trPr>
          <w:trHeight w:val="401"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合并成本</w:t>
            </w:r>
          </w:p>
        </w:tc>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现金</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3,052,979.70</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合并成本合计</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3,052,979.70</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减：取得的可辨认净资产公允价值份额</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w w:val="95"/>
                <w:sz w:val="18"/>
              </w:rPr>
              <w:t>-1,198,429.32</w:t>
            </w:r>
            <w:r>
              <w:rPr>
                <w:rFonts w:ascii="Times New Roman"/>
                <w:sz w:val="18"/>
              </w:rPr>
            </w:r>
          </w:p>
        </w:tc>
      </w:tr>
      <w:tr>
        <w:trPr>
          <w:trHeight w:val="714"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49"/>
              <w:ind w:left="102" w:right="119"/>
              <w:jc w:val="left"/>
              <w:rPr>
                <w:rFonts w:ascii="宋体" w:hAnsi="宋体" w:cs="宋体" w:eastAsia="宋体" w:hint="default"/>
                <w:sz w:val="18"/>
                <w:szCs w:val="18"/>
              </w:rPr>
            </w:pPr>
            <w:r>
              <w:rPr>
                <w:rFonts w:ascii="宋体" w:hAnsi="宋体" w:cs="宋体" w:eastAsia="宋体" w:hint="default"/>
                <w:sz w:val="18"/>
                <w:szCs w:val="18"/>
              </w:rPr>
              <w:t>商誉</w:t>
            </w:r>
            <w:r>
              <w:rPr>
                <w:rFonts w:ascii="Times New Roman" w:hAnsi="Times New Roman" w:cs="Times New Roman" w:eastAsia="Times New Roman" w:hint="default"/>
                <w:sz w:val="18"/>
                <w:szCs w:val="18"/>
              </w:rPr>
              <w:t>/</w:t>
            </w:r>
            <w:r>
              <w:rPr>
                <w:rFonts w:ascii="宋体" w:hAnsi="宋体" w:cs="宋体" w:eastAsia="宋体" w:hint="default"/>
                <w:sz w:val="18"/>
                <w:szCs w:val="18"/>
              </w:rPr>
              <w:t>合并成本小于取得的可辨认净资产公允价值份额的金 额</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4,251,409.02</w:t>
            </w:r>
          </w:p>
        </w:tc>
      </w:tr>
    </w:tbl>
    <w:p>
      <w:pPr>
        <w:pStyle w:val="BodyText"/>
        <w:spacing w:line="357" w:lineRule="auto" w:before="49"/>
        <w:ind w:right="6072"/>
        <w:jc w:val="left"/>
      </w:pPr>
      <w:r>
        <w:rPr/>
        <w:t>合并成本公允价值的确定方法、或有对价及其变动的说明： 大额商誉形成的主要原因：</w:t>
      </w:r>
    </w:p>
    <w:p>
      <w:pPr>
        <w:pStyle w:val="BodyText"/>
        <w:spacing w:line="240" w:lineRule="auto" w:before="28"/>
        <w:ind w:right="0"/>
        <w:jc w:val="left"/>
      </w:pPr>
      <w:r>
        <w:rPr/>
        <w:t>其他说明：</w:t>
      </w:r>
    </w:p>
    <w:p>
      <w:pPr>
        <w:spacing w:line="240" w:lineRule="auto" w:before="13"/>
        <w:rPr>
          <w:rFonts w:ascii="宋体" w:hAnsi="宋体" w:cs="宋体" w:eastAsia="宋体" w:hint="default"/>
          <w:sz w:val="26"/>
          <w:szCs w:val="26"/>
        </w:rPr>
      </w:pPr>
    </w:p>
    <w:p>
      <w:pPr>
        <w:pStyle w:val="Heading3"/>
        <w:spacing w:line="240" w:lineRule="auto"/>
        <w:ind w:right="0"/>
        <w:jc w:val="left"/>
        <w:rPr>
          <w:b w:val="0"/>
          <w:bCs w:val="0"/>
        </w:rPr>
      </w:pPr>
      <w:r>
        <w:rPr/>
        <w:t>（</w:t>
      </w:r>
      <w:r>
        <w:rPr>
          <w:rFonts w:ascii="Times New Roman" w:hAnsi="Times New Roman" w:cs="Times New Roman" w:eastAsia="Times New Roman" w:hint="default"/>
        </w:rPr>
        <w:t>3</w:t>
      </w:r>
      <w:r>
        <w:rPr/>
        <w:t>）被购买方于购买日可辨认资产、负债</w:t>
      </w:r>
      <w:r>
        <w:rPr>
          <w:b w:val="0"/>
          <w:bCs w:val="0"/>
        </w:rPr>
      </w:r>
    </w:p>
    <w:p>
      <w:pPr>
        <w:spacing w:line="240" w:lineRule="auto" w:before="2"/>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after="0" w:line="240" w:lineRule="auto"/>
        <w:jc w:val="right"/>
        <w:sectPr>
          <w:pgSz w:w="11910" w:h="16840"/>
          <w:pgMar w:header="906" w:footer="1018" w:top="1100" w:bottom="1200" w:left="1020" w:right="0"/>
        </w:sectPr>
      </w:pPr>
    </w:p>
    <w:p>
      <w:pPr>
        <w:spacing w:line="240" w:lineRule="auto" w:before="7"/>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6380" w:type="dxa"/>
            <w:gridSpan w:val="2"/>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960" w:right="0"/>
              <w:jc w:val="left"/>
              <w:rPr>
                <w:rFonts w:ascii="宋体" w:hAnsi="宋体" w:cs="宋体" w:eastAsia="宋体" w:hint="default"/>
                <w:sz w:val="18"/>
                <w:szCs w:val="18"/>
              </w:rPr>
            </w:pPr>
            <w:r>
              <w:rPr>
                <w:rFonts w:ascii="宋体" w:hAnsi="宋体" w:cs="宋体" w:eastAsia="宋体" w:hint="default"/>
                <w:sz w:val="18"/>
                <w:szCs w:val="18"/>
              </w:rPr>
              <w:t>购买日公允价值</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959" w:right="0"/>
              <w:jc w:val="left"/>
              <w:rPr>
                <w:rFonts w:ascii="宋体" w:hAnsi="宋体" w:cs="宋体" w:eastAsia="宋体" w:hint="default"/>
                <w:sz w:val="18"/>
                <w:szCs w:val="18"/>
              </w:rPr>
            </w:pPr>
            <w:r>
              <w:rPr>
                <w:rFonts w:ascii="宋体" w:hAnsi="宋体" w:cs="宋体" w:eastAsia="宋体" w:hint="default"/>
                <w:sz w:val="18"/>
                <w:szCs w:val="18"/>
              </w:rPr>
              <w:t>购买日账面价值</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155,250.25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155,250.25</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应收款项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4,329,636.74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4,329,636.74</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2,329,380.22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2,329,380.22</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3,156,471.47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3,156,471.47</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应付款项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11,455,692.49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11,455,692.49</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18,331.05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18,331.05</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净资产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-1,198,429.32</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-1,198,429.32</w:t>
            </w:r>
            <w:r>
              <w:rPr>
                <w:rFonts w:ascii="Times New Roman"/>
                <w:sz w:val="18"/>
              </w:rPr>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取得的净资产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-1,198,429.32</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-1,198,429.32</w:t>
            </w:r>
            <w:r>
              <w:rPr>
                <w:rFonts w:ascii="Times New Roman"/>
                <w:sz w:val="18"/>
              </w:rPr>
            </w:r>
          </w:p>
        </w:tc>
      </w:tr>
    </w:tbl>
    <w:p>
      <w:pPr>
        <w:pStyle w:val="BodyText"/>
        <w:spacing w:line="357" w:lineRule="auto" w:before="50"/>
        <w:ind w:right="7530"/>
        <w:jc w:val="both"/>
      </w:pPr>
      <w:r>
        <w:rPr/>
        <w:t>可辨认资产、负债公允价值的确定方法： 企业合并中承担的被购买方的或有负债： 其他说明：</w:t>
      </w:r>
    </w:p>
    <w:p>
      <w:pPr>
        <w:pStyle w:val="BodyText"/>
        <w:spacing w:line="300" w:lineRule="auto" w:before="28"/>
        <w:ind w:right="1119"/>
        <w:jc w:val="left"/>
      </w:pPr>
      <w:r>
        <w:rPr/>
        <w:t>公司以自有资金30万美元在印度尼西亚投资设立子公司</w:t>
      </w:r>
      <w:r>
        <w:rPr>
          <w:rFonts w:ascii="Times New Roman" w:hAnsi="Times New Roman" w:cs="Times New Roman" w:eastAsia="Times New Roman" w:hint="default"/>
        </w:rPr>
        <w:t>“</w:t>
      </w:r>
      <w:r>
        <w:rPr/>
        <w:t>PT</w:t>
      </w:r>
      <w:r>
        <w:rPr>
          <w:spacing w:val="-39"/>
        </w:rPr>
        <w:t> </w:t>
      </w:r>
      <w:r>
        <w:rPr/>
        <w:t>Chipstone</w:t>
      </w:r>
      <w:r>
        <w:rPr>
          <w:spacing w:val="-39"/>
        </w:rPr>
        <w:t> </w:t>
      </w:r>
      <w:r>
        <w:rPr/>
        <w:t>Technologies</w:t>
      </w:r>
      <w:r>
        <w:rPr>
          <w:spacing w:val="-39"/>
        </w:rPr>
        <w:t> </w:t>
      </w:r>
      <w:r>
        <w:rPr>
          <w:spacing w:val="-5"/>
        </w:rPr>
        <w:t>Indonesia</w:t>
      </w:r>
      <w:r>
        <w:rPr>
          <w:rFonts w:ascii="Times New Roman" w:hAnsi="Times New Roman" w:cs="Times New Roman" w:eastAsia="Times New Roman" w:hint="default"/>
          <w:spacing w:val="-5"/>
        </w:rPr>
        <w:t>”</w:t>
      </w:r>
      <w:r>
        <w:rPr>
          <w:spacing w:val="-5"/>
        </w:rPr>
        <w:t>，公司持股比例99%。于2019</w:t>
      </w:r>
      <w:r>
        <w:rPr/>
        <w:t> 年5月完成工商注册登记。截至</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日止，相关出资程序尚未履行完毕。</w:t>
      </w:r>
    </w:p>
    <w:p>
      <w:pPr>
        <w:spacing w:line="240" w:lineRule="auto" w:before="1"/>
        <w:rPr>
          <w:rFonts w:ascii="宋体" w:hAnsi="宋体" w:cs="宋体" w:eastAsia="宋体" w:hint="default"/>
          <w:sz w:val="22"/>
          <w:szCs w:val="22"/>
        </w:rPr>
      </w:pPr>
    </w:p>
    <w:p>
      <w:pPr>
        <w:pStyle w:val="Heading3"/>
        <w:spacing w:line="240" w:lineRule="auto"/>
        <w:ind w:right="0"/>
        <w:jc w:val="both"/>
        <w:rPr>
          <w:b w:val="0"/>
          <w:bCs w:val="0"/>
        </w:rPr>
      </w:pPr>
      <w:r>
        <w:rPr/>
        <w:t>（</w:t>
      </w:r>
      <w:r>
        <w:rPr>
          <w:rFonts w:ascii="Times New Roman" w:hAnsi="Times New Roman" w:cs="Times New Roman" w:eastAsia="Times New Roman" w:hint="default"/>
        </w:rPr>
        <w:t>4</w:t>
      </w:r>
      <w:r>
        <w:rPr/>
        <w:t>）购买日之前持有的股权按照公允价值重新计量产生的利得或损失</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both"/>
      </w:pPr>
      <w:r>
        <w:rPr/>
        <w:t>是否存在通过多次交易分步实现企业合并且在报告期内取得控制权的交易</w:t>
      </w:r>
    </w:p>
    <w:p>
      <w:pPr>
        <w:pStyle w:val="BodyText"/>
        <w:spacing w:line="240" w:lineRule="auto" w:before="116"/>
        <w:ind w:right="0"/>
        <w:jc w:val="both"/>
      </w:pPr>
      <w:r>
        <w:rPr/>
        <w:t>□ 是 √ 否</w:t>
      </w:r>
    </w:p>
    <w:p>
      <w:pPr>
        <w:spacing w:line="240" w:lineRule="auto" w:before="13"/>
        <w:rPr>
          <w:rFonts w:ascii="宋体" w:hAnsi="宋体" w:cs="宋体" w:eastAsia="宋体" w:hint="default"/>
          <w:sz w:val="26"/>
          <w:szCs w:val="26"/>
        </w:rPr>
      </w:pPr>
    </w:p>
    <w:p>
      <w:pPr>
        <w:pStyle w:val="Heading3"/>
        <w:spacing w:line="240" w:lineRule="auto"/>
        <w:ind w:right="0"/>
        <w:jc w:val="both"/>
        <w:rPr>
          <w:b w:val="0"/>
          <w:bCs w:val="0"/>
        </w:rPr>
      </w:pPr>
      <w:r>
        <w:rPr/>
        <w:t>（</w:t>
      </w:r>
      <w:r>
        <w:rPr>
          <w:rFonts w:ascii="Times New Roman" w:hAnsi="Times New Roman" w:cs="Times New Roman" w:eastAsia="Times New Roman" w:hint="default"/>
        </w:rPr>
        <w:t>5</w:t>
      </w:r>
      <w:r>
        <w:rPr/>
        <w:t>）购买日或合并当期期末无法合理确定合并对价或被购买方可辨认资产、负债公允价值的相关说明</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both"/>
        <w:rPr>
          <w:b w:val="0"/>
          <w:bCs w:val="0"/>
        </w:rPr>
      </w:pPr>
      <w:r>
        <w:rPr/>
        <w:t>（</w:t>
      </w:r>
      <w:r>
        <w:rPr>
          <w:rFonts w:ascii="Times New Roman" w:hAnsi="Times New Roman" w:cs="Times New Roman" w:eastAsia="Times New Roman" w:hint="default"/>
        </w:rPr>
        <w:t>6</w:t>
      </w:r>
      <w:r>
        <w:rPr/>
        <w:t>）其他说明</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both"/>
        <w:rPr>
          <w:b w:val="0"/>
          <w:bCs w:val="0"/>
        </w:rPr>
      </w:pPr>
      <w:r>
        <w:rPr>
          <w:rFonts w:ascii="Times New Roman" w:hAnsi="Times New Roman" w:cs="Times New Roman" w:eastAsia="Times New Roman" w:hint="default"/>
        </w:rPr>
        <w:t>2</w:t>
      </w:r>
      <w:r>
        <w:rPr/>
        <w:t>、同一控制下企业合并</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both"/>
        <w:rPr>
          <w:b w:val="0"/>
          <w:bCs w:val="0"/>
        </w:rPr>
      </w:pPr>
      <w:r>
        <w:rPr/>
        <w:t>（</w:t>
      </w:r>
      <w:r>
        <w:rPr>
          <w:rFonts w:ascii="Times New Roman" w:hAnsi="Times New Roman" w:cs="Times New Roman" w:eastAsia="Times New Roman" w:hint="default"/>
        </w:rPr>
        <w:t>1</w:t>
      </w:r>
      <w:r>
        <w:rPr/>
        <w:t>）本期发生的同一控制下企业合并</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061"/>
        <w:gridCol w:w="1061"/>
        <w:gridCol w:w="1063"/>
        <w:gridCol w:w="1064"/>
        <w:gridCol w:w="1064"/>
        <w:gridCol w:w="1064"/>
        <w:gridCol w:w="1064"/>
        <w:gridCol w:w="1064"/>
        <w:gridCol w:w="1064"/>
      </w:tblGrid>
      <w:tr>
        <w:trPr>
          <w:trHeight w:val="1650" w:hRule="exact"/>
        </w:trPr>
        <w:tc>
          <w:tcPr>
            <w:tcW w:w="106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319" w:lineRule="auto"/>
              <w:ind w:left="344" w:right="164" w:hanging="180"/>
              <w:jc w:val="left"/>
              <w:rPr>
                <w:rFonts w:ascii="宋体" w:hAnsi="宋体" w:cs="宋体" w:eastAsia="宋体" w:hint="default"/>
                <w:sz w:val="18"/>
                <w:szCs w:val="18"/>
              </w:rPr>
            </w:pPr>
            <w:r>
              <w:rPr>
                <w:rFonts w:ascii="宋体" w:hAnsi="宋体" w:cs="宋体" w:eastAsia="宋体" w:hint="default"/>
                <w:sz w:val="18"/>
                <w:szCs w:val="18"/>
              </w:rPr>
              <w:t>被合并方 名称</w:t>
            </w:r>
          </w:p>
        </w:tc>
        <w:tc>
          <w:tcPr>
            <w:tcW w:w="106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6"/>
              <w:ind w:left="165" w:right="164"/>
              <w:jc w:val="both"/>
              <w:rPr>
                <w:rFonts w:ascii="宋体" w:hAnsi="宋体" w:cs="宋体" w:eastAsia="宋体" w:hint="default"/>
                <w:sz w:val="18"/>
                <w:szCs w:val="18"/>
              </w:rPr>
            </w:pPr>
            <w:r>
              <w:rPr>
                <w:rFonts w:ascii="宋体" w:hAnsi="宋体" w:cs="宋体" w:eastAsia="宋体" w:hint="default"/>
                <w:sz w:val="18"/>
                <w:szCs w:val="18"/>
              </w:rPr>
              <w:t>企业合并 中取得的 权益比例</w:t>
            </w:r>
          </w:p>
        </w:tc>
        <w:tc>
          <w:tcPr>
            <w:tcW w:w="10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166" w:right="165"/>
              <w:jc w:val="center"/>
              <w:rPr>
                <w:rFonts w:ascii="宋体" w:hAnsi="宋体" w:cs="宋体" w:eastAsia="宋体" w:hint="default"/>
                <w:sz w:val="18"/>
                <w:szCs w:val="18"/>
              </w:rPr>
            </w:pPr>
            <w:r>
              <w:rPr>
                <w:rFonts w:ascii="宋体" w:hAnsi="宋体" w:cs="宋体" w:eastAsia="宋体" w:hint="default"/>
                <w:sz w:val="18"/>
                <w:szCs w:val="18"/>
              </w:rPr>
              <w:t>构成同一 控制下企 业合并的 依据</w:t>
            </w:r>
          </w:p>
        </w:tc>
        <w:tc>
          <w:tcPr>
            <w:tcW w:w="106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256" w:right="0"/>
              <w:jc w:val="left"/>
              <w:rPr>
                <w:rFonts w:ascii="宋体" w:hAnsi="宋体" w:cs="宋体" w:eastAsia="宋体" w:hint="default"/>
                <w:sz w:val="18"/>
                <w:szCs w:val="18"/>
              </w:rPr>
            </w:pPr>
            <w:r>
              <w:rPr>
                <w:rFonts w:ascii="宋体" w:hAnsi="宋体" w:cs="宋体" w:eastAsia="宋体" w:hint="default"/>
                <w:sz w:val="18"/>
                <w:szCs w:val="18"/>
              </w:rPr>
              <w:t>合并日</w:t>
            </w:r>
          </w:p>
        </w:tc>
        <w:tc>
          <w:tcPr>
            <w:tcW w:w="106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319" w:lineRule="auto"/>
              <w:ind w:left="167" w:right="165"/>
              <w:jc w:val="left"/>
              <w:rPr>
                <w:rFonts w:ascii="宋体" w:hAnsi="宋体" w:cs="宋体" w:eastAsia="宋体" w:hint="default"/>
                <w:sz w:val="18"/>
                <w:szCs w:val="18"/>
              </w:rPr>
            </w:pPr>
            <w:r>
              <w:rPr>
                <w:rFonts w:ascii="宋体" w:hAnsi="宋体" w:cs="宋体" w:eastAsia="宋体" w:hint="default"/>
                <w:sz w:val="18"/>
                <w:szCs w:val="18"/>
              </w:rPr>
              <w:t>合并日的 确定依据</w:t>
            </w:r>
          </w:p>
        </w:tc>
        <w:tc>
          <w:tcPr>
            <w:tcW w:w="106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66" w:right="165"/>
              <w:jc w:val="center"/>
              <w:rPr>
                <w:rFonts w:ascii="宋体" w:hAnsi="宋体" w:cs="宋体" w:eastAsia="宋体" w:hint="default"/>
                <w:sz w:val="18"/>
                <w:szCs w:val="18"/>
              </w:rPr>
            </w:pPr>
            <w:r>
              <w:rPr>
                <w:rFonts w:ascii="宋体" w:hAnsi="宋体" w:cs="宋体" w:eastAsia="宋体" w:hint="default"/>
                <w:sz w:val="18"/>
                <w:szCs w:val="18"/>
              </w:rPr>
              <w:t>合并当期 期初至合 并日被合 并方的收 入</w:t>
            </w:r>
          </w:p>
        </w:tc>
        <w:tc>
          <w:tcPr>
            <w:tcW w:w="106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66" w:right="165"/>
              <w:jc w:val="center"/>
              <w:rPr>
                <w:rFonts w:ascii="宋体" w:hAnsi="宋体" w:cs="宋体" w:eastAsia="宋体" w:hint="default"/>
                <w:sz w:val="18"/>
                <w:szCs w:val="18"/>
              </w:rPr>
            </w:pPr>
            <w:r>
              <w:rPr>
                <w:rFonts w:ascii="宋体" w:hAnsi="宋体" w:cs="宋体" w:eastAsia="宋体" w:hint="default"/>
                <w:sz w:val="18"/>
                <w:szCs w:val="18"/>
              </w:rPr>
              <w:t>合并当期 期初至合 并日被合 并方的净 利润</w:t>
            </w:r>
          </w:p>
        </w:tc>
        <w:tc>
          <w:tcPr>
            <w:tcW w:w="106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6"/>
              <w:ind w:left="167" w:right="165"/>
              <w:jc w:val="both"/>
              <w:rPr>
                <w:rFonts w:ascii="宋体" w:hAnsi="宋体" w:cs="宋体" w:eastAsia="宋体" w:hint="default"/>
                <w:sz w:val="18"/>
                <w:szCs w:val="18"/>
              </w:rPr>
            </w:pPr>
            <w:r>
              <w:rPr>
                <w:rFonts w:ascii="宋体" w:hAnsi="宋体" w:cs="宋体" w:eastAsia="宋体" w:hint="default"/>
                <w:sz w:val="18"/>
                <w:szCs w:val="18"/>
              </w:rPr>
              <w:t>比较期间 被合并方 的收入</w:t>
            </w:r>
          </w:p>
        </w:tc>
        <w:tc>
          <w:tcPr>
            <w:tcW w:w="106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6"/>
              <w:ind w:left="166" w:right="165"/>
              <w:jc w:val="both"/>
              <w:rPr>
                <w:rFonts w:ascii="宋体" w:hAnsi="宋体" w:cs="宋体" w:eastAsia="宋体" w:hint="default"/>
                <w:sz w:val="18"/>
                <w:szCs w:val="18"/>
              </w:rPr>
            </w:pPr>
            <w:r>
              <w:rPr>
                <w:rFonts w:ascii="宋体" w:hAnsi="宋体" w:cs="宋体" w:eastAsia="宋体" w:hint="default"/>
                <w:sz w:val="18"/>
                <w:szCs w:val="18"/>
              </w:rPr>
              <w:t>比较期间 被合并方 的净利润</w:t>
            </w:r>
          </w:p>
        </w:tc>
      </w:tr>
    </w:tbl>
    <w:p>
      <w:pPr>
        <w:pStyle w:val="BodyText"/>
        <w:spacing w:line="240" w:lineRule="auto" w:before="50"/>
        <w:ind w:right="0"/>
        <w:jc w:val="left"/>
      </w:pPr>
      <w:r>
        <w:rPr/>
        <w:t>其他说明：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t>（</w:t>
      </w:r>
      <w:r>
        <w:rPr>
          <w:rFonts w:ascii="Times New Roman" w:hAnsi="Times New Roman" w:cs="Times New Roman" w:eastAsia="Times New Roman" w:hint="default"/>
        </w:rPr>
        <w:t>2</w:t>
      </w:r>
      <w:r>
        <w:rPr/>
        <w:t>）合并成本</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after="0" w:line="240" w:lineRule="auto"/>
        <w:jc w:val="right"/>
        <w:sectPr>
          <w:pgSz w:w="11910" w:h="16840"/>
          <w:pgMar w:header="906" w:footer="1018" w:top="1100" w:bottom="1200" w:left="1020" w:right="0"/>
        </w:sectPr>
      </w:pPr>
    </w:p>
    <w:p>
      <w:pPr>
        <w:spacing w:line="240" w:lineRule="auto" w:before="2"/>
        <w:rPr>
          <w:rFonts w:ascii="宋体" w:hAnsi="宋体" w:cs="宋体" w:eastAsia="宋体" w:hint="default"/>
          <w:sz w:val="25"/>
          <w:szCs w:val="25"/>
        </w:rPr>
      </w:pPr>
    </w:p>
    <w:p>
      <w:pPr>
        <w:spacing w:line="416" w:lineRule="exact"/>
        <w:ind w:left="104"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9.35pt;height:20.85pt;mso-position-horizontal-relative:char;mso-position-vertical-relative:line" coordorigin="0,0" coordsize="9587,417">
            <v:group style="position:absolute;left:13;top:14;width:4776;height:393" coordorigin="13,14" coordsize="4776,393">
              <v:shape style="position:absolute;left:13;top:14;width:4776;height:393" coordorigin="13,14" coordsize="4776,393" path="m13,14l4789,14,4789,407,13,407,13,14xe" filled="true" fillcolor="#d3d3d3" stroked="false">
                <v:path arrowok="t"/>
                <v:fill type="solid"/>
              </v:shape>
            </v:group>
            <v:group style="position:absolute;left:4798;top:14;width:4775;height:393" coordorigin="4798,14" coordsize="4775,393">
              <v:shape style="position:absolute;left:4798;top:14;width:4775;height:393" coordorigin="4798,14" coordsize="4775,393" path="m4798,14l9572,14,9572,407,4798,407,4798,14xe" filled="true" fillcolor="#d3d3d3" stroked="false">
                <v:path arrowok="t"/>
                <v:fill type="solid"/>
              </v:shape>
            </v:group>
            <v:group style="position:absolute;left:5;top:10;width:9578;height:2" coordorigin="5,10" coordsize="9578,2">
              <v:shape style="position:absolute;left:5;top:10;width:9578;height:2" coordorigin="5,10" coordsize="9578,0" path="m5,10l9582,10e" filled="false" stroked="true" strokeweight=".48pt" strokecolor="#000000">
                <v:path arrowok="t"/>
              </v:shape>
            </v:group>
            <v:group style="position:absolute;left:5;top:412;width:9578;height:2" coordorigin="5,412" coordsize="9578,2">
              <v:shape style="position:absolute;left:5;top:412;width:9578;height:2" coordorigin="5,412" coordsize="9578,0" path="m5,412l9582,412e" filled="false" stroked="true" strokeweight=".48pt" strokecolor="#000000">
                <v:path arrowok="t"/>
              </v:shape>
            </v:group>
            <v:group style="position:absolute;left:10;top:5;width:2;height:402" coordorigin="10,5" coordsize="2,402">
              <v:shape style="position:absolute;left:10;top:5;width:2;height:402" coordorigin="10,5" coordsize="0,402" path="m10,5l10,407e" filled="false" stroked="true" strokeweight=".48pt" strokecolor="#000000">
                <v:path arrowok="t"/>
              </v:shape>
            </v:group>
            <v:group style="position:absolute;left:4793;top:5;width:2;height:402" coordorigin="4793,5" coordsize="2,402">
              <v:shape style="position:absolute;left:4793;top:5;width:2;height:402" coordorigin="4793,5" coordsize="0,402" path="m4793,5l4793,407e" filled="false" stroked="true" strokeweight=".48pt" strokecolor="#000000">
                <v:path arrowok="t"/>
              </v:shape>
            </v:group>
            <v:group style="position:absolute;left:9577;top:5;width:2;height:402" coordorigin="9577,5" coordsize="2,402">
              <v:shape style="position:absolute;left:9577;top:5;width:2;height:402" coordorigin="9577,5" coordsize="0,402" path="m9577,5l9577,407e" filled="false" stroked="true" strokeweight=".48pt" strokecolor="#000000">
                <v:path arrowok="t"/>
              </v:shape>
              <v:shape style="position:absolute;left:10;top:10;width:4784;height:402" type="#_x0000_t202" filled="false" stroked="false">
                <v:textbox inset="0,0,0,0">
                  <w:txbxContent>
                    <w:p>
                      <w:pPr>
                        <w:spacing w:before="55"/>
                        <w:ind w:left="0" w:right="0" w:firstLine="0"/>
                        <w:jc w:val="center"/>
                        <w:rPr>
                          <w:rFonts w:ascii="宋体" w:hAnsi="宋体" w:cs="宋体" w:eastAsia="宋体" w:hint="default"/>
                          <w:sz w:val="18"/>
                          <w:szCs w:val="18"/>
                        </w:rPr>
                      </w:pPr>
                      <w:r>
                        <w:rPr>
                          <w:rFonts w:ascii="宋体" w:hAnsi="宋体" w:cs="宋体" w:eastAsia="宋体" w:hint="default"/>
                          <w:sz w:val="18"/>
                          <w:szCs w:val="18"/>
                        </w:rPr>
                        <w:t>合并成本</w:t>
                      </w:r>
                    </w:p>
                  </w:txbxContent>
                </v:textbox>
                <w10:wrap type="none"/>
              </v:shape>
            </v:group>
          </v:group>
        </w:pict>
      </w:r>
      <w:r>
        <w:rPr>
          <w:rFonts w:ascii="宋体" w:hAnsi="宋体" w:cs="宋体" w:eastAsia="宋体" w:hint="default"/>
          <w:position w:val="-7"/>
          <w:sz w:val="20"/>
          <w:szCs w:val="20"/>
        </w:rPr>
      </w:r>
    </w:p>
    <w:p>
      <w:pPr>
        <w:pStyle w:val="BodyText"/>
        <w:spacing w:line="360" w:lineRule="auto" w:before="50"/>
        <w:ind w:right="8592"/>
        <w:jc w:val="left"/>
      </w:pPr>
      <w:r>
        <w:rPr/>
        <w:t>或有对价及其变动的说明： 其他说明：</w:t>
      </w:r>
    </w:p>
    <w:p>
      <w:pPr>
        <w:spacing w:line="240" w:lineRule="auto" w:before="0"/>
        <w:rPr>
          <w:rFonts w:ascii="宋体" w:hAnsi="宋体" w:cs="宋体" w:eastAsia="宋体" w:hint="default"/>
          <w:sz w:val="20"/>
          <w:szCs w:val="20"/>
        </w:rPr>
      </w:pPr>
    </w:p>
    <w:p>
      <w:pPr>
        <w:pStyle w:val="Heading3"/>
        <w:spacing w:line="240" w:lineRule="auto"/>
        <w:ind w:right="0"/>
        <w:jc w:val="left"/>
        <w:rPr>
          <w:b w:val="0"/>
          <w:bCs w:val="0"/>
        </w:rPr>
      </w:pPr>
      <w:r>
        <w:rPr/>
        <w:t>（</w:t>
      </w:r>
      <w:r>
        <w:rPr>
          <w:rFonts w:ascii="Times New Roman" w:hAnsi="Times New Roman" w:cs="Times New Roman" w:eastAsia="Times New Roman" w:hint="default"/>
        </w:rPr>
        <w:t>3</w:t>
      </w:r>
      <w:r>
        <w:rPr/>
        <w:t>）合并日被合并方资产、负债的账面价值</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11"/>
        <w:rPr>
          <w:rFonts w:ascii="宋体" w:hAnsi="宋体" w:cs="宋体" w:eastAsia="宋体" w:hint="default"/>
          <w:sz w:val="7"/>
          <w:szCs w:val="7"/>
        </w:rPr>
      </w:pPr>
    </w:p>
    <w:p>
      <w:pPr>
        <w:spacing w:line="823" w:lineRule="exact"/>
        <w:ind w:left="104"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79.5pt;height:41.2pt;mso-position-horizontal-relative:char;mso-position-vertical-relative:line" coordorigin="0,0" coordsize="9590,824">
            <v:group style="position:absolute;left:13;top:14;width:3182;height:393" coordorigin="13,14" coordsize="3182,393">
              <v:shape style="position:absolute;left:13;top:14;width:3182;height:393" coordorigin="13,14" coordsize="3182,393" path="m13,14l3194,14,3194,406,13,406,13,14xe" filled="true" fillcolor="#d3d3d3" stroked="false">
                <v:path arrowok="t"/>
                <v:fill type="solid"/>
              </v:shape>
            </v:group>
            <v:group style="position:absolute;left:3203;top:14;width:6371;height:393" coordorigin="3203,14" coordsize="6371,393">
              <v:shape style="position:absolute;left:3203;top:14;width:6371;height:393" coordorigin="3203,14" coordsize="6371,393" path="m3203,14l9574,14,9574,406,3203,406,3203,14xe" filled="true" fillcolor="#d3d3d3" stroked="false">
                <v:path arrowok="t"/>
                <v:fill type="solid"/>
              </v:shape>
            </v:group>
            <v:group style="position:absolute;left:13;top:416;width:3182;height:393" coordorigin="13,416" coordsize="3182,393">
              <v:shape style="position:absolute;left:13;top:416;width:3182;height:393" coordorigin="13,416" coordsize="3182,393" path="m13,416l3194,416,3194,809,13,809,13,416xe" filled="true" fillcolor="#d3d3d3" stroked="false">
                <v:path arrowok="t"/>
                <v:fill type="solid"/>
              </v:shape>
            </v:group>
            <v:group style="position:absolute;left:3203;top:416;width:3182;height:393" coordorigin="3203,416" coordsize="3182,393">
              <v:shape style="position:absolute;left:3203;top:416;width:3182;height:393" coordorigin="3203,416" coordsize="3182,393" path="m3203,416l6385,416,6385,809,3203,809,3203,416xe" filled="true" fillcolor="#d3d3d3" stroked="false">
                <v:path arrowok="t"/>
                <v:fill type="solid"/>
              </v:shape>
            </v:group>
            <v:group style="position:absolute;left:6394;top:416;width:3181;height:393" coordorigin="6394,416" coordsize="3181,393">
              <v:shape style="position:absolute;left:6394;top:416;width:3181;height:393" coordorigin="6394,416" coordsize="3181,393" path="m6394,416l9574,416,9574,809,6394,809,6394,416xe" filled="true" fillcolor="#d3d3d3" stroked="false">
                <v:path arrowok="t"/>
                <v:fill type="solid"/>
              </v:shape>
            </v:group>
            <v:group style="position:absolute;left:5;top:10;width:9580;height:2" coordorigin="5,10" coordsize="9580,2">
              <v:shape style="position:absolute;left:5;top:10;width:9580;height:2" coordorigin="5,10" coordsize="9580,0" path="m5,10l9584,10e" filled="false" stroked="true" strokeweight=".48pt" strokecolor="#000000">
                <v:path arrowok="t"/>
              </v:shape>
            </v:group>
            <v:group style="position:absolute;left:5;top:412;width:9580;height:2" coordorigin="5,412" coordsize="9580,2">
              <v:shape style="position:absolute;left:5;top:412;width:9580;height:2" coordorigin="5,412" coordsize="9580,0" path="m5,412l9584,412e" filled="false" stroked="true" strokeweight=".48pt" strokecolor="#000000">
                <v:path arrowok="t"/>
              </v:shape>
            </v:group>
            <v:group style="position:absolute;left:5;top:814;width:9580;height:2" coordorigin="5,814" coordsize="9580,2">
              <v:shape style="position:absolute;left:5;top:814;width:9580;height:2" coordorigin="5,814" coordsize="9580,0" path="m5,814l9584,814e" filled="false" stroked="true" strokeweight=".48pt" strokecolor="#000000">
                <v:path arrowok="t"/>
              </v:shape>
            </v:group>
            <v:group style="position:absolute;left:10;top:5;width:2;height:814" coordorigin="10,5" coordsize="2,814">
              <v:shape style="position:absolute;left:10;top:5;width:2;height:814" coordorigin="10,5" coordsize="0,814" path="m10,5l10,818e" filled="false" stroked="true" strokeweight=".48pt" strokecolor="#000000">
                <v:path arrowok="t"/>
              </v:shape>
            </v:group>
            <v:group style="position:absolute;left:3199;top:5;width:2;height:804" coordorigin="3199,5" coordsize="2,804">
              <v:shape style="position:absolute;left:3199;top:5;width:2;height:804" coordorigin="3199,5" coordsize="0,804" path="m3199,5l3199,809e" filled="false" stroked="true" strokeweight=".48pt" strokecolor="#000000">
                <v:path arrowok="t"/>
              </v:shape>
            </v:group>
            <v:group style="position:absolute;left:6389;top:407;width:2;height:402" coordorigin="6389,407" coordsize="2,402">
              <v:shape style="position:absolute;left:6389;top:407;width:2;height:402" coordorigin="6389,407" coordsize="0,402" path="m6389,407l6389,809e" filled="false" stroked="true" strokeweight=".48pt" strokecolor="#000000">
                <v:path arrowok="t"/>
              </v:shape>
            </v:group>
            <v:group style="position:absolute;left:9580;top:14;width:2;height:804" coordorigin="9580,14" coordsize="2,804">
              <v:shape style="position:absolute;left:9580;top:14;width:2;height:804" coordorigin="9580,14" coordsize="0,804" path="m9580,14l9580,818e" filled="false" stroked="true" strokeweight=".48pt" strokecolor="#000000">
                <v:path arrowok="t"/>
              </v:shape>
              <v:shape style="position:absolute;left:3199;top:411;width:3191;height:403" type="#_x0000_t202" filled="false" stroked="false">
                <v:textbox inset="0,0,0,0">
                  <w:txbxContent>
                    <w:p>
                      <w:pPr>
                        <w:spacing w:before="54"/>
                        <w:ind w:left="0" w:right="0" w:firstLine="0"/>
                        <w:jc w:val="center"/>
                        <w:rPr>
                          <w:rFonts w:ascii="宋体" w:hAnsi="宋体" w:cs="宋体" w:eastAsia="宋体" w:hint="default"/>
                          <w:sz w:val="18"/>
                          <w:szCs w:val="18"/>
                        </w:rPr>
                      </w:pPr>
                      <w:r>
                        <w:rPr>
                          <w:rFonts w:ascii="宋体" w:hAnsi="宋体" w:cs="宋体" w:eastAsia="宋体" w:hint="default"/>
                          <w:sz w:val="18"/>
                          <w:szCs w:val="18"/>
                        </w:rPr>
                        <w:t>合并日</w:t>
                      </w:r>
                    </w:p>
                  </w:txbxContent>
                </v:textbox>
                <w10:wrap type="none"/>
              </v:shape>
              <v:shape style="position:absolute;left:6389;top:411;width:3190;height:403" type="#_x0000_t202" filled="false" stroked="false">
                <v:textbox inset="0,0,0,0">
                  <w:txbxContent>
                    <w:p>
                      <w:pPr>
                        <w:spacing w:before="54"/>
                        <w:ind w:left="0" w:right="0" w:firstLine="0"/>
                        <w:jc w:val="center"/>
                        <w:rPr>
                          <w:rFonts w:ascii="宋体" w:hAnsi="宋体" w:cs="宋体" w:eastAsia="宋体" w:hint="default"/>
                          <w:sz w:val="18"/>
                          <w:szCs w:val="18"/>
                        </w:rPr>
                      </w:pPr>
                      <w:r>
                        <w:rPr>
                          <w:rFonts w:ascii="宋体" w:hAnsi="宋体" w:cs="宋体" w:eastAsia="宋体" w:hint="default"/>
                          <w:sz w:val="18"/>
                          <w:szCs w:val="18"/>
                        </w:rPr>
                        <w:t>上期期末</w:t>
                      </w:r>
                    </w:p>
                  </w:txbxContent>
                </v:textbox>
                <w10:wrap type="none"/>
              </v:shape>
            </v:group>
          </v:group>
        </w:pict>
      </w:r>
      <w:r>
        <w:rPr>
          <w:rFonts w:ascii="宋体" w:hAnsi="宋体" w:cs="宋体" w:eastAsia="宋体" w:hint="default"/>
          <w:position w:val="-15"/>
          <w:sz w:val="20"/>
          <w:szCs w:val="20"/>
        </w:rPr>
      </w:r>
    </w:p>
    <w:p>
      <w:pPr>
        <w:pStyle w:val="BodyText"/>
        <w:spacing w:line="360" w:lineRule="auto" w:before="45"/>
        <w:ind w:right="7512"/>
        <w:jc w:val="left"/>
      </w:pPr>
      <w:r>
        <w:rPr/>
        <w:t>企业合并中承担的被合并方的或有负债： 其他说明：</w:t>
      </w:r>
    </w:p>
    <w:p>
      <w:pPr>
        <w:spacing w:line="240" w:lineRule="auto" w:before="0"/>
        <w:rPr>
          <w:rFonts w:ascii="宋体" w:hAnsi="宋体" w:cs="宋体" w:eastAsia="宋体" w:hint="default"/>
          <w:sz w:val="20"/>
          <w:szCs w:val="20"/>
        </w:rPr>
      </w:pPr>
    </w:p>
    <w:p>
      <w:pPr>
        <w:pStyle w:val="Heading3"/>
        <w:spacing w:line="240" w:lineRule="auto"/>
        <w:ind w:right="0"/>
        <w:jc w:val="left"/>
        <w:rPr>
          <w:b w:val="0"/>
          <w:bCs w:val="0"/>
        </w:rPr>
      </w:pPr>
      <w:r>
        <w:rPr>
          <w:rFonts w:ascii="Times New Roman" w:hAnsi="Times New Roman" w:cs="Times New Roman" w:eastAsia="Times New Roman" w:hint="default"/>
        </w:rPr>
        <w:t>3</w:t>
      </w:r>
      <w:r>
        <w:rPr/>
        <w:t>、反向购买</w:t>
      </w:r>
      <w:r>
        <w:rPr>
          <w:b w:val="0"/>
          <w:bCs w:val="0"/>
        </w:rPr>
      </w:r>
    </w:p>
    <w:p>
      <w:pPr>
        <w:spacing w:line="240" w:lineRule="auto" w:before="7"/>
        <w:rPr>
          <w:rFonts w:ascii="宋体" w:hAnsi="宋体" w:cs="宋体" w:eastAsia="宋体" w:hint="default"/>
          <w:b/>
          <w:bCs/>
          <w:sz w:val="26"/>
          <w:szCs w:val="26"/>
        </w:rPr>
      </w:pPr>
    </w:p>
    <w:p>
      <w:pPr>
        <w:pStyle w:val="BodyText"/>
        <w:spacing w:line="319" w:lineRule="auto"/>
        <w:ind w:right="0"/>
        <w:jc w:val="left"/>
      </w:pPr>
      <w:r>
        <w:rPr>
          <w:spacing w:val="-2"/>
        </w:rPr>
        <w:t>交易基本信息、交易构成反向购买的依据、上市公司保留的资产、负债是否构成业务及其依据、合并成本的确定、按照权益</w:t>
      </w:r>
      <w:r>
        <w:rPr>
          <w:spacing w:val="-66"/>
        </w:rPr>
        <w:t> </w:t>
      </w:r>
      <w:r>
        <w:rPr>
          <w:spacing w:val="-66"/>
        </w:rPr>
      </w:r>
      <w:r>
        <w:rPr/>
        <w:t>性交易处理时调整权益的金额及其计算：</w:t>
      </w:r>
    </w:p>
    <w:p>
      <w:pPr>
        <w:spacing w:line="240" w:lineRule="auto" w:before="5"/>
        <w:rPr>
          <w:rFonts w:ascii="宋体" w:hAnsi="宋体" w:cs="宋体" w:eastAsia="宋体" w:hint="default"/>
          <w:sz w:val="22"/>
          <w:szCs w:val="22"/>
        </w:rPr>
      </w:pPr>
    </w:p>
    <w:p>
      <w:pPr>
        <w:pStyle w:val="Heading3"/>
        <w:spacing w:line="240" w:lineRule="auto"/>
        <w:ind w:right="0"/>
        <w:jc w:val="left"/>
        <w:rPr>
          <w:b w:val="0"/>
          <w:bCs w:val="0"/>
        </w:rPr>
      </w:pPr>
      <w:r>
        <w:rPr>
          <w:rFonts w:ascii="Times New Roman" w:hAnsi="Times New Roman" w:cs="Times New Roman" w:eastAsia="Times New Roman" w:hint="default"/>
        </w:rPr>
        <w:t>4</w:t>
      </w:r>
      <w:r>
        <w:rPr/>
        <w:t>、处置子公司</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是否存在单次处置对子公司投资即丧失控制权的情形</w:t>
      </w:r>
    </w:p>
    <w:p>
      <w:pPr>
        <w:pStyle w:val="BodyText"/>
        <w:spacing w:line="357" w:lineRule="auto" w:before="116"/>
        <w:ind w:right="4992"/>
        <w:jc w:val="left"/>
      </w:pPr>
      <w:r>
        <w:rPr/>
        <w:t>□ 是 √ 否 是否存在通过多次交易分步处置对子公司投资且在本期丧失控制权的情形</w:t>
      </w:r>
    </w:p>
    <w:p>
      <w:pPr>
        <w:pStyle w:val="BodyText"/>
        <w:spacing w:line="240" w:lineRule="auto" w:before="28"/>
        <w:ind w:right="0"/>
        <w:jc w:val="left"/>
      </w:pPr>
      <w:r>
        <w:rPr/>
        <w:t>□ 是 √ 否</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5</w:t>
      </w:r>
      <w:r>
        <w:rPr/>
        <w:t>、其他原因的合并范围变动</w:t>
      </w:r>
      <w:r>
        <w:rPr>
          <w:b w:val="0"/>
          <w:bCs w:val="0"/>
        </w:rPr>
      </w:r>
    </w:p>
    <w:p>
      <w:pPr>
        <w:spacing w:line="240" w:lineRule="auto" w:before="7"/>
        <w:rPr>
          <w:rFonts w:ascii="宋体" w:hAnsi="宋体" w:cs="宋体" w:eastAsia="宋体" w:hint="default"/>
          <w:b/>
          <w:bCs/>
          <w:sz w:val="26"/>
          <w:szCs w:val="26"/>
        </w:rPr>
      </w:pPr>
    </w:p>
    <w:p>
      <w:pPr>
        <w:pStyle w:val="BodyText"/>
        <w:spacing w:line="357" w:lineRule="auto"/>
        <w:ind w:right="1120"/>
        <w:jc w:val="left"/>
        <w:rPr>
          <w:rFonts w:ascii="Times New Roman" w:hAnsi="Times New Roman" w:cs="Times New Roman" w:eastAsia="Times New Roman" w:hint="default"/>
        </w:rPr>
      </w:pPr>
      <w:r>
        <w:rPr/>
        <w:t>说明其他原因导致的合并范围变动（如，新设子公司、清算子公司等）及其相关情况： </w:t>
      </w:r>
      <w:r>
        <w:rPr>
          <w:spacing w:val="-1"/>
        </w:rPr>
        <w:t>公司拟以自有资金</w:t>
      </w:r>
      <w:r>
        <w:rPr>
          <w:rFonts w:ascii="Times New Roman" w:hAnsi="Times New Roman" w:cs="Times New Roman" w:eastAsia="Times New Roman" w:hint="default"/>
          <w:spacing w:val="-1"/>
        </w:rPr>
        <w:t>30</w:t>
      </w:r>
      <w:r>
        <w:rPr>
          <w:spacing w:val="-1"/>
        </w:rPr>
        <w:t>万美元在印度尼西亚投资设立子公司</w:t>
      </w:r>
      <w:r>
        <w:rPr>
          <w:rFonts w:ascii="Times New Roman" w:hAnsi="Times New Roman" w:cs="Times New Roman" w:eastAsia="Times New Roman" w:hint="default"/>
          <w:spacing w:val="-1"/>
        </w:rPr>
        <w:t>“PT.Chipstone</w:t>
      </w:r>
      <w:r>
        <w:rPr>
          <w:rFonts w:ascii="Times New Roman" w:hAnsi="Times New Roman" w:cs="Times New Roman" w:eastAsia="Times New Roman" w:hint="default"/>
        </w:rPr>
        <w:t> </w:t>
      </w:r>
      <w:r>
        <w:rPr>
          <w:rFonts w:ascii="Times New Roman" w:hAnsi="Times New Roman" w:cs="Times New Roman" w:eastAsia="Times New Roman" w:hint="default"/>
          <w:spacing w:val="-2"/>
        </w:rPr>
        <w:t>Technologies</w:t>
      </w:r>
      <w:r>
        <w:rPr>
          <w:rFonts w:ascii="Times New Roman" w:hAnsi="Times New Roman" w:cs="Times New Roman" w:eastAsia="Times New Roman" w:hint="default"/>
          <w:spacing w:val="33"/>
        </w:rPr>
        <w:t> </w:t>
      </w:r>
      <w:r>
        <w:rPr>
          <w:rFonts w:ascii="Times New Roman" w:hAnsi="Times New Roman" w:cs="Times New Roman" w:eastAsia="Times New Roman" w:hint="default"/>
          <w:spacing w:val="-2"/>
        </w:rPr>
        <w:t>Indonesia”</w:t>
      </w:r>
      <w:r>
        <w:rPr>
          <w:spacing w:val="-2"/>
        </w:rPr>
        <w:t>，公司持股比例</w:t>
      </w:r>
      <w:r>
        <w:rPr>
          <w:rFonts w:ascii="Times New Roman" w:hAnsi="Times New Roman" w:cs="Times New Roman" w:eastAsia="Times New Roman" w:hint="default"/>
          <w:spacing w:val="-2"/>
        </w:rPr>
        <w:t>99%</w:t>
      </w:r>
      <w:r>
        <w:rPr>
          <w:spacing w:val="-2"/>
        </w:rPr>
        <w:t>。于</w:t>
      </w:r>
      <w:r>
        <w:rPr>
          <w:rFonts w:ascii="Times New Roman" w:hAnsi="Times New Roman" w:cs="Times New Roman" w:eastAsia="Times New Roman" w:hint="default"/>
          <w:spacing w:val="-2"/>
        </w:rPr>
        <w:t>2019</w:t>
      </w:r>
    </w:p>
    <w:p>
      <w:pPr>
        <w:pStyle w:val="BodyText"/>
        <w:spacing w:line="214" w:lineRule="exact"/>
        <w:ind w:right="0"/>
        <w:jc w:val="left"/>
      </w:pPr>
      <w:r>
        <w:rPr/>
        <w:t>年</w:t>
      </w:r>
      <w:r>
        <w:rPr>
          <w:rFonts w:ascii="Times New Roman" w:hAnsi="Times New Roman" w:cs="Times New Roman" w:eastAsia="Times New Roman" w:hint="default"/>
        </w:rPr>
        <w:t>5</w:t>
      </w:r>
      <w:r>
        <w:rPr/>
        <w:t>月完成工商注册登记。截至</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日止，相关出资程序尚未履行完毕。</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6"/>
          <w:szCs w:val="16"/>
        </w:rPr>
      </w:pPr>
    </w:p>
    <w:p>
      <w:pPr>
        <w:spacing w:line="487" w:lineRule="auto" w:before="0"/>
        <w:ind w:left="113" w:right="810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、其他</w:t>
      </w:r>
      <w:r>
        <w:rPr>
          <w:rFonts w:ascii="宋体" w:hAnsi="宋体" w:cs="宋体" w:eastAsia="宋体" w:hint="default"/>
          <w:b/>
          <w:bCs/>
          <w:w w:val="99"/>
          <w:sz w:val="21"/>
          <w:szCs w:val="21"/>
        </w:rPr>
        <w:t> </w:t>
      </w:r>
      <w:r>
        <w:rPr>
          <w:rFonts w:ascii="宋体" w:hAnsi="宋体" w:cs="宋体" w:eastAsia="宋体" w:hint="default"/>
          <w:b/>
          <w:bCs/>
          <w:sz w:val="24"/>
          <w:szCs w:val="24"/>
        </w:rPr>
        <w:t>九、在其他主体中的权益</w:t>
      </w:r>
      <w:r>
        <w:rPr>
          <w:rFonts w:ascii="宋体" w:hAnsi="宋体" w:cs="宋体" w:eastAsia="宋体" w:hint="default"/>
          <w:b/>
          <w:bCs/>
          <w:w w:val="99"/>
          <w:sz w:val="24"/>
          <w:szCs w:val="24"/>
        </w:rPr>
        <w:t> </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、在子公司中的权益</w:t>
      </w:r>
      <w:r>
        <w:rPr>
          <w:rFonts w:ascii="宋体" w:hAnsi="宋体" w:cs="宋体" w:eastAsia="宋体" w:hint="default"/>
          <w:sz w:val="21"/>
          <w:szCs w:val="21"/>
        </w:rPr>
      </w:r>
    </w:p>
    <w:p>
      <w:pPr>
        <w:pStyle w:val="Heading3"/>
        <w:spacing w:line="240" w:lineRule="auto" w:before="83"/>
        <w:ind w:right="0"/>
        <w:jc w:val="left"/>
        <w:rPr>
          <w:b w:val="0"/>
          <w:bCs w:val="0"/>
        </w:rPr>
      </w:pPr>
      <w:r>
        <w:rPr/>
        <w:t>（</w:t>
      </w:r>
      <w:r>
        <w:rPr>
          <w:rFonts w:ascii="Times New Roman" w:hAnsi="Times New Roman" w:cs="Times New Roman" w:eastAsia="Times New Roman" w:hint="default"/>
        </w:rPr>
        <w:t>1</w:t>
      </w:r>
      <w:r>
        <w:rPr/>
        <w:t>）企业集团的构成</w:t>
      </w:r>
      <w:r>
        <w:rPr>
          <w:b w:val="0"/>
          <w:bCs w:val="0"/>
        </w:rPr>
      </w:r>
    </w:p>
    <w:p>
      <w:pPr>
        <w:spacing w:line="240" w:lineRule="auto" w:before="10"/>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1371"/>
        <w:gridCol w:w="1367"/>
        <w:gridCol w:w="1367"/>
        <w:gridCol w:w="1367"/>
        <w:gridCol w:w="1367"/>
        <w:gridCol w:w="1366"/>
        <w:gridCol w:w="1366"/>
      </w:tblGrid>
      <w:tr>
        <w:trPr>
          <w:trHeight w:val="402" w:hRule="exact"/>
        </w:trPr>
        <w:tc>
          <w:tcPr>
            <w:tcW w:w="1371"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left="229"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367"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left="228"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367"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left="407"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367"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left="318"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2733"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持股比例</w:t>
            </w:r>
          </w:p>
        </w:tc>
        <w:tc>
          <w:tcPr>
            <w:tcW w:w="1366"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left="318" w:right="0"/>
              <w:jc w:val="left"/>
              <w:rPr>
                <w:rFonts w:ascii="宋体" w:hAnsi="宋体" w:cs="宋体" w:eastAsia="宋体" w:hint="default"/>
                <w:sz w:val="18"/>
                <w:szCs w:val="18"/>
              </w:rPr>
            </w:pPr>
            <w:r>
              <w:rPr>
                <w:rFonts w:ascii="宋体" w:hAnsi="宋体" w:cs="宋体" w:eastAsia="宋体" w:hint="default"/>
                <w:sz w:val="18"/>
                <w:szCs w:val="18"/>
              </w:rPr>
              <w:t>取得方式</w:t>
            </w:r>
          </w:p>
        </w:tc>
      </w:tr>
      <w:tr>
        <w:trPr>
          <w:trHeight w:val="402" w:hRule="exact"/>
        </w:trPr>
        <w:tc>
          <w:tcPr>
            <w:tcW w:w="1371" w:type="dxa"/>
            <w:vMerge/>
            <w:tcBorders>
              <w:left w:val="single" w:sz="4" w:space="0" w:color="000000"/>
              <w:bottom w:val="single" w:sz="4" w:space="0" w:color="000000"/>
              <w:right w:val="single" w:sz="4" w:space="0" w:color="000000"/>
            </w:tcBorders>
            <w:shd w:val="clear" w:color="auto" w:fill="D3D3D3"/>
          </w:tcPr>
          <w:p>
            <w:pPr/>
          </w:p>
        </w:tc>
        <w:tc>
          <w:tcPr>
            <w:tcW w:w="1367" w:type="dxa"/>
            <w:vMerge/>
            <w:tcBorders>
              <w:left w:val="single" w:sz="4" w:space="0" w:color="000000"/>
              <w:bottom w:val="single" w:sz="4" w:space="0" w:color="000000"/>
              <w:right w:val="single" w:sz="4" w:space="0" w:color="000000"/>
            </w:tcBorders>
            <w:shd w:val="clear" w:color="auto" w:fill="D3D3D3"/>
          </w:tcPr>
          <w:p>
            <w:pPr/>
          </w:p>
        </w:tc>
        <w:tc>
          <w:tcPr>
            <w:tcW w:w="1367" w:type="dxa"/>
            <w:vMerge/>
            <w:tcBorders>
              <w:left w:val="single" w:sz="4" w:space="0" w:color="000000"/>
              <w:bottom w:val="single" w:sz="4" w:space="0" w:color="000000"/>
              <w:right w:val="single" w:sz="4" w:space="0" w:color="000000"/>
            </w:tcBorders>
            <w:shd w:val="clear" w:color="auto" w:fill="D3D3D3"/>
          </w:tcPr>
          <w:p>
            <w:pPr/>
          </w:p>
        </w:tc>
        <w:tc>
          <w:tcPr>
            <w:tcW w:w="1367" w:type="dxa"/>
            <w:vMerge/>
            <w:tcBorders>
              <w:left w:val="single" w:sz="4" w:space="0" w:color="000000"/>
              <w:bottom w:val="single" w:sz="4" w:space="0" w:color="000000"/>
              <w:right w:val="single" w:sz="4" w:space="0" w:color="000000"/>
            </w:tcBorders>
            <w:shd w:val="clear" w:color="auto" w:fill="D3D3D3"/>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直接</w:t>
            </w:r>
          </w:p>
        </w:tc>
        <w:tc>
          <w:tcPr>
            <w:tcW w:w="13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间接</w:t>
            </w:r>
          </w:p>
        </w:tc>
        <w:tc>
          <w:tcPr>
            <w:tcW w:w="1366" w:type="dxa"/>
            <w:vMerge/>
            <w:tcBorders>
              <w:left w:val="single" w:sz="4" w:space="0" w:color="000000"/>
              <w:bottom w:val="single" w:sz="4" w:space="0" w:color="000000"/>
              <w:right w:val="single" w:sz="4" w:space="0" w:color="000000"/>
            </w:tcBorders>
            <w:shd w:val="clear" w:color="auto" w:fill="D3D3D3"/>
          </w:tcPr>
          <w:p>
            <w:pPr/>
          </w:p>
        </w:tc>
      </w:tr>
      <w:tr>
        <w:trPr>
          <w:trHeight w:val="401"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102" w:right="0"/>
              <w:jc w:val="left"/>
              <w:rPr>
                <w:rFonts w:ascii="宋体" w:hAnsi="宋体" w:cs="宋体" w:eastAsia="宋体" w:hint="default"/>
                <w:sz w:val="18"/>
                <w:szCs w:val="18"/>
              </w:rPr>
            </w:pPr>
            <w:r>
              <w:rPr>
                <w:rFonts w:ascii="宋体" w:hAnsi="宋体" w:cs="宋体" w:eastAsia="宋体" w:hint="default"/>
                <w:sz w:val="18"/>
                <w:szCs w:val="18"/>
              </w:rPr>
              <w:t>江苏恒宝智能</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江苏南京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江苏南京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制造业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09" w:right="0"/>
              <w:jc w:val="left"/>
              <w:rPr>
                <w:rFonts w:ascii="Times New Roman" w:hAnsi="Times New Roman" w:cs="Times New Roman" w:eastAsia="Times New Roman" w:hint="default"/>
                <w:sz w:val="18"/>
                <w:szCs w:val="18"/>
              </w:rPr>
            </w:pPr>
            <w:r>
              <w:rPr>
                <w:rFonts w:ascii="Times New Roman"/>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设立</w:t>
            </w:r>
          </w:p>
        </w:tc>
      </w:tr>
    </w:tbl>
    <w:p>
      <w:pPr>
        <w:spacing w:after="0" w:line="240" w:lineRule="auto"/>
        <w:jc w:val="left"/>
        <w:rPr>
          <w:rFonts w:ascii="宋体" w:hAnsi="宋体" w:cs="宋体" w:eastAsia="宋体" w:hint="default"/>
          <w:sz w:val="18"/>
          <w:szCs w:val="18"/>
        </w:rPr>
        <w:sectPr>
          <w:pgSz w:w="11910" w:h="16840"/>
          <w:pgMar w:header="906" w:footer="1018" w:top="1100" w:bottom="1200" w:left="1020" w:right="0"/>
        </w:sectPr>
      </w:pPr>
    </w:p>
    <w:p>
      <w:pPr>
        <w:spacing w:line="240" w:lineRule="auto" w:before="7"/>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1371"/>
        <w:gridCol w:w="1367"/>
        <w:gridCol w:w="1367"/>
        <w:gridCol w:w="1367"/>
        <w:gridCol w:w="1367"/>
        <w:gridCol w:w="1366"/>
        <w:gridCol w:w="1366"/>
      </w:tblGrid>
      <w:tr>
        <w:trPr>
          <w:trHeight w:val="67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102" w:right="176"/>
              <w:jc w:val="left"/>
              <w:rPr>
                <w:rFonts w:ascii="宋体" w:hAnsi="宋体" w:cs="宋体" w:eastAsia="宋体" w:hint="default"/>
                <w:sz w:val="18"/>
                <w:szCs w:val="18"/>
              </w:rPr>
            </w:pPr>
            <w:r>
              <w:rPr>
                <w:rFonts w:ascii="宋体" w:hAnsi="宋体" w:cs="宋体" w:eastAsia="宋体" w:hint="default"/>
                <w:sz w:val="18"/>
                <w:szCs w:val="18"/>
              </w:rPr>
              <w:t>系统技术有限 公司</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2" w:right="176"/>
              <w:jc w:val="both"/>
              <w:rPr>
                <w:rFonts w:ascii="宋体" w:hAnsi="宋体" w:cs="宋体" w:eastAsia="宋体" w:hint="default"/>
                <w:sz w:val="18"/>
                <w:szCs w:val="18"/>
              </w:rPr>
            </w:pPr>
            <w:r>
              <w:rPr>
                <w:rFonts w:ascii="宋体" w:hAnsi="宋体" w:cs="宋体" w:eastAsia="宋体" w:hint="default"/>
                <w:sz w:val="18"/>
                <w:szCs w:val="18"/>
              </w:rPr>
              <w:t>北京东方英卡 数字信息技术 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3" w:right="0"/>
              <w:jc w:val="left"/>
              <w:rPr>
                <w:rFonts w:ascii="宋体" w:hAnsi="宋体" w:cs="宋体" w:eastAsia="宋体" w:hint="default"/>
                <w:sz w:val="18"/>
                <w:szCs w:val="18"/>
              </w:rPr>
            </w:pPr>
            <w:r>
              <w:rPr>
                <w:rFonts w:ascii="宋体" w:hAnsi="宋体" w:cs="宋体" w:eastAsia="宋体" w:hint="default"/>
                <w:sz w:val="18"/>
                <w:szCs w:val="18"/>
              </w:rPr>
              <w:t>贸易</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102" w:right="171"/>
              <w:jc w:val="left"/>
              <w:rPr>
                <w:rFonts w:ascii="宋体" w:hAnsi="宋体" w:cs="宋体" w:eastAsia="宋体" w:hint="default"/>
                <w:sz w:val="18"/>
                <w:szCs w:val="18"/>
              </w:rPr>
            </w:pPr>
            <w:r>
              <w:rPr>
                <w:rFonts w:ascii="宋体" w:hAnsi="宋体" w:cs="宋体" w:eastAsia="宋体" w:hint="default"/>
                <w:sz w:val="18"/>
                <w:szCs w:val="18"/>
              </w:rPr>
              <w:t>非同一控制下 企业合并取得</w:t>
            </w:r>
          </w:p>
        </w:tc>
      </w:tr>
      <w:tr>
        <w:trPr>
          <w:trHeight w:val="71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2" w:right="176"/>
              <w:jc w:val="left"/>
              <w:rPr>
                <w:rFonts w:ascii="宋体" w:hAnsi="宋体" w:cs="宋体" w:eastAsia="宋体" w:hint="default"/>
                <w:sz w:val="18"/>
                <w:szCs w:val="18"/>
              </w:rPr>
            </w:pPr>
            <w:r>
              <w:rPr>
                <w:rFonts w:ascii="宋体" w:hAnsi="宋体" w:cs="宋体" w:eastAsia="宋体" w:hint="default"/>
                <w:sz w:val="18"/>
                <w:szCs w:val="18"/>
              </w:rPr>
              <w:t>恒宝国际有限 责任公司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新加坡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新加坡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贸易</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1026"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2" w:right="176"/>
              <w:jc w:val="both"/>
              <w:rPr>
                <w:rFonts w:ascii="宋体" w:hAnsi="宋体" w:cs="宋体" w:eastAsia="宋体" w:hint="default"/>
                <w:sz w:val="18"/>
                <w:szCs w:val="18"/>
              </w:rPr>
            </w:pPr>
            <w:r>
              <w:rPr>
                <w:rFonts w:ascii="宋体" w:hAnsi="宋体" w:cs="宋体" w:eastAsia="宋体" w:hint="default"/>
                <w:sz w:val="18"/>
                <w:szCs w:val="18"/>
              </w:rPr>
              <w:t>恒宝科技（印 度）私人有限 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2" w:right="0"/>
              <w:jc w:val="left"/>
              <w:rPr>
                <w:rFonts w:ascii="宋体" w:hAnsi="宋体" w:cs="宋体" w:eastAsia="宋体" w:hint="default"/>
                <w:sz w:val="18"/>
                <w:szCs w:val="18"/>
              </w:rPr>
            </w:pPr>
            <w:r>
              <w:rPr>
                <w:rFonts w:ascii="宋体" w:hAnsi="宋体" w:cs="宋体" w:eastAsia="宋体" w:hint="default"/>
                <w:sz w:val="18"/>
                <w:szCs w:val="18"/>
              </w:rPr>
              <w:t>印度</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3" w:right="0"/>
              <w:jc w:val="left"/>
              <w:rPr>
                <w:rFonts w:ascii="宋体" w:hAnsi="宋体" w:cs="宋体" w:eastAsia="宋体" w:hint="default"/>
                <w:sz w:val="18"/>
                <w:szCs w:val="18"/>
              </w:rPr>
            </w:pPr>
            <w:r>
              <w:rPr>
                <w:rFonts w:ascii="宋体" w:hAnsi="宋体" w:cs="宋体" w:eastAsia="宋体" w:hint="default"/>
                <w:sz w:val="18"/>
                <w:szCs w:val="18"/>
              </w:rPr>
              <w:t>印度</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3" w:right="0"/>
              <w:jc w:val="left"/>
              <w:rPr>
                <w:rFonts w:ascii="宋体" w:hAnsi="宋体" w:cs="宋体" w:eastAsia="宋体" w:hint="default"/>
                <w:sz w:val="18"/>
                <w:szCs w:val="18"/>
              </w:rPr>
            </w:pPr>
            <w:r>
              <w:rPr>
                <w:rFonts w:ascii="宋体" w:hAnsi="宋体" w:cs="宋体" w:eastAsia="宋体" w:hint="default"/>
                <w:sz w:val="18"/>
                <w:szCs w:val="18"/>
              </w:rPr>
              <w:t>贸易</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1026"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2" w:right="176"/>
              <w:jc w:val="both"/>
              <w:rPr>
                <w:rFonts w:ascii="宋体" w:hAnsi="宋体" w:cs="宋体" w:eastAsia="宋体" w:hint="default"/>
                <w:sz w:val="18"/>
                <w:szCs w:val="18"/>
              </w:rPr>
            </w:pPr>
            <w:r>
              <w:rPr>
                <w:rFonts w:ascii="宋体" w:hAnsi="宋体" w:cs="宋体" w:eastAsia="宋体" w:hint="default"/>
                <w:sz w:val="18"/>
                <w:szCs w:val="18"/>
              </w:rPr>
              <w:t>云宝金服（北 京）科技有限 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3" w:right="0"/>
              <w:jc w:val="left"/>
              <w:rPr>
                <w:rFonts w:ascii="宋体" w:hAnsi="宋体" w:cs="宋体" w:eastAsia="宋体" w:hint="default"/>
                <w:sz w:val="18"/>
                <w:szCs w:val="18"/>
              </w:rPr>
            </w:pPr>
            <w:r>
              <w:rPr>
                <w:rFonts w:ascii="宋体" w:hAnsi="宋体" w:cs="宋体" w:eastAsia="宋体" w:hint="default"/>
                <w:sz w:val="18"/>
                <w:szCs w:val="18"/>
              </w:rPr>
              <w:t>金融服务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1026"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2" w:right="176"/>
              <w:jc w:val="both"/>
              <w:rPr>
                <w:rFonts w:ascii="宋体" w:hAnsi="宋体" w:cs="宋体" w:eastAsia="宋体" w:hint="default"/>
                <w:sz w:val="18"/>
                <w:szCs w:val="18"/>
              </w:rPr>
            </w:pPr>
            <w:r>
              <w:rPr>
                <w:rFonts w:ascii="宋体" w:hAnsi="宋体" w:cs="宋体" w:eastAsia="宋体" w:hint="default"/>
                <w:sz w:val="18"/>
                <w:szCs w:val="18"/>
              </w:rPr>
              <w:t>深圳一卡易科 技股份有限公 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2" w:right="0"/>
              <w:jc w:val="left"/>
              <w:rPr>
                <w:rFonts w:ascii="宋体" w:hAnsi="宋体" w:cs="宋体" w:eastAsia="宋体" w:hint="default"/>
                <w:sz w:val="18"/>
                <w:szCs w:val="18"/>
              </w:rPr>
            </w:pPr>
            <w:r>
              <w:rPr>
                <w:rFonts w:ascii="宋体" w:hAnsi="宋体" w:cs="宋体" w:eastAsia="宋体" w:hint="default"/>
                <w:sz w:val="18"/>
                <w:szCs w:val="18"/>
              </w:rPr>
              <w:t>广东深圳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3" w:right="0"/>
              <w:jc w:val="left"/>
              <w:rPr>
                <w:rFonts w:ascii="宋体" w:hAnsi="宋体" w:cs="宋体" w:eastAsia="宋体" w:hint="default"/>
                <w:sz w:val="18"/>
                <w:szCs w:val="18"/>
              </w:rPr>
            </w:pPr>
            <w:r>
              <w:rPr>
                <w:rFonts w:ascii="宋体" w:hAnsi="宋体" w:cs="宋体" w:eastAsia="宋体" w:hint="default"/>
                <w:sz w:val="18"/>
                <w:szCs w:val="18"/>
              </w:rPr>
              <w:t>广东深圳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3" w:right="0"/>
              <w:jc w:val="left"/>
              <w:rPr>
                <w:rFonts w:ascii="宋体" w:hAnsi="宋体" w:cs="宋体" w:eastAsia="宋体" w:hint="default"/>
                <w:sz w:val="18"/>
                <w:szCs w:val="18"/>
              </w:rPr>
            </w:pPr>
            <w:r>
              <w:rPr>
                <w:rFonts w:ascii="宋体" w:hAnsi="宋体" w:cs="宋体" w:eastAsia="宋体" w:hint="default"/>
                <w:sz w:val="18"/>
                <w:szCs w:val="18"/>
              </w:rPr>
              <w:t>互联网信息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51.10%</w:t>
            </w:r>
            <w:r>
              <w:rPr>
                <w:rFonts w:ascii="Times New Roman"/>
                <w:sz w:val="18"/>
              </w:rPr>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9" w:lineRule="auto"/>
              <w:ind w:left="102" w:right="171"/>
              <w:jc w:val="left"/>
              <w:rPr>
                <w:rFonts w:ascii="宋体" w:hAnsi="宋体" w:cs="宋体" w:eastAsia="宋体" w:hint="default"/>
                <w:sz w:val="18"/>
                <w:szCs w:val="18"/>
              </w:rPr>
            </w:pPr>
            <w:r>
              <w:rPr>
                <w:rFonts w:ascii="宋体" w:hAnsi="宋体" w:cs="宋体" w:eastAsia="宋体" w:hint="default"/>
                <w:sz w:val="18"/>
                <w:szCs w:val="18"/>
              </w:rPr>
              <w:t>非同一控制下 企业合并取得</w:t>
            </w:r>
          </w:p>
        </w:tc>
      </w:tr>
      <w:tr>
        <w:trPr>
          <w:trHeight w:val="1026"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2" w:right="176"/>
              <w:jc w:val="both"/>
              <w:rPr>
                <w:rFonts w:ascii="宋体" w:hAnsi="宋体" w:cs="宋体" w:eastAsia="宋体" w:hint="default"/>
                <w:sz w:val="18"/>
                <w:szCs w:val="18"/>
              </w:rPr>
            </w:pPr>
            <w:r>
              <w:rPr>
                <w:rFonts w:ascii="宋体" w:hAnsi="宋体" w:cs="宋体" w:eastAsia="宋体" w:hint="default"/>
                <w:sz w:val="18"/>
                <w:szCs w:val="18"/>
              </w:rPr>
              <w:t>深圳钱客多信 息科技有限公 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2" w:right="0"/>
              <w:jc w:val="left"/>
              <w:rPr>
                <w:rFonts w:ascii="宋体" w:hAnsi="宋体" w:cs="宋体" w:eastAsia="宋体" w:hint="default"/>
                <w:sz w:val="18"/>
                <w:szCs w:val="18"/>
              </w:rPr>
            </w:pPr>
            <w:r>
              <w:rPr>
                <w:rFonts w:ascii="宋体" w:hAnsi="宋体" w:cs="宋体" w:eastAsia="宋体" w:hint="default"/>
                <w:sz w:val="18"/>
                <w:szCs w:val="18"/>
              </w:rPr>
              <w:t>广东深圳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3" w:right="0"/>
              <w:jc w:val="left"/>
              <w:rPr>
                <w:rFonts w:ascii="宋体" w:hAnsi="宋体" w:cs="宋体" w:eastAsia="宋体" w:hint="default"/>
                <w:sz w:val="18"/>
                <w:szCs w:val="18"/>
              </w:rPr>
            </w:pPr>
            <w:r>
              <w:rPr>
                <w:rFonts w:ascii="宋体" w:hAnsi="宋体" w:cs="宋体" w:eastAsia="宋体" w:hint="default"/>
                <w:sz w:val="18"/>
                <w:szCs w:val="18"/>
              </w:rPr>
              <w:t>广东深圳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3" w:right="0"/>
              <w:jc w:val="left"/>
              <w:rPr>
                <w:rFonts w:ascii="宋体" w:hAnsi="宋体" w:cs="宋体" w:eastAsia="宋体" w:hint="default"/>
                <w:sz w:val="18"/>
                <w:szCs w:val="18"/>
              </w:rPr>
            </w:pPr>
            <w:r>
              <w:rPr>
                <w:rFonts w:ascii="宋体" w:hAnsi="宋体" w:cs="宋体" w:eastAsia="宋体" w:hint="default"/>
                <w:sz w:val="18"/>
                <w:szCs w:val="18"/>
              </w:rPr>
              <w:t>互联网信息</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51.10%</w:t>
            </w:r>
            <w:r>
              <w:rPr>
                <w:rFonts w:ascii="Times New Roman"/>
                <w:sz w:val="18"/>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9" w:lineRule="auto"/>
              <w:ind w:left="102" w:right="171"/>
              <w:jc w:val="left"/>
              <w:rPr>
                <w:rFonts w:ascii="宋体" w:hAnsi="宋体" w:cs="宋体" w:eastAsia="宋体" w:hint="default"/>
                <w:sz w:val="18"/>
                <w:szCs w:val="18"/>
              </w:rPr>
            </w:pPr>
            <w:r>
              <w:rPr>
                <w:rFonts w:ascii="宋体" w:hAnsi="宋体" w:cs="宋体" w:eastAsia="宋体" w:hint="default"/>
                <w:sz w:val="18"/>
                <w:szCs w:val="18"/>
              </w:rPr>
              <w:t>非同一控制下 企业合并取得</w:t>
            </w:r>
          </w:p>
        </w:tc>
      </w:tr>
      <w:tr>
        <w:trPr>
          <w:trHeight w:val="1026"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2" w:right="176"/>
              <w:jc w:val="both"/>
              <w:rPr>
                <w:rFonts w:ascii="宋体" w:hAnsi="宋体" w:cs="宋体" w:eastAsia="宋体" w:hint="default"/>
                <w:sz w:val="18"/>
                <w:szCs w:val="18"/>
              </w:rPr>
            </w:pPr>
            <w:r>
              <w:rPr>
                <w:rFonts w:ascii="宋体" w:hAnsi="宋体" w:cs="宋体" w:eastAsia="宋体" w:hint="default"/>
                <w:sz w:val="18"/>
                <w:szCs w:val="18"/>
              </w:rPr>
              <w:t>深圳一卡易网 络科技有限公 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2" w:right="0"/>
              <w:jc w:val="left"/>
              <w:rPr>
                <w:rFonts w:ascii="宋体" w:hAnsi="宋体" w:cs="宋体" w:eastAsia="宋体" w:hint="default"/>
                <w:sz w:val="18"/>
                <w:szCs w:val="18"/>
              </w:rPr>
            </w:pPr>
            <w:r>
              <w:rPr>
                <w:rFonts w:ascii="宋体" w:hAnsi="宋体" w:cs="宋体" w:eastAsia="宋体" w:hint="default"/>
                <w:sz w:val="18"/>
                <w:szCs w:val="18"/>
              </w:rPr>
              <w:t>广东深圳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3" w:right="0"/>
              <w:jc w:val="left"/>
              <w:rPr>
                <w:rFonts w:ascii="宋体" w:hAnsi="宋体" w:cs="宋体" w:eastAsia="宋体" w:hint="default"/>
                <w:sz w:val="18"/>
                <w:szCs w:val="18"/>
              </w:rPr>
            </w:pPr>
            <w:r>
              <w:rPr>
                <w:rFonts w:ascii="宋体" w:hAnsi="宋体" w:cs="宋体" w:eastAsia="宋体" w:hint="default"/>
                <w:sz w:val="18"/>
                <w:szCs w:val="18"/>
              </w:rPr>
              <w:t>广东深圳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3" w:right="0"/>
              <w:jc w:val="left"/>
              <w:rPr>
                <w:rFonts w:ascii="宋体" w:hAnsi="宋体" w:cs="宋体" w:eastAsia="宋体" w:hint="default"/>
                <w:sz w:val="18"/>
                <w:szCs w:val="18"/>
              </w:rPr>
            </w:pPr>
            <w:r>
              <w:rPr>
                <w:rFonts w:ascii="宋体" w:hAnsi="宋体" w:cs="宋体" w:eastAsia="宋体" w:hint="default"/>
                <w:sz w:val="18"/>
                <w:szCs w:val="18"/>
              </w:rPr>
              <w:t>互联网信息</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51.10%</w:t>
            </w:r>
            <w:r>
              <w:rPr>
                <w:rFonts w:ascii="Times New Roman"/>
                <w:sz w:val="18"/>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9" w:lineRule="auto"/>
              <w:ind w:left="102" w:right="171"/>
              <w:jc w:val="left"/>
              <w:rPr>
                <w:rFonts w:ascii="宋体" w:hAnsi="宋体" w:cs="宋体" w:eastAsia="宋体" w:hint="default"/>
                <w:sz w:val="18"/>
                <w:szCs w:val="18"/>
              </w:rPr>
            </w:pPr>
            <w:r>
              <w:rPr>
                <w:rFonts w:ascii="宋体" w:hAnsi="宋体" w:cs="宋体" w:eastAsia="宋体" w:hint="default"/>
                <w:sz w:val="18"/>
                <w:szCs w:val="18"/>
              </w:rPr>
              <w:t>非同一控制下 企业合并取得</w:t>
            </w:r>
          </w:p>
        </w:tc>
      </w:tr>
      <w:tr>
        <w:trPr>
          <w:trHeight w:val="1026"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2" w:right="176"/>
              <w:jc w:val="both"/>
              <w:rPr>
                <w:rFonts w:ascii="宋体" w:hAnsi="宋体" w:cs="宋体" w:eastAsia="宋体" w:hint="default"/>
                <w:sz w:val="18"/>
                <w:szCs w:val="18"/>
              </w:rPr>
            </w:pPr>
            <w:r>
              <w:rPr>
                <w:rFonts w:ascii="宋体" w:hAnsi="宋体" w:cs="宋体" w:eastAsia="宋体" w:hint="default"/>
                <w:sz w:val="18"/>
                <w:szCs w:val="18"/>
              </w:rPr>
              <w:t>恒宝（中东非 洲）有限责任 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2" w:right="0"/>
              <w:jc w:val="left"/>
              <w:rPr>
                <w:rFonts w:ascii="宋体" w:hAnsi="宋体" w:cs="宋体" w:eastAsia="宋体" w:hint="default"/>
                <w:sz w:val="18"/>
                <w:szCs w:val="18"/>
              </w:rPr>
            </w:pPr>
            <w:r>
              <w:rPr>
                <w:rFonts w:ascii="宋体" w:hAnsi="宋体" w:cs="宋体" w:eastAsia="宋体" w:hint="default"/>
                <w:sz w:val="18"/>
                <w:szCs w:val="18"/>
              </w:rPr>
              <w:t>肯尼亚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3" w:right="0"/>
              <w:jc w:val="left"/>
              <w:rPr>
                <w:rFonts w:ascii="宋体" w:hAnsi="宋体" w:cs="宋体" w:eastAsia="宋体" w:hint="default"/>
                <w:sz w:val="18"/>
                <w:szCs w:val="18"/>
              </w:rPr>
            </w:pPr>
            <w:r>
              <w:rPr>
                <w:rFonts w:ascii="宋体" w:hAnsi="宋体" w:cs="宋体" w:eastAsia="宋体" w:hint="default"/>
                <w:sz w:val="18"/>
                <w:szCs w:val="18"/>
              </w:rPr>
              <w:t>肯尼亚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3" w:right="0"/>
              <w:jc w:val="left"/>
              <w:rPr>
                <w:rFonts w:ascii="宋体" w:hAnsi="宋体" w:cs="宋体" w:eastAsia="宋体" w:hint="default"/>
                <w:sz w:val="18"/>
                <w:szCs w:val="18"/>
              </w:rPr>
            </w:pPr>
            <w:r>
              <w:rPr>
                <w:rFonts w:ascii="宋体" w:hAnsi="宋体" w:cs="宋体" w:eastAsia="宋体" w:hint="default"/>
                <w:sz w:val="18"/>
                <w:szCs w:val="18"/>
              </w:rPr>
              <w:t>贸易</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102" w:right="366"/>
              <w:jc w:val="left"/>
              <w:rPr>
                <w:rFonts w:ascii="Times New Roman" w:hAnsi="Times New Roman" w:cs="Times New Roman" w:eastAsia="Times New Roman" w:hint="default"/>
                <w:sz w:val="18"/>
                <w:szCs w:val="18"/>
              </w:rPr>
            </w:pPr>
            <w:r>
              <w:rPr>
                <w:rFonts w:ascii="Times New Roman"/>
                <w:sz w:val="18"/>
              </w:rPr>
              <w:t>Modularsoft</w:t>
            </w:r>
            <w:r>
              <w:rPr>
                <w:rFonts w:ascii="Times New Roman"/>
                <w:w w:val="100"/>
                <w:sz w:val="18"/>
              </w:rPr>
              <w:t> </w:t>
            </w:r>
            <w:r>
              <w:rPr>
                <w:rFonts w:ascii="Times New Roman"/>
                <w:sz w:val="18"/>
              </w:rPr>
              <w:t>Sdn.</w:t>
            </w:r>
            <w:r>
              <w:rPr>
                <w:rFonts w:ascii="Times New Roman"/>
                <w:spacing w:val="-1"/>
                <w:sz w:val="18"/>
              </w:rPr>
              <w:t> </w:t>
            </w:r>
            <w:r>
              <w:rPr>
                <w:rFonts w:ascii="Times New Roman"/>
                <w:sz w:val="18"/>
              </w:rPr>
              <w:t>Bhd.</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马来西亚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马来西亚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贸易</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2" w:right="171"/>
              <w:jc w:val="left"/>
              <w:rPr>
                <w:rFonts w:ascii="宋体" w:hAnsi="宋体" w:cs="宋体" w:eastAsia="宋体" w:hint="default"/>
                <w:sz w:val="18"/>
                <w:szCs w:val="18"/>
              </w:rPr>
            </w:pPr>
            <w:r>
              <w:rPr>
                <w:rFonts w:ascii="宋体" w:hAnsi="宋体" w:cs="宋体" w:eastAsia="宋体" w:hint="default"/>
                <w:sz w:val="18"/>
                <w:szCs w:val="18"/>
              </w:rPr>
              <w:t>非同一控制下 企业合并取得</w:t>
            </w:r>
          </w:p>
        </w:tc>
      </w:tr>
      <w:tr>
        <w:trPr>
          <w:trHeight w:val="1338"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102" w:right="452"/>
              <w:jc w:val="left"/>
              <w:rPr>
                <w:rFonts w:ascii="Times New Roman" w:hAnsi="Times New Roman" w:cs="Times New Roman" w:eastAsia="Times New Roman" w:hint="default"/>
                <w:sz w:val="18"/>
                <w:szCs w:val="18"/>
              </w:rPr>
            </w:pPr>
            <w:r>
              <w:rPr>
                <w:rFonts w:ascii="Times New Roman"/>
                <w:sz w:val="18"/>
              </w:rPr>
              <w:t>Asia</w:t>
            </w:r>
            <w:r>
              <w:rPr>
                <w:rFonts w:ascii="Times New Roman"/>
                <w:spacing w:val="-2"/>
                <w:sz w:val="18"/>
              </w:rPr>
              <w:t> </w:t>
            </w:r>
            <w:r>
              <w:rPr>
                <w:rFonts w:ascii="Times New Roman"/>
                <w:sz w:val="18"/>
              </w:rPr>
              <w:t>Smart</w:t>
            </w:r>
            <w:r>
              <w:rPr>
                <w:rFonts w:ascii="Times New Roman"/>
                <w:w w:val="100"/>
                <w:sz w:val="18"/>
              </w:rPr>
              <w:t> </w:t>
            </w:r>
            <w:r>
              <w:rPr>
                <w:rFonts w:ascii="Times New Roman"/>
                <w:sz w:val="18"/>
              </w:rPr>
              <w:t>Cards</w:t>
            </w:r>
            <w:r>
              <w:rPr>
                <w:rFonts w:ascii="Times New Roman"/>
                <w:w w:val="99"/>
                <w:sz w:val="18"/>
              </w:rPr>
              <w:t> </w:t>
            </w:r>
            <w:r>
              <w:rPr>
                <w:rFonts w:ascii="Times New Roman"/>
                <w:sz w:val="18"/>
              </w:rPr>
              <w:t>Centre(M)</w:t>
            </w:r>
            <w:r>
              <w:rPr>
                <w:rFonts w:ascii="Times New Roman"/>
                <w:w w:val="99"/>
                <w:sz w:val="18"/>
              </w:rPr>
              <w:t> </w:t>
            </w:r>
            <w:r>
              <w:rPr>
                <w:rFonts w:ascii="Times New Roman"/>
                <w:sz w:val="18"/>
              </w:rPr>
              <w:t>Sdn.Bhd.</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马来西亚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马来西亚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制造业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4"/>
                <w:szCs w:val="2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6"/>
              <w:ind w:left="102" w:right="171"/>
              <w:jc w:val="left"/>
              <w:rPr>
                <w:rFonts w:ascii="宋体" w:hAnsi="宋体" w:cs="宋体" w:eastAsia="宋体" w:hint="default"/>
                <w:sz w:val="18"/>
                <w:szCs w:val="18"/>
              </w:rPr>
            </w:pPr>
            <w:r>
              <w:rPr>
                <w:rFonts w:ascii="宋体" w:hAnsi="宋体" w:cs="宋体" w:eastAsia="宋体" w:hint="default"/>
                <w:sz w:val="18"/>
                <w:szCs w:val="18"/>
              </w:rPr>
              <w:t>非同一控制下 企业合并取得</w:t>
            </w:r>
          </w:p>
        </w:tc>
      </w:tr>
      <w:tr>
        <w:trPr>
          <w:trHeight w:val="1026"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102" w:right="285"/>
              <w:jc w:val="both"/>
              <w:rPr>
                <w:rFonts w:ascii="Times New Roman" w:hAnsi="Times New Roman" w:cs="Times New Roman" w:eastAsia="Times New Roman" w:hint="default"/>
                <w:sz w:val="18"/>
                <w:szCs w:val="18"/>
              </w:rPr>
            </w:pPr>
            <w:r>
              <w:rPr>
                <w:rFonts w:ascii="Times New Roman"/>
                <w:spacing w:val="-2"/>
                <w:sz w:val="18"/>
              </w:rPr>
              <w:t>PT.Chipstone</w:t>
            </w:r>
            <w:r>
              <w:rPr>
                <w:rFonts w:ascii="Times New Roman"/>
                <w:spacing w:val="-37"/>
                <w:sz w:val="18"/>
              </w:rPr>
              <w:t> </w:t>
            </w:r>
            <w:r>
              <w:rPr>
                <w:rFonts w:ascii="Times New Roman"/>
                <w:spacing w:val="-37"/>
                <w:sz w:val="18"/>
              </w:rPr>
            </w:r>
            <w:r>
              <w:rPr>
                <w:rFonts w:ascii="Times New Roman"/>
                <w:sz w:val="18"/>
              </w:rPr>
              <w:t>Technologies</w:t>
            </w:r>
            <w:r>
              <w:rPr>
                <w:rFonts w:ascii="Times New Roman"/>
                <w:w w:val="99"/>
                <w:sz w:val="18"/>
              </w:rPr>
              <w:t> </w:t>
            </w:r>
            <w:r>
              <w:rPr>
                <w:rFonts w:ascii="Times New Roman"/>
                <w:sz w:val="18"/>
              </w:rPr>
              <w:t>Indonesia</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2" w:right="0"/>
              <w:jc w:val="left"/>
              <w:rPr>
                <w:rFonts w:ascii="宋体" w:hAnsi="宋体" w:cs="宋体" w:eastAsia="宋体" w:hint="default"/>
                <w:sz w:val="18"/>
                <w:szCs w:val="18"/>
              </w:rPr>
            </w:pPr>
            <w:r>
              <w:rPr>
                <w:rFonts w:ascii="宋体" w:hAnsi="宋体" w:cs="宋体" w:eastAsia="宋体" w:hint="default"/>
                <w:sz w:val="18"/>
                <w:szCs w:val="18"/>
              </w:rPr>
              <w:t>印度尼西亚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3" w:right="0"/>
              <w:jc w:val="left"/>
              <w:rPr>
                <w:rFonts w:ascii="宋体" w:hAnsi="宋体" w:cs="宋体" w:eastAsia="宋体" w:hint="default"/>
                <w:sz w:val="18"/>
                <w:szCs w:val="18"/>
              </w:rPr>
            </w:pPr>
            <w:r>
              <w:rPr>
                <w:rFonts w:ascii="宋体" w:hAnsi="宋体" w:cs="宋体" w:eastAsia="宋体" w:hint="default"/>
                <w:sz w:val="18"/>
                <w:szCs w:val="18"/>
              </w:rPr>
              <w:t>印度尼西亚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3" w:right="0"/>
              <w:jc w:val="left"/>
              <w:rPr>
                <w:rFonts w:ascii="宋体" w:hAnsi="宋体" w:cs="宋体" w:eastAsia="宋体" w:hint="default"/>
                <w:sz w:val="18"/>
                <w:szCs w:val="18"/>
              </w:rPr>
            </w:pPr>
            <w:r>
              <w:rPr>
                <w:rFonts w:ascii="宋体" w:hAnsi="宋体" w:cs="宋体" w:eastAsia="宋体" w:hint="default"/>
                <w:sz w:val="18"/>
                <w:szCs w:val="18"/>
              </w:rPr>
              <w:t>贸易</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99.00%</w:t>
            </w:r>
            <w:r>
              <w:rPr>
                <w:rFonts w:ascii="Times New Roman"/>
                <w:sz w:val="18"/>
              </w:rPr>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2" w:right="0"/>
              <w:jc w:val="left"/>
              <w:rPr>
                <w:rFonts w:ascii="宋体" w:hAnsi="宋体" w:cs="宋体" w:eastAsia="宋体" w:hint="default"/>
                <w:sz w:val="18"/>
                <w:szCs w:val="18"/>
              </w:rPr>
            </w:pPr>
            <w:r>
              <w:rPr>
                <w:rFonts w:ascii="宋体" w:hAnsi="宋体" w:cs="宋体" w:eastAsia="宋体" w:hint="default"/>
                <w:sz w:val="18"/>
                <w:szCs w:val="18"/>
              </w:rPr>
              <w:t>设立</w:t>
            </w:r>
          </w:p>
        </w:tc>
      </w:tr>
    </w:tbl>
    <w:p>
      <w:pPr>
        <w:pStyle w:val="BodyText"/>
        <w:spacing w:line="360" w:lineRule="auto" w:before="49"/>
        <w:ind w:right="2832"/>
        <w:jc w:val="left"/>
      </w:pPr>
      <w:r>
        <w:rPr/>
        <w:t>在子公司的持股比例不同于表决权比例的说明： 持有半数或以下表决权但仍控制被投资单位、以及持有半数以上表决权但不控制被投资单位的依据： 对于纳入合并范围的重要的结构化主体，控制的依据：</w:t>
      </w:r>
    </w:p>
    <w:p>
      <w:pPr>
        <w:pStyle w:val="BodyText"/>
        <w:spacing w:line="360" w:lineRule="auto" w:before="26"/>
        <w:ind w:right="7692"/>
        <w:jc w:val="left"/>
      </w:pPr>
      <w:r>
        <w:rPr/>
        <w:t>确定公司是代理人还是委托人的依据： 其他说明：</w:t>
      </w:r>
    </w:p>
    <w:p>
      <w:pPr>
        <w:spacing w:after="0" w:line="360" w:lineRule="auto"/>
        <w:jc w:val="left"/>
        <w:sectPr>
          <w:pgSz w:w="11910" w:h="16840"/>
          <w:pgMar w:header="906" w:footer="1018" w:top="1100" w:bottom="1200" w:left="1020" w:right="0"/>
        </w:sectPr>
      </w:pPr>
    </w:p>
    <w:p>
      <w:pPr>
        <w:spacing w:line="240" w:lineRule="auto" w:before="9"/>
        <w:rPr>
          <w:rFonts w:ascii="宋体" w:hAnsi="宋体" w:cs="宋体" w:eastAsia="宋体" w:hint="default"/>
          <w:sz w:val="21"/>
          <w:szCs w:val="21"/>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2</w:t>
      </w:r>
      <w:r>
        <w:rPr/>
        <w:t>）重要的非全资子公司</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6"/>
        <w:gridCol w:w="1914"/>
        <w:gridCol w:w="1914"/>
        <w:gridCol w:w="1913"/>
        <w:gridCol w:w="1913"/>
      </w:tblGrid>
      <w:tr>
        <w:trPr>
          <w:trHeight w:val="714" w:hRule="exact"/>
        </w:trPr>
        <w:tc>
          <w:tcPr>
            <w:tcW w:w="1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02"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2" w:right="0"/>
              <w:jc w:val="left"/>
              <w:rPr>
                <w:rFonts w:ascii="宋体" w:hAnsi="宋体" w:cs="宋体" w:eastAsia="宋体" w:hint="default"/>
                <w:sz w:val="18"/>
                <w:szCs w:val="18"/>
              </w:rPr>
            </w:pPr>
            <w:r>
              <w:rPr>
                <w:rFonts w:ascii="宋体" w:hAnsi="宋体" w:cs="宋体" w:eastAsia="宋体" w:hint="default"/>
                <w:sz w:val="18"/>
                <w:szCs w:val="18"/>
              </w:rPr>
              <w:t>少数股东持股比例</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682" w:right="140" w:hanging="540"/>
              <w:jc w:val="left"/>
              <w:rPr>
                <w:rFonts w:ascii="宋体" w:hAnsi="宋体" w:cs="宋体" w:eastAsia="宋体" w:hint="default"/>
                <w:sz w:val="18"/>
                <w:szCs w:val="18"/>
              </w:rPr>
            </w:pPr>
            <w:r>
              <w:rPr>
                <w:rFonts w:ascii="宋体" w:hAnsi="宋体" w:cs="宋体" w:eastAsia="宋体" w:hint="default"/>
                <w:sz w:val="18"/>
                <w:szCs w:val="18"/>
              </w:rPr>
              <w:t>本期归属于少数股东 的损益</w:t>
            </w:r>
          </w:p>
        </w:tc>
        <w:tc>
          <w:tcPr>
            <w:tcW w:w="191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501" w:right="140" w:hanging="360"/>
              <w:jc w:val="left"/>
              <w:rPr>
                <w:rFonts w:ascii="宋体" w:hAnsi="宋体" w:cs="宋体" w:eastAsia="宋体" w:hint="default"/>
                <w:sz w:val="18"/>
                <w:szCs w:val="18"/>
              </w:rPr>
            </w:pPr>
            <w:r>
              <w:rPr>
                <w:rFonts w:ascii="宋体" w:hAnsi="宋体" w:cs="宋体" w:eastAsia="宋体" w:hint="default"/>
                <w:sz w:val="18"/>
                <w:szCs w:val="18"/>
              </w:rPr>
              <w:t>本期向少数股东宣告 分派的股利</w:t>
            </w:r>
          </w:p>
        </w:tc>
        <w:tc>
          <w:tcPr>
            <w:tcW w:w="191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861" w:right="140" w:hanging="720"/>
              <w:jc w:val="left"/>
              <w:rPr>
                <w:rFonts w:ascii="宋体" w:hAnsi="宋体" w:cs="宋体" w:eastAsia="宋体" w:hint="default"/>
                <w:sz w:val="18"/>
                <w:szCs w:val="18"/>
              </w:rPr>
            </w:pPr>
            <w:r>
              <w:rPr>
                <w:rFonts w:ascii="宋体" w:hAnsi="宋体" w:cs="宋体" w:eastAsia="宋体" w:hint="default"/>
                <w:sz w:val="18"/>
                <w:szCs w:val="18"/>
              </w:rPr>
              <w:t>期末少数股东权益余 额</w:t>
            </w:r>
          </w:p>
        </w:tc>
      </w:tr>
      <w:tr>
        <w:trPr>
          <w:trHeight w:val="714"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0"/>
              <w:ind w:left="102" w:right="181"/>
              <w:jc w:val="left"/>
              <w:rPr>
                <w:rFonts w:ascii="宋体" w:hAnsi="宋体" w:cs="宋体" w:eastAsia="宋体" w:hint="default"/>
                <w:sz w:val="18"/>
                <w:szCs w:val="18"/>
              </w:rPr>
            </w:pPr>
            <w:r>
              <w:rPr>
                <w:rFonts w:ascii="宋体" w:hAnsi="宋体" w:cs="宋体" w:eastAsia="宋体" w:hint="default"/>
                <w:sz w:val="18"/>
                <w:szCs w:val="18"/>
              </w:rPr>
              <w:t>深圳一卡易科技股份 有限公司</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246" w:right="0"/>
              <w:jc w:val="left"/>
              <w:rPr>
                <w:rFonts w:ascii="Times New Roman" w:hAnsi="Times New Roman" w:cs="Times New Roman" w:eastAsia="Times New Roman" w:hint="default"/>
                <w:sz w:val="18"/>
                <w:szCs w:val="18"/>
              </w:rPr>
            </w:pPr>
            <w:r>
              <w:rPr>
                <w:rFonts w:ascii="Times New Roman"/>
                <w:sz w:val="18"/>
              </w:rPr>
              <w:t>48.90%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91" w:right="0"/>
              <w:jc w:val="left"/>
              <w:rPr>
                <w:rFonts w:ascii="Times New Roman" w:hAnsi="Times New Roman" w:cs="Times New Roman" w:eastAsia="Times New Roman" w:hint="default"/>
                <w:sz w:val="18"/>
                <w:szCs w:val="18"/>
              </w:rPr>
            </w:pPr>
            <w:r>
              <w:rPr>
                <w:rFonts w:ascii="Times New Roman"/>
                <w:sz w:val="18"/>
              </w:rPr>
              <w:t>263,923.84</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64" w:right="0"/>
              <w:jc w:val="left"/>
              <w:rPr>
                <w:rFonts w:ascii="Times New Roman" w:hAnsi="Times New Roman" w:cs="Times New Roman" w:eastAsia="Times New Roman" w:hint="default"/>
                <w:sz w:val="18"/>
                <w:szCs w:val="18"/>
              </w:rPr>
            </w:pPr>
            <w:r>
              <w:rPr>
                <w:rFonts w:ascii="Times New Roman"/>
                <w:sz w:val="18"/>
              </w:rPr>
              <w:t>88,979,674.74</w:t>
            </w:r>
          </w:p>
        </w:tc>
      </w:tr>
    </w:tbl>
    <w:p>
      <w:pPr>
        <w:pStyle w:val="BodyText"/>
        <w:spacing w:line="360" w:lineRule="auto" w:before="49"/>
        <w:ind w:right="6432"/>
        <w:jc w:val="left"/>
      </w:pPr>
      <w:r>
        <w:rPr/>
        <w:t>子公司少数股东的持股比例不同于表决权比例的说明： 其他说明：</w:t>
      </w:r>
    </w:p>
    <w:p>
      <w:pPr>
        <w:spacing w:line="240" w:lineRule="auto" w:before="0"/>
        <w:rPr>
          <w:rFonts w:ascii="宋体" w:hAnsi="宋体" w:cs="宋体" w:eastAsia="宋体" w:hint="default"/>
          <w:sz w:val="20"/>
          <w:szCs w:val="20"/>
        </w:rPr>
      </w:pPr>
    </w:p>
    <w:p>
      <w:pPr>
        <w:pStyle w:val="Heading3"/>
        <w:spacing w:line="240" w:lineRule="auto"/>
        <w:ind w:right="0"/>
        <w:jc w:val="left"/>
        <w:rPr>
          <w:b w:val="0"/>
          <w:bCs w:val="0"/>
        </w:rPr>
      </w:pPr>
      <w:r>
        <w:rPr/>
        <w:t>（</w:t>
      </w:r>
      <w:r>
        <w:rPr>
          <w:rFonts w:ascii="Times New Roman" w:hAnsi="Times New Roman" w:cs="Times New Roman" w:eastAsia="Times New Roman" w:hint="default"/>
        </w:rPr>
        <w:t>3</w:t>
      </w:r>
      <w:r>
        <w:rPr/>
        <w:t>）重要非全资子公司的主要财务信息</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736"/>
        <w:gridCol w:w="736"/>
        <w:gridCol w:w="736"/>
        <w:gridCol w:w="736"/>
        <w:gridCol w:w="736"/>
        <w:gridCol w:w="735"/>
        <w:gridCol w:w="735"/>
        <w:gridCol w:w="735"/>
        <w:gridCol w:w="735"/>
        <w:gridCol w:w="735"/>
        <w:gridCol w:w="737"/>
        <w:gridCol w:w="736"/>
        <w:gridCol w:w="736"/>
      </w:tblGrid>
      <w:tr>
        <w:trPr>
          <w:trHeight w:val="402" w:hRule="exact"/>
        </w:trPr>
        <w:tc>
          <w:tcPr>
            <w:tcW w:w="736"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1"/>
              <w:ind w:right="0"/>
              <w:jc w:val="left"/>
              <w:rPr>
                <w:rFonts w:ascii="宋体" w:hAnsi="宋体" w:cs="宋体" w:eastAsia="宋体" w:hint="default"/>
                <w:sz w:val="19"/>
                <w:szCs w:val="19"/>
              </w:rPr>
            </w:pPr>
          </w:p>
          <w:p>
            <w:pPr>
              <w:pStyle w:val="TableParagraph"/>
              <w:spacing w:line="316" w:lineRule="auto"/>
              <w:ind w:left="182" w:right="181"/>
              <w:jc w:val="both"/>
              <w:rPr>
                <w:rFonts w:ascii="宋体" w:hAnsi="宋体" w:cs="宋体" w:eastAsia="宋体" w:hint="default"/>
                <w:sz w:val="18"/>
                <w:szCs w:val="18"/>
              </w:rPr>
            </w:pPr>
            <w:r>
              <w:rPr>
                <w:rFonts w:ascii="宋体" w:hAnsi="宋体" w:cs="宋体" w:eastAsia="宋体" w:hint="default"/>
                <w:sz w:val="18"/>
                <w:szCs w:val="18"/>
              </w:rPr>
              <w:t>子公 司名 称</w:t>
            </w:r>
          </w:p>
        </w:tc>
        <w:tc>
          <w:tcPr>
            <w:tcW w:w="4414" w:type="dxa"/>
            <w:gridSpan w:val="6"/>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414" w:type="dxa"/>
            <w:gridSpan w:val="6"/>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025" w:hRule="exact"/>
        </w:trPr>
        <w:tc>
          <w:tcPr>
            <w:tcW w:w="736" w:type="dxa"/>
            <w:vMerge/>
            <w:tcBorders>
              <w:left w:val="single" w:sz="4" w:space="0" w:color="000000"/>
              <w:bottom w:val="single" w:sz="4" w:space="0" w:color="000000"/>
              <w:right w:val="single" w:sz="4" w:space="0" w:color="000000"/>
            </w:tcBorders>
            <w:shd w:val="clear" w:color="auto" w:fill="D3D3D3"/>
          </w:tcPr>
          <w:p>
            <w:pPr/>
          </w:p>
        </w:tc>
        <w:tc>
          <w:tcPr>
            <w:tcW w:w="73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83" w:right="181"/>
              <w:jc w:val="left"/>
              <w:rPr>
                <w:rFonts w:ascii="宋体" w:hAnsi="宋体" w:cs="宋体" w:eastAsia="宋体" w:hint="default"/>
                <w:sz w:val="18"/>
                <w:szCs w:val="18"/>
              </w:rPr>
            </w:pPr>
            <w:r>
              <w:rPr>
                <w:rFonts w:ascii="宋体" w:hAnsi="宋体" w:cs="宋体" w:eastAsia="宋体" w:hint="default"/>
                <w:sz w:val="18"/>
                <w:szCs w:val="18"/>
              </w:rPr>
              <w:t>流动 资产</w:t>
            </w:r>
          </w:p>
        </w:tc>
        <w:tc>
          <w:tcPr>
            <w:tcW w:w="73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83" w:right="181"/>
              <w:jc w:val="both"/>
              <w:rPr>
                <w:rFonts w:ascii="宋体" w:hAnsi="宋体" w:cs="宋体" w:eastAsia="宋体" w:hint="default"/>
                <w:sz w:val="18"/>
                <w:szCs w:val="18"/>
              </w:rPr>
            </w:pPr>
            <w:r>
              <w:rPr>
                <w:rFonts w:ascii="宋体" w:hAnsi="宋体" w:cs="宋体" w:eastAsia="宋体" w:hint="default"/>
                <w:sz w:val="18"/>
                <w:szCs w:val="18"/>
              </w:rPr>
              <w:t>非流 动资 产</w:t>
            </w:r>
          </w:p>
        </w:tc>
        <w:tc>
          <w:tcPr>
            <w:tcW w:w="73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83" w:right="182"/>
              <w:jc w:val="left"/>
              <w:rPr>
                <w:rFonts w:ascii="宋体" w:hAnsi="宋体" w:cs="宋体" w:eastAsia="宋体" w:hint="default"/>
                <w:sz w:val="18"/>
                <w:szCs w:val="18"/>
              </w:rPr>
            </w:pPr>
            <w:r>
              <w:rPr>
                <w:rFonts w:ascii="宋体" w:hAnsi="宋体" w:cs="宋体" w:eastAsia="宋体" w:hint="default"/>
                <w:sz w:val="18"/>
                <w:szCs w:val="18"/>
              </w:rPr>
              <w:t>资产 合计</w:t>
            </w:r>
          </w:p>
        </w:tc>
        <w:tc>
          <w:tcPr>
            <w:tcW w:w="73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83" w:right="181"/>
              <w:jc w:val="left"/>
              <w:rPr>
                <w:rFonts w:ascii="宋体" w:hAnsi="宋体" w:cs="宋体" w:eastAsia="宋体" w:hint="default"/>
                <w:sz w:val="18"/>
                <w:szCs w:val="18"/>
              </w:rPr>
            </w:pPr>
            <w:r>
              <w:rPr>
                <w:rFonts w:ascii="宋体" w:hAnsi="宋体" w:cs="宋体" w:eastAsia="宋体" w:hint="default"/>
                <w:sz w:val="18"/>
                <w:szCs w:val="18"/>
              </w:rPr>
              <w:t>流动 负债</w:t>
            </w:r>
          </w:p>
        </w:tc>
        <w:tc>
          <w:tcPr>
            <w:tcW w:w="7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81" w:right="181"/>
              <w:jc w:val="both"/>
              <w:rPr>
                <w:rFonts w:ascii="宋体" w:hAnsi="宋体" w:cs="宋体" w:eastAsia="宋体" w:hint="default"/>
                <w:sz w:val="18"/>
                <w:szCs w:val="18"/>
              </w:rPr>
            </w:pPr>
            <w:r>
              <w:rPr>
                <w:rFonts w:ascii="宋体" w:hAnsi="宋体" w:cs="宋体" w:eastAsia="宋体" w:hint="default"/>
                <w:sz w:val="18"/>
                <w:szCs w:val="18"/>
              </w:rPr>
              <w:t>非流 动负 债</w:t>
            </w:r>
          </w:p>
        </w:tc>
        <w:tc>
          <w:tcPr>
            <w:tcW w:w="7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81" w:right="181"/>
              <w:jc w:val="left"/>
              <w:rPr>
                <w:rFonts w:ascii="宋体" w:hAnsi="宋体" w:cs="宋体" w:eastAsia="宋体" w:hint="default"/>
                <w:sz w:val="18"/>
                <w:szCs w:val="18"/>
              </w:rPr>
            </w:pPr>
            <w:r>
              <w:rPr>
                <w:rFonts w:ascii="宋体" w:hAnsi="宋体" w:cs="宋体" w:eastAsia="宋体" w:hint="default"/>
                <w:sz w:val="18"/>
                <w:szCs w:val="18"/>
              </w:rPr>
              <w:t>负债 合计</w:t>
            </w:r>
          </w:p>
        </w:tc>
        <w:tc>
          <w:tcPr>
            <w:tcW w:w="7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81" w:right="181"/>
              <w:jc w:val="left"/>
              <w:rPr>
                <w:rFonts w:ascii="宋体" w:hAnsi="宋体" w:cs="宋体" w:eastAsia="宋体" w:hint="default"/>
                <w:sz w:val="18"/>
                <w:szCs w:val="18"/>
              </w:rPr>
            </w:pPr>
            <w:r>
              <w:rPr>
                <w:rFonts w:ascii="宋体" w:hAnsi="宋体" w:cs="宋体" w:eastAsia="宋体" w:hint="default"/>
                <w:sz w:val="18"/>
                <w:szCs w:val="18"/>
              </w:rPr>
              <w:t>流动 资产</w:t>
            </w:r>
          </w:p>
        </w:tc>
        <w:tc>
          <w:tcPr>
            <w:tcW w:w="7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81" w:right="181"/>
              <w:jc w:val="both"/>
              <w:rPr>
                <w:rFonts w:ascii="宋体" w:hAnsi="宋体" w:cs="宋体" w:eastAsia="宋体" w:hint="default"/>
                <w:sz w:val="18"/>
                <w:szCs w:val="18"/>
              </w:rPr>
            </w:pPr>
            <w:r>
              <w:rPr>
                <w:rFonts w:ascii="宋体" w:hAnsi="宋体" w:cs="宋体" w:eastAsia="宋体" w:hint="default"/>
                <w:sz w:val="18"/>
                <w:szCs w:val="18"/>
              </w:rPr>
              <w:t>非流 动资 产</w:t>
            </w:r>
          </w:p>
        </w:tc>
        <w:tc>
          <w:tcPr>
            <w:tcW w:w="7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81" w:right="181"/>
              <w:jc w:val="left"/>
              <w:rPr>
                <w:rFonts w:ascii="宋体" w:hAnsi="宋体" w:cs="宋体" w:eastAsia="宋体" w:hint="default"/>
                <w:sz w:val="18"/>
                <w:szCs w:val="18"/>
              </w:rPr>
            </w:pPr>
            <w:r>
              <w:rPr>
                <w:rFonts w:ascii="宋体" w:hAnsi="宋体" w:cs="宋体" w:eastAsia="宋体" w:hint="default"/>
                <w:sz w:val="18"/>
                <w:szCs w:val="18"/>
              </w:rPr>
              <w:t>资产 合计</w:t>
            </w:r>
          </w:p>
        </w:tc>
        <w:tc>
          <w:tcPr>
            <w:tcW w:w="73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82" w:right="182"/>
              <w:jc w:val="left"/>
              <w:rPr>
                <w:rFonts w:ascii="宋体" w:hAnsi="宋体" w:cs="宋体" w:eastAsia="宋体" w:hint="default"/>
                <w:sz w:val="18"/>
                <w:szCs w:val="18"/>
              </w:rPr>
            </w:pPr>
            <w:r>
              <w:rPr>
                <w:rFonts w:ascii="宋体" w:hAnsi="宋体" w:cs="宋体" w:eastAsia="宋体" w:hint="default"/>
                <w:sz w:val="18"/>
                <w:szCs w:val="18"/>
              </w:rPr>
              <w:t>流动 负债</w:t>
            </w:r>
          </w:p>
        </w:tc>
        <w:tc>
          <w:tcPr>
            <w:tcW w:w="73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83" w:right="181"/>
              <w:jc w:val="both"/>
              <w:rPr>
                <w:rFonts w:ascii="宋体" w:hAnsi="宋体" w:cs="宋体" w:eastAsia="宋体" w:hint="default"/>
                <w:sz w:val="18"/>
                <w:szCs w:val="18"/>
              </w:rPr>
            </w:pPr>
            <w:r>
              <w:rPr>
                <w:rFonts w:ascii="宋体" w:hAnsi="宋体" w:cs="宋体" w:eastAsia="宋体" w:hint="default"/>
                <w:sz w:val="18"/>
                <w:szCs w:val="18"/>
              </w:rPr>
              <w:t>非流 动负 债</w:t>
            </w:r>
          </w:p>
        </w:tc>
        <w:tc>
          <w:tcPr>
            <w:tcW w:w="73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83" w:right="181"/>
              <w:jc w:val="left"/>
              <w:rPr>
                <w:rFonts w:ascii="宋体" w:hAnsi="宋体" w:cs="宋体" w:eastAsia="宋体" w:hint="default"/>
                <w:sz w:val="18"/>
                <w:szCs w:val="18"/>
              </w:rPr>
            </w:pPr>
            <w:r>
              <w:rPr>
                <w:rFonts w:ascii="宋体" w:hAnsi="宋体" w:cs="宋体" w:eastAsia="宋体" w:hint="default"/>
                <w:sz w:val="18"/>
                <w:szCs w:val="18"/>
              </w:rPr>
              <w:t>负债 合计</w:t>
            </w:r>
          </w:p>
        </w:tc>
      </w:tr>
      <w:tr>
        <w:trPr>
          <w:trHeight w:val="356" w:hRule="exact"/>
        </w:trPr>
        <w:tc>
          <w:tcPr>
            <w:tcW w:w="73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736" w:type="dxa"/>
            <w:tcBorders>
              <w:top w:val="single" w:sz="4" w:space="0" w:color="000000"/>
              <w:left w:val="single" w:sz="4" w:space="0" w:color="000000"/>
              <w:bottom w:val="nil" w:sz="6" w:space="0" w:color="auto"/>
              <w:right w:val="single" w:sz="4" w:space="0" w:color="000000"/>
            </w:tcBorders>
          </w:tcPr>
          <w:p>
            <w:pPr/>
          </w:p>
        </w:tc>
        <w:tc>
          <w:tcPr>
            <w:tcW w:w="736" w:type="dxa"/>
            <w:tcBorders>
              <w:top w:val="single" w:sz="4" w:space="0" w:color="000000"/>
              <w:left w:val="single" w:sz="4" w:space="0" w:color="000000"/>
              <w:bottom w:val="nil" w:sz="6" w:space="0" w:color="auto"/>
              <w:right w:val="single" w:sz="4" w:space="0" w:color="000000"/>
            </w:tcBorders>
          </w:tcPr>
          <w:p>
            <w:pPr/>
          </w:p>
        </w:tc>
        <w:tc>
          <w:tcPr>
            <w:tcW w:w="736" w:type="dxa"/>
            <w:tcBorders>
              <w:top w:val="single" w:sz="4" w:space="0" w:color="000000"/>
              <w:left w:val="single" w:sz="4" w:space="0" w:color="000000"/>
              <w:bottom w:val="nil" w:sz="6" w:space="0" w:color="auto"/>
              <w:right w:val="single" w:sz="4" w:space="0" w:color="000000"/>
            </w:tcBorders>
          </w:tcPr>
          <w:p>
            <w:pPr/>
          </w:p>
        </w:tc>
        <w:tc>
          <w:tcPr>
            <w:tcW w:w="736" w:type="dxa"/>
            <w:tcBorders>
              <w:top w:val="single" w:sz="4" w:space="0" w:color="000000"/>
              <w:left w:val="single" w:sz="4" w:space="0" w:color="000000"/>
              <w:bottom w:val="nil" w:sz="6" w:space="0" w:color="auto"/>
              <w:right w:val="single" w:sz="4" w:space="0" w:color="000000"/>
            </w:tcBorders>
          </w:tcPr>
          <w:p>
            <w:pPr/>
          </w:p>
        </w:tc>
        <w:tc>
          <w:tcPr>
            <w:tcW w:w="735" w:type="dxa"/>
            <w:tcBorders>
              <w:top w:val="single" w:sz="4" w:space="0" w:color="000000"/>
              <w:left w:val="single" w:sz="4" w:space="0" w:color="000000"/>
              <w:bottom w:val="nil" w:sz="6" w:space="0" w:color="auto"/>
              <w:right w:val="single" w:sz="4" w:space="0" w:color="000000"/>
            </w:tcBorders>
          </w:tcPr>
          <w:p>
            <w:pPr/>
          </w:p>
        </w:tc>
        <w:tc>
          <w:tcPr>
            <w:tcW w:w="735" w:type="dxa"/>
            <w:tcBorders>
              <w:top w:val="single" w:sz="4" w:space="0" w:color="000000"/>
              <w:left w:val="single" w:sz="4" w:space="0" w:color="000000"/>
              <w:bottom w:val="nil" w:sz="6" w:space="0" w:color="auto"/>
              <w:right w:val="single" w:sz="4" w:space="0" w:color="000000"/>
            </w:tcBorders>
          </w:tcPr>
          <w:p>
            <w:pPr/>
          </w:p>
        </w:tc>
        <w:tc>
          <w:tcPr>
            <w:tcW w:w="735" w:type="dxa"/>
            <w:tcBorders>
              <w:top w:val="single" w:sz="4" w:space="0" w:color="000000"/>
              <w:left w:val="single" w:sz="4" w:space="0" w:color="000000"/>
              <w:bottom w:val="nil" w:sz="6" w:space="0" w:color="auto"/>
              <w:right w:val="single" w:sz="4" w:space="0" w:color="000000"/>
            </w:tcBorders>
          </w:tcPr>
          <w:p>
            <w:pPr/>
          </w:p>
        </w:tc>
        <w:tc>
          <w:tcPr>
            <w:tcW w:w="735" w:type="dxa"/>
            <w:tcBorders>
              <w:top w:val="single" w:sz="4" w:space="0" w:color="000000"/>
              <w:left w:val="single" w:sz="4" w:space="0" w:color="000000"/>
              <w:bottom w:val="nil" w:sz="6" w:space="0" w:color="auto"/>
              <w:right w:val="single" w:sz="4" w:space="0" w:color="000000"/>
            </w:tcBorders>
          </w:tcPr>
          <w:p>
            <w:pPr/>
          </w:p>
        </w:tc>
        <w:tc>
          <w:tcPr>
            <w:tcW w:w="735"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c>
          <w:tcPr>
            <w:tcW w:w="736" w:type="dxa"/>
            <w:tcBorders>
              <w:top w:val="single" w:sz="4" w:space="0" w:color="000000"/>
              <w:left w:val="single" w:sz="4" w:space="0" w:color="000000"/>
              <w:bottom w:val="nil" w:sz="6" w:space="0" w:color="auto"/>
              <w:right w:val="single" w:sz="4" w:space="0" w:color="000000"/>
            </w:tcBorders>
          </w:tcPr>
          <w:p>
            <w:pPr/>
          </w:p>
        </w:tc>
        <w:tc>
          <w:tcPr>
            <w:tcW w:w="736"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一卡</w:t>
            </w:r>
          </w:p>
        </w:tc>
        <w:tc>
          <w:tcPr>
            <w:tcW w:w="736" w:type="dxa"/>
            <w:tcBorders>
              <w:top w:val="nil" w:sz="6" w:space="0" w:color="auto"/>
              <w:left w:val="single" w:sz="4" w:space="0" w:color="000000"/>
              <w:bottom w:val="nil" w:sz="6" w:space="0" w:color="auto"/>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735" w:type="dxa"/>
            <w:tcBorders>
              <w:top w:val="nil" w:sz="6" w:space="0" w:color="auto"/>
              <w:left w:val="single" w:sz="4" w:space="0" w:color="000000"/>
              <w:bottom w:val="nil" w:sz="6" w:space="0" w:color="auto"/>
              <w:right w:val="single" w:sz="4" w:space="0" w:color="000000"/>
            </w:tcBorders>
          </w:tcPr>
          <w:p>
            <w:pPr/>
          </w:p>
        </w:tc>
        <w:tc>
          <w:tcPr>
            <w:tcW w:w="735" w:type="dxa"/>
            <w:tcBorders>
              <w:top w:val="nil" w:sz="6" w:space="0" w:color="auto"/>
              <w:left w:val="single" w:sz="4" w:space="0" w:color="000000"/>
              <w:bottom w:val="nil" w:sz="6" w:space="0" w:color="auto"/>
              <w:right w:val="single" w:sz="4" w:space="0" w:color="000000"/>
            </w:tcBorders>
          </w:tcPr>
          <w:p>
            <w:pPr/>
          </w:p>
        </w:tc>
        <w:tc>
          <w:tcPr>
            <w:tcW w:w="735" w:type="dxa"/>
            <w:tcBorders>
              <w:top w:val="nil" w:sz="6" w:space="0" w:color="auto"/>
              <w:left w:val="single" w:sz="4" w:space="0" w:color="000000"/>
              <w:bottom w:val="nil" w:sz="6" w:space="0" w:color="auto"/>
              <w:right w:val="single" w:sz="4" w:space="0" w:color="000000"/>
            </w:tcBorders>
          </w:tcPr>
          <w:p>
            <w:pPr/>
          </w:p>
        </w:tc>
        <w:tc>
          <w:tcPr>
            <w:tcW w:w="735" w:type="dxa"/>
            <w:tcBorders>
              <w:top w:val="nil" w:sz="6" w:space="0" w:color="auto"/>
              <w:left w:val="single" w:sz="4" w:space="0" w:color="000000"/>
              <w:bottom w:val="nil" w:sz="6" w:space="0" w:color="auto"/>
              <w:right w:val="single" w:sz="4" w:space="0" w:color="000000"/>
            </w:tcBorders>
          </w:tcPr>
          <w:p>
            <w:pPr/>
          </w:p>
        </w:tc>
        <w:tc>
          <w:tcPr>
            <w:tcW w:w="735"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r>
      <w:tr>
        <w:trPr>
          <w:trHeight w:val="316" w:hRule="exact"/>
        </w:trPr>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易科</w:t>
            </w: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140,08</w:t>
            </w: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79,073</w:t>
            </w: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219,15</w:t>
            </w: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32,968</w:t>
            </w:r>
          </w:p>
        </w:tc>
        <w:tc>
          <w:tcPr>
            <w:tcW w:w="735"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2"/>
                <w:sz w:val="18"/>
              </w:rPr>
              <w:t>11,377</w:t>
            </w:r>
          </w:p>
        </w:tc>
        <w:tc>
          <w:tcPr>
            <w:tcW w:w="735"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44,346</w:t>
            </w:r>
          </w:p>
        </w:tc>
        <w:tc>
          <w:tcPr>
            <w:tcW w:w="735"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2"/>
                <w:sz w:val="18"/>
              </w:rPr>
              <w:t>113,50</w:t>
            </w:r>
          </w:p>
        </w:tc>
        <w:tc>
          <w:tcPr>
            <w:tcW w:w="735"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95,142</w:t>
            </w:r>
          </w:p>
        </w:tc>
        <w:tc>
          <w:tcPr>
            <w:tcW w:w="735"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208,65</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21,970</w:t>
            </w: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14,058</w:t>
            </w: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36,029</w:t>
            </w:r>
          </w:p>
        </w:tc>
      </w:tr>
      <w:tr>
        <w:trPr>
          <w:trHeight w:val="312" w:hRule="exact"/>
        </w:trPr>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技股</w:t>
            </w: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z w:val="18"/>
              </w:rPr>
              <w:t>2,195.</w:t>
            </w: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z w:val="18"/>
              </w:rPr>
              <w:t>,555.3</w:t>
            </w: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z w:val="18"/>
              </w:rPr>
              <w:t>5,750.</w:t>
            </w: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z w:val="18"/>
              </w:rPr>
              <w:t>,993.3</w:t>
            </w:r>
          </w:p>
        </w:tc>
        <w:tc>
          <w:tcPr>
            <w:tcW w:w="735"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z w:val="18"/>
              </w:rPr>
              <w:t>,931.2</w:t>
            </w:r>
          </w:p>
        </w:tc>
        <w:tc>
          <w:tcPr>
            <w:tcW w:w="735"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z w:val="18"/>
              </w:rPr>
              <w:t>,924.6</w:t>
            </w:r>
          </w:p>
        </w:tc>
        <w:tc>
          <w:tcPr>
            <w:tcW w:w="735"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z w:val="18"/>
              </w:rPr>
              <w:t>9,906.</w:t>
            </w:r>
          </w:p>
        </w:tc>
        <w:tc>
          <w:tcPr>
            <w:tcW w:w="735"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z w:val="18"/>
              </w:rPr>
              <w:t>,203.9</w:t>
            </w:r>
          </w:p>
        </w:tc>
        <w:tc>
          <w:tcPr>
            <w:tcW w:w="735"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pacing w:val="-2"/>
                <w:sz w:val="18"/>
              </w:rPr>
              <w:t>2,110.</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z w:val="18"/>
              </w:rPr>
              <w:t>,273.3</w:t>
            </w: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z w:val="18"/>
              </w:rPr>
              <w:t>,776.2</w:t>
            </w: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z w:val="18"/>
              </w:rPr>
              <w:t>,049.6</w:t>
            </w:r>
          </w:p>
        </w:tc>
      </w:tr>
      <w:tr>
        <w:trPr>
          <w:trHeight w:val="312" w:hRule="exact"/>
        </w:trPr>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份有</w:t>
            </w: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z w:val="18"/>
              </w:rPr>
              <w:t>47</w:t>
            </w: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z w:val="18"/>
              </w:rPr>
              <w:t>4</w:t>
            </w: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z w:val="18"/>
              </w:rPr>
              <w:t>81</w:t>
            </w: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z w:val="18"/>
              </w:rPr>
              <w:t>6</w:t>
            </w:r>
          </w:p>
        </w:tc>
        <w:tc>
          <w:tcPr>
            <w:tcW w:w="735"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z w:val="18"/>
              </w:rPr>
              <w:t>5</w:t>
            </w:r>
          </w:p>
        </w:tc>
        <w:tc>
          <w:tcPr>
            <w:tcW w:w="735"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z w:val="18"/>
              </w:rPr>
              <w:t>1</w:t>
            </w:r>
          </w:p>
        </w:tc>
        <w:tc>
          <w:tcPr>
            <w:tcW w:w="735"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z w:val="18"/>
              </w:rPr>
              <w:t>27</w:t>
            </w:r>
          </w:p>
        </w:tc>
        <w:tc>
          <w:tcPr>
            <w:tcW w:w="735"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z w:val="18"/>
              </w:rPr>
              <w:t>9</w:t>
            </w:r>
          </w:p>
        </w:tc>
        <w:tc>
          <w:tcPr>
            <w:tcW w:w="735"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z w:val="18"/>
              </w:rPr>
              <w:t>26</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z w:val="18"/>
              </w:rPr>
              <w:t>6</w:t>
            </w: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z w:val="18"/>
              </w:rPr>
              <w:t>5</w:t>
            </w: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z w:val="18"/>
              </w:rPr>
              <w:t>1</w:t>
            </w:r>
          </w:p>
        </w:tc>
      </w:tr>
      <w:tr>
        <w:trPr>
          <w:trHeight w:val="308" w:hRule="exact"/>
        </w:trPr>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限公</w:t>
            </w:r>
          </w:p>
        </w:tc>
        <w:tc>
          <w:tcPr>
            <w:tcW w:w="736" w:type="dxa"/>
            <w:tcBorders>
              <w:top w:val="nil" w:sz="6" w:space="0" w:color="auto"/>
              <w:left w:val="single" w:sz="4" w:space="0" w:color="000000"/>
              <w:bottom w:val="nil" w:sz="6" w:space="0" w:color="auto"/>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735" w:type="dxa"/>
            <w:tcBorders>
              <w:top w:val="nil" w:sz="6" w:space="0" w:color="auto"/>
              <w:left w:val="single" w:sz="4" w:space="0" w:color="000000"/>
              <w:bottom w:val="nil" w:sz="6" w:space="0" w:color="auto"/>
              <w:right w:val="single" w:sz="4" w:space="0" w:color="000000"/>
            </w:tcBorders>
          </w:tcPr>
          <w:p>
            <w:pPr/>
          </w:p>
        </w:tc>
        <w:tc>
          <w:tcPr>
            <w:tcW w:w="735" w:type="dxa"/>
            <w:tcBorders>
              <w:top w:val="nil" w:sz="6" w:space="0" w:color="auto"/>
              <w:left w:val="single" w:sz="4" w:space="0" w:color="000000"/>
              <w:bottom w:val="nil" w:sz="6" w:space="0" w:color="auto"/>
              <w:right w:val="single" w:sz="4" w:space="0" w:color="000000"/>
            </w:tcBorders>
          </w:tcPr>
          <w:p>
            <w:pPr/>
          </w:p>
        </w:tc>
        <w:tc>
          <w:tcPr>
            <w:tcW w:w="735" w:type="dxa"/>
            <w:tcBorders>
              <w:top w:val="nil" w:sz="6" w:space="0" w:color="auto"/>
              <w:left w:val="single" w:sz="4" w:space="0" w:color="000000"/>
              <w:bottom w:val="nil" w:sz="6" w:space="0" w:color="auto"/>
              <w:right w:val="single" w:sz="4" w:space="0" w:color="000000"/>
            </w:tcBorders>
          </w:tcPr>
          <w:p>
            <w:pPr/>
          </w:p>
        </w:tc>
        <w:tc>
          <w:tcPr>
            <w:tcW w:w="735" w:type="dxa"/>
            <w:tcBorders>
              <w:top w:val="nil" w:sz="6" w:space="0" w:color="auto"/>
              <w:left w:val="single" w:sz="4" w:space="0" w:color="000000"/>
              <w:bottom w:val="nil" w:sz="6" w:space="0" w:color="auto"/>
              <w:right w:val="single" w:sz="4" w:space="0" w:color="000000"/>
            </w:tcBorders>
          </w:tcPr>
          <w:p>
            <w:pPr/>
          </w:p>
        </w:tc>
        <w:tc>
          <w:tcPr>
            <w:tcW w:w="735"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r>
      <w:tr>
        <w:trPr>
          <w:trHeight w:val="359" w:hRule="exact"/>
        </w:trPr>
        <w:tc>
          <w:tcPr>
            <w:tcW w:w="73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司</w:t>
            </w:r>
          </w:p>
        </w:tc>
        <w:tc>
          <w:tcPr>
            <w:tcW w:w="736" w:type="dxa"/>
            <w:tcBorders>
              <w:top w:val="nil" w:sz="6" w:space="0" w:color="auto"/>
              <w:left w:val="single" w:sz="4" w:space="0" w:color="000000"/>
              <w:bottom w:val="single" w:sz="4" w:space="0" w:color="000000"/>
              <w:right w:val="single" w:sz="4" w:space="0" w:color="000000"/>
            </w:tcBorders>
          </w:tcPr>
          <w:p>
            <w:pPr/>
          </w:p>
        </w:tc>
        <w:tc>
          <w:tcPr>
            <w:tcW w:w="736" w:type="dxa"/>
            <w:tcBorders>
              <w:top w:val="nil" w:sz="6" w:space="0" w:color="auto"/>
              <w:left w:val="single" w:sz="4" w:space="0" w:color="000000"/>
              <w:bottom w:val="single" w:sz="4" w:space="0" w:color="000000"/>
              <w:right w:val="single" w:sz="4" w:space="0" w:color="000000"/>
            </w:tcBorders>
          </w:tcPr>
          <w:p>
            <w:pPr/>
          </w:p>
        </w:tc>
        <w:tc>
          <w:tcPr>
            <w:tcW w:w="736" w:type="dxa"/>
            <w:tcBorders>
              <w:top w:val="nil" w:sz="6" w:space="0" w:color="auto"/>
              <w:left w:val="single" w:sz="4" w:space="0" w:color="000000"/>
              <w:bottom w:val="single" w:sz="4" w:space="0" w:color="000000"/>
              <w:right w:val="single" w:sz="4" w:space="0" w:color="000000"/>
            </w:tcBorders>
          </w:tcPr>
          <w:p>
            <w:pPr/>
          </w:p>
        </w:tc>
        <w:tc>
          <w:tcPr>
            <w:tcW w:w="736" w:type="dxa"/>
            <w:tcBorders>
              <w:top w:val="nil" w:sz="6" w:space="0" w:color="auto"/>
              <w:left w:val="single" w:sz="4" w:space="0" w:color="000000"/>
              <w:bottom w:val="single" w:sz="4" w:space="0" w:color="000000"/>
              <w:right w:val="single" w:sz="4" w:space="0" w:color="000000"/>
            </w:tcBorders>
          </w:tcPr>
          <w:p>
            <w:pPr/>
          </w:p>
        </w:tc>
        <w:tc>
          <w:tcPr>
            <w:tcW w:w="735" w:type="dxa"/>
            <w:tcBorders>
              <w:top w:val="nil" w:sz="6" w:space="0" w:color="auto"/>
              <w:left w:val="single" w:sz="4" w:space="0" w:color="000000"/>
              <w:bottom w:val="single" w:sz="4" w:space="0" w:color="000000"/>
              <w:right w:val="single" w:sz="4" w:space="0" w:color="000000"/>
            </w:tcBorders>
          </w:tcPr>
          <w:p>
            <w:pPr/>
          </w:p>
        </w:tc>
        <w:tc>
          <w:tcPr>
            <w:tcW w:w="735" w:type="dxa"/>
            <w:tcBorders>
              <w:top w:val="nil" w:sz="6" w:space="0" w:color="auto"/>
              <w:left w:val="single" w:sz="4" w:space="0" w:color="000000"/>
              <w:bottom w:val="single" w:sz="4" w:space="0" w:color="000000"/>
              <w:right w:val="single" w:sz="4" w:space="0" w:color="000000"/>
            </w:tcBorders>
          </w:tcPr>
          <w:p>
            <w:pPr/>
          </w:p>
        </w:tc>
        <w:tc>
          <w:tcPr>
            <w:tcW w:w="735" w:type="dxa"/>
            <w:tcBorders>
              <w:top w:val="nil" w:sz="6" w:space="0" w:color="auto"/>
              <w:left w:val="single" w:sz="4" w:space="0" w:color="000000"/>
              <w:bottom w:val="single" w:sz="4" w:space="0" w:color="000000"/>
              <w:right w:val="single" w:sz="4" w:space="0" w:color="000000"/>
            </w:tcBorders>
          </w:tcPr>
          <w:p>
            <w:pPr/>
          </w:p>
        </w:tc>
        <w:tc>
          <w:tcPr>
            <w:tcW w:w="735" w:type="dxa"/>
            <w:tcBorders>
              <w:top w:val="nil" w:sz="6" w:space="0" w:color="auto"/>
              <w:left w:val="single" w:sz="4" w:space="0" w:color="000000"/>
              <w:bottom w:val="single" w:sz="4" w:space="0" w:color="000000"/>
              <w:right w:val="single" w:sz="4" w:space="0" w:color="000000"/>
            </w:tcBorders>
          </w:tcPr>
          <w:p>
            <w:pPr/>
          </w:p>
        </w:tc>
        <w:tc>
          <w:tcPr>
            <w:tcW w:w="735"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c>
          <w:tcPr>
            <w:tcW w:w="736" w:type="dxa"/>
            <w:tcBorders>
              <w:top w:val="nil" w:sz="6" w:space="0" w:color="auto"/>
              <w:left w:val="single" w:sz="4" w:space="0" w:color="000000"/>
              <w:bottom w:val="single" w:sz="4" w:space="0" w:color="000000"/>
              <w:right w:val="single" w:sz="4" w:space="0" w:color="000000"/>
            </w:tcBorders>
          </w:tcPr>
          <w:p>
            <w:pPr/>
          </w:p>
        </w:tc>
        <w:tc>
          <w:tcPr>
            <w:tcW w:w="736" w:type="dxa"/>
            <w:tcBorders>
              <w:top w:val="nil" w:sz="6" w:space="0" w:color="auto"/>
              <w:left w:val="single" w:sz="4" w:space="0" w:color="000000"/>
              <w:bottom w:val="single" w:sz="4" w:space="0" w:color="000000"/>
              <w:right w:val="single" w:sz="4" w:space="0" w:color="000000"/>
            </w:tcBorders>
          </w:tcPr>
          <w:p>
            <w:pPr/>
          </w:p>
        </w:tc>
      </w:tr>
    </w:tbl>
    <w:p>
      <w:pPr>
        <w:pStyle w:val="BodyText"/>
        <w:spacing w:line="240" w:lineRule="auto" w:before="49"/>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061"/>
        <w:gridCol w:w="1061"/>
        <w:gridCol w:w="1062"/>
        <w:gridCol w:w="1065"/>
        <w:gridCol w:w="1065"/>
        <w:gridCol w:w="1063"/>
        <w:gridCol w:w="1063"/>
        <w:gridCol w:w="1063"/>
        <w:gridCol w:w="1066"/>
      </w:tblGrid>
      <w:tr>
        <w:trPr>
          <w:trHeight w:val="402" w:hRule="exact"/>
        </w:trPr>
        <w:tc>
          <w:tcPr>
            <w:tcW w:w="1061"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1"/>
              <w:ind w:right="0"/>
              <w:jc w:val="left"/>
              <w:rPr>
                <w:rFonts w:ascii="宋体" w:hAnsi="宋体" w:cs="宋体" w:eastAsia="宋体" w:hint="default"/>
                <w:sz w:val="19"/>
                <w:szCs w:val="19"/>
              </w:rPr>
            </w:pPr>
          </w:p>
          <w:p>
            <w:pPr>
              <w:pStyle w:val="TableParagraph"/>
              <w:spacing w:line="319" w:lineRule="auto"/>
              <w:ind w:left="434" w:right="164" w:hanging="270"/>
              <w:jc w:val="left"/>
              <w:rPr>
                <w:rFonts w:ascii="宋体" w:hAnsi="宋体" w:cs="宋体" w:eastAsia="宋体" w:hint="default"/>
                <w:sz w:val="18"/>
                <w:szCs w:val="18"/>
              </w:rPr>
            </w:pPr>
            <w:r>
              <w:rPr>
                <w:rFonts w:ascii="宋体" w:hAnsi="宋体" w:cs="宋体" w:eastAsia="宋体" w:hint="default"/>
                <w:sz w:val="18"/>
                <w:szCs w:val="18"/>
              </w:rPr>
              <w:t>子公司名 称</w:t>
            </w:r>
          </w:p>
        </w:tc>
        <w:tc>
          <w:tcPr>
            <w:tcW w:w="4253" w:type="dxa"/>
            <w:gridSpan w:val="4"/>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4255" w:type="dxa"/>
            <w:gridSpan w:val="4"/>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3" w:hRule="exact"/>
        </w:trPr>
        <w:tc>
          <w:tcPr>
            <w:tcW w:w="1061" w:type="dxa"/>
            <w:vMerge/>
            <w:tcBorders>
              <w:left w:val="single" w:sz="4" w:space="0" w:color="000000"/>
              <w:bottom w:val="single" w:sz="4" w:space="0" w:color="000000"/>
              <w:right w:val="single" w:sz="4" w:space="0" w:color="000000"/>
            </w:tcBorders>
            <w:shd w:val="clear" w:color="auto" w:fill="D3D3D3"/>
          </w:tcPr>
          <w:p>
            <w:pPr/>
          </w:p>
        </w:tc>
        <w:tc>
          <w:tcPr>
            <w:tcW w:w="106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64"/>
              <w:jc w:val="right"/>
              <w:rPr>
                <w:rFonts w:ascii="宋体" w:hAnsi="宋体" w:cs="宋体" w:eastAsia="宋体" w:hint="default"/>
                <w:sz w:val="18"/>
                <w:szCs w:val="18"/>
              </w:rPr>
            </w:pPr>
            <w:r>
              <w:rPr>
                <w:rFonts w:ascii="宋体" w:hAnsi="宋体" w:cs="宋体" w:eastAsia="宋体" w:hint="default"/>
                <w:sz w:val="18"/>
                <w:szCs w:val="18"/>
              </w:rPr>
              <w:t>营业收入</w:t>
            </w:r>
          </w:p>
        </w:tc>
        <w:tc>
          <w:tcPr>
            <w:tcW w:w="10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56"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06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347" w:right="166" w:hanging="180"/>
              <w:jc w:val="left"/>
              <w:rPr>
                <w:rFonts w:ascii="宋体" w:hAnsi="宋体" w:cs="宋体" w:eastAsia="宋体" w:hint="default"/>
                <w:sz w:val="18"/>
                <w:szCs w:val="18"/>
              </w:rPr>
            </w:pPr>
            <w:r>
              <w:rPr>
                <w:rFonts w:ascii="宋体" w:hAnsi="宋体" w:cs="宋体" w:eastAsia="宋体" w:hint="default"/>
                <w:sz w:val="18"/>
                <w:szCs w:val="18"/>
              </w:rPr>
              <w:t>综合收益 总额</w:t>
            </w:r>
          </w:p>
        </w:tc>
        <w:tc>
          <w:tcPr>
            <w:tcW w:w="106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67" w:right="167"/>
              <w:jc w:val="left"/>
              <w:rPr>
                <w:rFonts w:ascii="宋体" w:hAnsi="宋体" w:cs="宋体" w:eastAsia="宋体" w:hint="default"/>
                <w:sz w:val="18"/>
                <w:szCs w:val="18"/>
              </w:rPr>
            </w:pPr>
            <w:r>
              <w:rPr>
                <w:rFonts w:ascii="宋体" w:hAnsi="宋体" w:cs="宋体" w:eastAsia="宋体" w:hint="default"/>
                <w:sz w:val="18"/>
                <w:szCs w:val="18"/>
              </w:rPr>
              <w:t>经营活动 现金流量</w:t>
            </w:r>
          </w:p>
        </w:tc>
        <w:tc>
          <w:tcPr>
            <w:tcW w:w="10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56"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0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345" w:right="165" w:hanging="180"/>
              <w:jc w:val="left"/>
              <w:rPr>
                <w:rFonts w:ascii="宋体" w:hAnsi="宋体" w:cs="宋体" w:eastAsia="宋体" w:hint="default"/>
                <w:sz w:val="18"/>
                <w:szCs w:val="18"/>
              </w:rPr>
            </w:pPr>
            <w:r>
              <w:rPr>
                <w:rFonts w:ascii="宋体" w:hAnsi="宋体" w:cs="宋体" w:eastAsia="宋体" w:hint="default"/>
                <w:sz w:val="18"/>
                <w:szCs w:val="18"/>
              </w:rPr>
              <w:t>综合收益 总额</w:t>
            </w:r>
          </w:p>
        </w:tc>
        <w:tc>
          <w:tcPr>
            <w:tcW w:w="10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68" w:right="166"/>
              <w:jc w:val="left"/>
              <w:rPr>
                <w:rFonts w:ascii="宋体" w:hAnsi="宋体" w:cs="宋体" w:eastAsia="宋体" w:hint="default"/>
                <w:sz w:val="18"/>
                <w:szCs w:val="18"/>
              </w:rPr>
            </w:pPr>
            <w:r>
              <w:rPr>
                <w:rFonts w:ascii="宋体" w:hAnsi="宋体" w:cs="宋体" w:eastAsia="宋体" w:hint="default"/>
                <w:sz w:val="18"/>
                <w:szCs w:val="18"/>
              </w:rPr>
              <w:t>经营活动 现金流量</w:t>
            </w:r>
          </w:p>
        </w:tc>
      </w:tr>
      <w:tr>
        <w:trPr>
          <w:trHeight w:val="356" w:hRule="exact"/>
        </w:trPr>
        <w:tc>
          <w:tcPr>
            <w:tcW w:w="106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深圳一卡</w:t>
            </w:r>
          </w:p>
        </w:tc>
        <w:tc>
          <w:tcPr>
            <w:tcW w:w="1061" w:type="dxa"/>
            <w:tcBorders>
              <w:top w:val="single" w:sz="4" w:space="0" w:color="000000"/>
              <w:left w:val="single" w:sz="4" w:space="0" w:color="000000"/>
              <w:bottom w:val="nil" w:sz="6" w:space="0" w:color="auto"/>
              <w:right w:val="single" w:sz="4" w:space="0" w:color="000000"/>
            </w:tcBorders>
          </w:tcPr>
          <w:p>
            <w:pPr/>
          </w:p>
        </w:tc>
        <w:tc>
          <w:tcPr>
            <w:tcW w:w="1062" w:type="dxa"/>
            <w:tcBorders>
              <w:top w:val="single" w:sz="4" w:space="0" w:color="000000"/>
              <w:left w:val="single" w:sz="4" w:space="0" w:color="000000"/>
              <w:bottom w:val="nil" w:sz="6" w:space="0" w:color="auto"/>
              <w:right w:val="single" w:sz="4" w:space="0" w:color="000000"/>
            </w:tcBorders>
          </w:tcPr>
          <w:p>
            <w:pPr/>
          </w:p>
        </w:tc>
        <w:tc>
          <w:tcPr>
            <w:tcW w:w="1065" w:type="dxa"/>
            <w:tcBorders>
              <w:top w:val="single" w:sz="4" w:space="0" w:color="000000"/>
              <w:left w:val="single" w:sz="4" w:space="0" w:color="000000"/>
              <w:bottom w:val="nil" w:sz="6" w:space="0" w:color="auto"/>
              <w:right w:val="single" w:sz="4" w:space="0" w:color="000000"/>
            </w:tcBorders>
          </w:tcPr>
          <w:p>
            <w:pPr/>
          </w:p>
        </w:tc>
        <w:tc>
          <w:tcPr>
            <w:tcW w:w="1065"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r>
      <w:tr>
        <w:trPr>
          <w:trHeight w:val="316" w:hRule="exact"/>
        </w:trPr>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易科技股</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75,525,990</w:t>
            </w:r>
          </w:p>
        </w:tc>
        <w:tc>
          <w:tcPr>
            <w:tcW w:w="106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2,185,765.</w:t>
            </w:r>
          </w:p>
        </w:tc>
        <w:tc>
          <w:tcPr>
            <w:tcW w:w="1065"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2,185,765.</w:t>
            </w:r>
          </w:p>
        </w:tc>
        <w:tc>
          <w:tcPr>
            <w:tcW w:w="1065"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15,253,783</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140" w:right="0"/>
              <w:jc w:val="left"/>
              <w:rPr>
                <w:rFonts w:ascii="Times New Roman" w:hAnsi="Times New Roman" w:cs="Times New Roman" w:eastAsia="Times New Roman" w:hint="default"/>
                <w:sz w:val="18"/>
                <w:szCs w:val="18"/>
              </w:rPr>
            </w:pPr>
            <w:r>
              <w:rPr>
                <w:rFonts w:ascii="Times New Roman"/>
                <w:sz w:val="18"/>
              </w:rPr>
              <w:t>46,246,960</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6,020,939.</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6,020,939.</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6,046,790.</w:t>
            </w:r>
          </w:p>
        </w:tc>
      </w:tr>
      <w:tr>
        <w:trPr>
          <w:trHeight w:val="312" w:hRule="exact"/>
        </w:trPr>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份有限公</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z w:val="18"/>
              </w:rPr>
              <w:t>.57</w:t>
            </w:r>
          </w:p>
        </w:tc>
        <w:tc>
          <w:tcPr>
            <w:tcW w:w="1062"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z w:val="18"/>
              </w:rPr>
              <w:t>55</w:t>
            </w:r>
          </w:p>
        </w:tc>
        <w:tc>
          <w:tcPr>
            <w:tcW w:w="1065"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z w:val="18"/>
              </w:rPr>
              <w:t>55</w:t>
            </w:r>
          </w:p>
        </w:tc>
        <w:tc>
          <w:tcPr>
            <w:tcW w:w="1065"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z w:val="18"/>
              </w:rPr>
              <w:t>.78</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z w:val="18"/>
              </w:rPr>
              <w:t>.62</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z w:val="18"/>
              </w:rPr>
              <w:t>10</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z w:val="18"/>
              </w:rPr>
              <w:t>10</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z w:val="18"/>
              </w:rPr>
              <w:t>54</w:t>
            </w:r>
          </w:p>
        </w:tc>
      </w:tr>
      <w:tr>
        <w:trPr>
          <w:trHeight w:val="354" w:hRule="exact"/>
        </w:trPr>
        <w:tc>
          <w:tcPr>
            <w:tcW w:w="106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司</w:t>
            </w:r>
          </w:p>
        </w:tc>
        <w:tc>
          <w:tcPr>
            <w:tcW w:w="1061" w:type="dxa"/>
            <w:tcBorders>
              <w:top w:val="nil" w:sz="6" w:space="0" w:color="auto"/>
              <w:left w:val="single" w:sz="4" w:space="0" w:color="000000"/>
              <w:bottom w:val="single" w:sz="4" w:space="0" w:color="000000"/>
              <w:right w:val="single" w:sz="4" w:space="0" w:color="000000"/>
            </w:tcBorders>
          </w:tcPr>
          <w:p>
            <w:pPr/>
          </w:p>
        </w:tc>
        <w:tc>
          <w:tcPr>
            <w:tcW w:w="1062" w:type="dxa"/>
            <w:tcBorders>
              <w:top w:val="nil" w:sz="6" w:space="0" w:color="auto"/>
              <w:left w:val="single" w:sz="4" w:space="0" w:color="000000"/>
              <w:bottom w:val="single" w:sz="4" w:space="0" w:color="000000"/>
              <w:right w:val="single" w:sz="4" w:space="0" w:color="000000"/>
            </w:tcBorders>
          </w:tcPr>
          <w:p>
            <w:pPr/>
          </w:p>
        </w:tc>
        <w:tc>
          <w:tcPr>
            <w:tcW w:w="1065" w:type="dxa"/>
            <w:tcBorders>
              <w:top w:val="nil" w:sz="6" w:space="0" w:color="auto"/>
              <w:left w:val="single" w:sz="4" w:space="0" w:color="000000"/>
              <w:bottom w:val="single" w:sz="4" w:space="0" w:color="000000"/>
              <w:right w:val="single" w:sz="4" w:space="0" w:color="000000"/>
            </w:tcBorders>
          </w:tcPr>
          <w:p>
            <w:pPr/>
          </w:p>
        </w:tc>
        <w:tc>
          <w:tcPr>
            <w:tcW w:w="1065"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r>
    </w:tbl>
    <w:p>
      <w:pPr>
        <w:pStyle w:val="BodyText"/>
        <w:spacing w:line="240" w:lineRule="auto" w:before="49"/>
        <w:ind w:right="0"/>
        <w:jc w:val="left"/>
      </w:pPr>
      <w:r>
        <w:rPr/>
        <w:t>其他说明：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t>（</w:t>
      </w:r>
      <w:r>
        <w:rPr>
          <w:rFonts w:ascii="Times New Roman" w:hAnsi="Times New Roman" w:cs="Times New Roman" w:eastAsia="Times New Roman" w:hint="default"/>
        </w:rPr>
        <w:t>4</w:t>
      </w:r>
      <w:r>
        <w:rPr/>
        <w:t>）使用企业集团资产和清偿企业集团债务的重大限制</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t>（</w:t>
      </w:r>
      <w:r>
        <w:rPr>
          <w:rFonts w:ascii="Times New Roman" w:hAnsi="Times New Roman" w:cs="Times New Roman" w:eastAsia="Times New Roman" w:hint="default"/>
        </w:rPr>
        <w:t>5</w:t>
      </w:r>
      <w:r>
        <w:rPr/>
        <w:t>）向纳入合并财务报表范围的结构化主体提供的财务支持或其他支持</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其他说明：</w:t>
      </w:r>
    </w:p>
    <w:p>
      <w:pPr>
        <w:spacing w:after="0" w:line="240" w:lineRule="auto"/>
        <w:jc w:val="left"/>
        <w:sectPr>
          <w:pgSz w:w="11910" w:h="16840"/>
          <w:pgMar w:header="906" w:footer="1018" w:top="1100" w:bottom="1200" w:left="1020" w:right="0"/>
        </w:sectPr>
      </w:pPr>
    </w:p>
    <w:p>
      <w:pPr>
        <w:spacing w:line="240" w:lineRule="auto" w:before="9"/>
        <w:rPr>
          <w:rFonts w:ascii="宋体" w:hAnsi="宋体" w:cs="宋体" w:eastAsia="宋体" w:hint="default"/>
          <w:sz w:val="21"/>
          <w:szCs w:val="21"/>
        </w:rPr>
      </w:pPr>
    </w:p>
    <w:p>
      <w:pPr>
        <w:pStyle w:val="Heading3"/>
        <w:spacing w:line="240" w:lineRule="auto" w:before="35"/>
        <w:ind w:right="0"/>
        <w:jc w:val="left"/>
        <w:rPr>
          <w:b w:val="0"/>
          <w:bCs w:val="0"/>
        </w:rPr>
      </w:pPr>
      <w:r>
        <w:rPr>
          <w:rFonts w:ascii="Times New Roman" w:hAnsi="Times New Roman" w:cs="Times New Roman" w:eastAsia="Times New Roman" w:hint="default"/>
        </w:rPr>
        <w:t>2</w:t>
      </w:r>
      <w:r>
        <w:rPr/>
        <w:t>、在子公司的所有者权益份额发生变化且仍控制子公司的交易</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t>（</w:t>
      </w:r>
      <w:r>
        <w:rPr>
          <w:rFonts w:ascii="Times New Roman" w:hAnsi="Times New Roman" w:cs="Times New Roman" w:eastAsia="Times New Roman" w:hint="default"/>
        </w:rPr>
        <w:t>1</w:t>
      </w:r>
      <w:r>
        <w:rPr/>
        <w:t>）在子公司所有者权益份额发生变化的情况说明</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t>（</w:t>
      </w:r>
      <w:r>
        <w:rPr>
          <w:rFonts w:ascii="Times New Roman" w:hAnsi="Times New Roman" w:cs="Times New Roman" w:eastAsia="Times New Roman" w:hint="default"/>
        </w:rPr>
        <w:t>2</w:t>
      </w:r>
      <w:r>
        <w:rPr/>
        <w:t>）交易对于少数股东权益及归属于母公司所有者权益的影响</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11"/>
        <w:rPr>
          <w:rFonts w:ascii="宋体" w:hAnsi="宋体" w:cs="宋体" w:eastAsia="宋体" w:hint="default"/>
          <w:sz w:val="7"/>
          <w:szCs w:val="7"/>
        </w:rPr>
      </w:pPr>
    </w:p>
    <w:p>
      <w:pPr>
        <w:spacing w:line="416" w:lineRule="exact"/>
        <w:ind w:left="104"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9.35pt;height:20.85pt;mso-position-horizontal-relative:char;mso-position-vertical-relative:line" coordorigin="0,0" coordsize="9587,417">
            <v:group style="position:absolute;left:13;top:13;width:4776;height:393" coordorigin="13,13" coordsize="4776,393">
              <v:shape style="position:absolute;left:13;top:13;width:4776;height:393" coordorigin="13,13" coordsize="4776,393" path="m13,13l4789,13,4789,406,13,406,13,13xe" filled="true" fillcolor="#d3d3d3" stroked="false">
                <v:path arrowok="t"/>
                <v:fill type="solid"/>
              </v:shape>
            </v:group>
            <v:group style="position:absolute;left:4798;top:13;width:4775;height:393" coordorigin="4798,13" coordsize="4775,393">
              <v:shape style="position:absolute;left:4798;top:13;width:4775;height:393" coordorigin="4798,13" coordsize="4775,393" path="m4798,13l9572,13,9572,406,4798,406,4798,13xe" filled="true" fillcolor="#d3d3d3" stroked="false">
                <v:path arrowok="t"/>
                <v:fill type="solid"/>
              </v:shape>
            </v:group>
            <v:group style="position:absolute;left:5;top:10;width:9578;height:2" coordorigin="5,10" coordsize="9578,2">
              <v:shape style="position:absolute;left:5;top:10;width:9578;height:2" coordorigin="5,10" coordsize="9578,0" path="m5,10l9582,10e" filled="false" stroked="true" strokeweight=".48pt" strokecolor="#000000">
                <v:path arrowok="t"/>
              </v:shape>
            </v:group>
            <v:group style="position:absolute;left:5;top:412;width:9578;height:2" coordorigin="5,412" coordsize="9578,2">
              <v:shape style="position:absolute;left:5;top:412;width:9578;height:2" coordorigin="5,412" coordsize="9578,0" path="m5,412l9582,412e" filled="false" stroked="true" strokeweight=".48pt" strokecolor="#000000">
                <v:path arrowok="t"/>
              </v:shape>
            </v:group>
            <v:group style="position:absolute;left:10;top:5;width:2;height:402" coordorigin="10,5" coordsize="2,402">
              <v:shape style="position:absolute;left:10;top:5;width:2;height:402" coordorigin="10,5" coordsize="0,402" path="m10,5l10,407e" filled="false" stroked="true" strokeweight=".48pt" strokecolor="#000000">
                <v:path arrowok="t"/>
              </v:shape>
            </v:group>
            <v:group style="position:absolute;left:4793;top:5;width:2;height:402" coordorigin="4793,5" coordsize="2,402">
              <v:shape style="position:absolute;left:4793;top:5;width:2;height:402" coordorigin="4793,5" coordsize="0,402" path="m4793,5l4793,407e" filled="false" stroked="true" strokeweight=".48pt" strokecolor="#000000">
                <v:path arrowok="t"/>
              </v:shape>
            </v:group>
            <v:group style="position:absolute;left:9577;top:5;width:2;height:402" coordorigin="9577,5" coordsize="2,402">
              <v:shape style="position:absolute;left:9577;top:5;width:2;height:402" coordorigin="9577,5" coordsize="0,402" path="m9577,5l9577,407e" filled="false" stroked="true" strokeweight=".48pt" strokecolor="#000000">
                <v:path arrowok="t"/>
              </v:shape>
            </v:group>
          </v:group>
        </w:pict>
      </w:r>
      <w:r>
        <w:rPr>
          <w:rFonts w:ascii="宋体" w:hAnsi="宋体" w:cs="宋体" w:eastAsia="宋体" w:hint="default"/>
          <w:position w:val="-7"/>
          <w:sz w:val="20"/>
          <w:szCs w:val="20"/>
        </w:rPr>
      </w:r>
    </w:p>
    <w:p>
      <w:pPr>
        <w:pStyle w:val="BodyText"/>
        <w:spacing w:line="240" w:lineRule="auto" w:before="49"/>
        <w:ind w:right="0"/>
        <w:jc w:val="left"/>
      </w:pPr>
      <w:r>
        <w:rPr/>
        <w:t>其他说明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3</w:t>
      </w:r>
      <w:r>
        <w:rPr/>
        <w:t>、在合营安排或联营企业中的权益</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r>
        <w:rPr/>
        <w:t>（</w:t>
      </w:r>
      <w:r>
        <w:rPr>
          <w:rFonts w:ascii="Times New Roman" w:hAnsi="Times New Roman" w:cs="Times New Roman" w:eastAsia="Times New Roman" w:hint="default"/>
        </w:rPr>
        <w:t>1</w:t>
      </w:r>
      <w:r>
        <w:rPr/>
        <w:t>）重要的合营企业或联营企业</w:t>
      </w:r>
      <w:r>
        <w:rPr>
          <w:b w:val="0"/>
          <w:bCs w:val="0"/>
        </w:rPr>
      </w:r>
    </w:p>
    <w:p>
      <w:pPr>
        <w:spacing w:line="240" w:lineRule="auto" w:before="11"/>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1371"/>
        <w:gridCol w:w="1367"/>
        <w:gridCol w:w="1367"/>
        <w:gridCol w:w="1367"/>
        <w:gridCol w:w="1367"/>
        <w:gridCol w:w="1366"/>
        <w:gridCol w:w="1366"/>
      </w:tblGrid>
      <w:tr>
        <w:trPr>
          <w:trHeight w:val="401" w:hRule="exact"/>
        </w:trPr>
        <w:tc>
          <w:tcPr>
            <w:tcW w:w="1371" w:type="dxa"/>
            <w:tcBorders>
              <w:top w:val="single" w:sz="4" w:space="0" w:color="000000"/>
              <w:left w:val="single" w:sz="4" w:space="0" w:color="000000"/>
              <w:bottom w:val="nil" w:sz="6" w:space="0" w:color="auto"/>
              <w:right w:val="single" w:sz="4" w:space="0" w:color="000000"/>
            </w:tcBorders>
            <w:shd w:val="clear" w:color="auto" w:fill="D3D3D3"/>
          </w:tcPr>
          <w:p>
            <w:pPr/>
          </w:p>
        </w:tc>
        <w:tc>
          <w:tcPr>
            <w:tcW w:w="1367" w:type="dxa"/>
            <w:tcBorders>
              <w:top w:val="single" w:sz="4" w:space="0" w:color="000000"/>
              <w:left w:val="single" w:sz="4" w:space="0" w:color="000000"/>
              <w:bottom w:val="nil" w:sz="6" w:space="0" w:color="auto"/>
              <w:right w:val="single" w:sz="4" w:space="0" w:color="000000"/>
            </w:tcBorders>
            <w:shd w:val="clear" w:color="auto" w:fill="D3D3D3"/>
          </w:tcPr>
          <w:p>
            <w:pPr/>
          </w:p>
        </w:tc>
        <w:tc>
          <w:tcPr>
            <w:tcW w:w="1367" w:type="dxa"/>
            <w:tcBorders>
              <w:top w:val="single" w:sz="4" w:space="0" w:color="000000"/>
              <w:left w:val="single" w:sz="4" w:space="0" w:color="000000"/>
              <w:bottom w:val="nil" w:sz="6" w:space="0" w:color="auto"/>
              <w:right w:val="single" w:sz="4" w:space="0" w:color="000000"/>
            </w:tcBorders>
            <w:shd w:val="clear" w:color="auto" w:fill="D3D3D3"/>
          </w:tcPr>
          <w:p>
            <w:pPr/>
          </w:p>
        </w:tc>
        <w:tc>
          <w:tcPr>
            <w:tcW w:w="1367" w:type="dxa"/>
            <w:tcBorders>
              <w:top w:val="single" w:sz="4" w:space="0" w:color="000000"/>
              <w:left w:val="single" w:sz="4" w:space="0" w:color="000000"/>
              <w:bottom w:val="nil" w:sz="6" w:space="0" w:color="auto"/>
              <w:right w:val="single" w:sz="4" w:space="0" w:color="000000"/>
            </w:tcBorders>
            <w:shd w:val="clear" w:color="auto" w:fill="D3D3D3"/>
          </w:tcPr>
          <w:p>
            <w:pPr/>
          </w:p>
        </w:tc>
        <w:tc>
          <w:tcPr>
            <w:tcW w:w="2733"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持股比例</w:t>
            </w:r>
          </w:p>
        </w:tc>
        <w:tc>
          <w:tcPr>
            <w:tcW w:w="1366" w:type="dxa"/>
            <w:tcBorders>
              <w:top w:val="single" w:sz="4" w:space="0" w:color="000000"/>
              <w:left w:val="single" w:sz="4" w:space="0" w:color="000000"/>
              <w:bottom w:val="nil" w:sz="6" w:space="0" w:color="auto"/>
              <w:right w:val="single" w:sz="4" w:space="0" w:color="000000"/>
            </w:tcBorders>
            <w:shd w:val="clear" w:color="auto" w:fill="D3D3D3"/>
          </w:tcPr>
          <w:p>
            <w:pPr>
              <w:pStyle w:val="TableParagraph"/>
              <w:spacing w:line="240" w:lineRule="auto" w:before="49"/>
              <w:ind w:left="138" w:right="0"/>
              <w:jc w:val="left"/>
              <w:rPr>
                <w:rFonts w:ascii="宋体" w:hAnsi="宋体" w:cs="宋体" w:eastAsia="宋体" w:hint="default"/>
                <w:sz w:val="18"/>
                <w:szCs w:val="18"/>
              </w:rPr>
            </w:pPr>
            <w:r>
              <w:rPr>
                <w:rFonts w:ascii="宋体" w:hAnsi="宋体" w:cs="宋体" w:eastAsia="宋体" w:hint="default"/>
                <w:sz w:val="18"/>
                <w:szCs w:val="18"/>
              </w:rPr>
              <w:t>对合营企业或</w:t>
            </w:r>
          </w:p>
        </w:tc>
      </w:tr>
      <w:tr>
        <w:trPr>
          <w:trHeight w:val="578" w:hRule="exact"/>
        </w:trPr>
        <w:tc>
          <w:tcPr>
            <w:tcW w:w="1371"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00" w:lineRule="exact"/>
              <w:ind w:left="229" w:right="0" w:hanging="90"/>
              <w:jc w:val="left"/>
              <w:rPr>
                <w:rFonts w:ascii="宋体" w:hAnsi="宋体" w:cs="宋体" w:eastAsia="宋体" w:hint="default"/>
                <w:sz w:val="18"/>
                <w:szCs w:val="18"/>
              </w:rPr>
            </w:pPr>
            <w:r>
              <w:rPr>
                <w:rFonts w:ascii="宋体" w:hAnsi="宋体" w:cs="宋体" w:eastAsia="宋体" w:hint="default"/>
                <w:sz w:val="18"/>
                <w:szCs w:val="18"/>
              </w:rPr>
              <w:t>合营企业或联</w:t>
            </w:r>
          </w:p>
          <w:p>
            <w:pPr>
              <w:pStyle w:val="TableParagraph"/>
              <w:spacing w:line="240" w:lineRule="auto" w:before="76"/>
              <w:ind w:left="229" w:right="0"/>
              <w:jc w:val="left"/>
              <w:rPr>
                <w:rFonts w:ascii="宋体" w:hAnsi="宋体" w:cs="宋体" w:eastAsia="宋体" w:hint="default"/>
                <w:sz w:val="18"/>
                <w:szCs w:val="18"/>
              </w:rPr>
            </w:pPr>
            <w:r>
              <w:rPr>
                <w:rFonts w:ascii="宋体" w:hAnsi="宋体" w:cs="宋体" w:eastAsia="宋体" w:hint="default"/>
                <w:sz w:val="18"/>
                <w:szCs w:val="18"/>
              </w:rPr>
              <w:t>营企业名称</w:t>
            </w:r>
          </w:p>
        </w:tc>
        <w:tc>
          <w:tcPr>
            <w:tcW w:w="1367"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120"/>
              <w:ind w:left="228"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367"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120"/>
              <w:ind w:left="407"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367"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120"/>
              <w:ind w:left="318"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1367"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2"/>
              <w:ind w:right="0"/>
              <w:jc w:val="left"/>
              <w:rPr>
                <w:rFonts w:ascii="宋体" w:hAnsi="宋体" w:cs="宋体" w:eastAsia="宋体" w:hint="default"/>
                <w:b/>
                <w:bCs/>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直接</w:t>
            </w:r>
          </w:p>
        </w:tc>
        <w:tc>
          <w:tcPr>
            <w:tcW w:w="1366"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2"/>
              <w:ind w:right="0"/>
              <w:jc w:val="left"/>
              <w:rPr>
                <w:rFonts w:ascii="宋体" w:hAnsi="宋体" w:cs="宋体" w:eastAsia="宋体" w:hint="default"/>
                <w:b/>
                <w:bCs/>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间接</w:t>
            </w:r>
          </w:p>
        </w:tc>
        <w:tc>
          <w:tcPr>
            <w:tcW w:w="1366"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00" w:lineRule="exact"/>
              <w:ind w:left="138" w:right="0"/>
              <w:jc w:val="left"/>
              <w:rPr>
                <w:rFonts w:ascii="宋体" w:hAnsi="宋体" w:cs="宋体" w:eastAsia="宋体" w:hint="default"/>
                <w:sz w:val="18"/>
                <w:szCs w:val="18"/>
              </w:rPr>
            </w:pPr>
            <w:r>
              <w:rPr>
                <w:rFonts w:ascii="宋体" w:hAnsi="宋体" w:cs="宋体" w:eastAsia="宋体" w:hint="default"/>
                <w:sz w:val="18"/>
                <w:szCs w:val="18"/>
              </w:rPr>
              <w:t>联营企业投资</w:t>
            </w:r>
          </w:p>
          <w:p>
            <w:pPr>
              <w:pStyle w:val="TableParagraph"/>
              <w:spacing w:line="240" w:lineRule="auto" w:before="76"/>
              <w:ind w:left="138" w:right="0"/>
              <w:jc w:val="left"/>
              <w:rPr>
                <w:rFonts w:ascii="宋体" w:hAnsi="宋体" w:cs="宋体" w:eastAsia="宋体" w:hint="default"/>
                <w:sz w:val="18"/>
                <w:szCs w:val="18"/>
              </w:rPr>
            </w:pPr>
            <w:r>
              <w:rPr>
                <w:rFonts w:ascii="宋体" w:hAnsi="宋体" w:cs="宋体" w:eastAsia="宋体" w:hint="default"/>
                <w:sz w:val="18"/>
                <w:szCs w:val="18"/>
              </w:rPr>
              <w:t>的会计处理方</w:t>
            </w:r>
          </w:p>
        </w:tc>
      </w:tr>
      <w:tr>
        <w:trPr>
          <w:trHeight w:val="358" w:hRule="exact"/>
        </w:trPr>
        <w:tc>
          <w:tcPr>
            <w:tcW w:w="1371" w:type="dxa"/>
            <w:tcBorders>
              <w:top w:val="nil" w:sz="6" w:space="0" w:color="auto"/>
              <w:left w:val="single" w:sz="4" w:space="0" w:color="000000"/>
              <w:bottom w:val="single" w:sz="4" w:space="0" w:color="000000"/>
              <w:right w:val="single" w:sz="4" w:space="0" w:color="000000"/>
            </w:tcBorders>
            <w:shd w:val="clear" w:color="auto" w:fill="D3D3D3"/>
          </w:tcPr>
          <w:p>
            <w:pPr/>
          </w:p>
        </w:tc>
        <w:tc>
          <w:tcPr>
            <w:tcW w:w="1367" w:type="dxa"/>
            <w:tcBorders>
              <w:top w:val="nil" w:sz="6" w:space="0" w:color="auto"/>
              <w:left w:val="single" w:sz="4" w:space="0" w:color="000000"/>
              <w:bottom w:val="single" w:sz="4" w:space="0" w:color="000000"/>
              <w:right w:val="single" w:sz="4" w:space="0" w:color="000000"/>
            </w:tcBorders>
            <w:shd w:val="clear" w:color="auto" w:fill="D3D3D3"/>
          </w:tcPr>
          <w:p>
            <w:pPr/>
          </w:p>
        </w:tc>
        <w:tc>
          <w:tcPr>
            <w:tcW w:w="1367" w:type="dxa"/>
            <w:tcBorders>
              <w:top w:val="nil" w:sz="6" w:space="0" w:color="auto"/>
              <w:left w:val="single" w:sz="4" w:space="0" w:color="000000"/>
              <w:bottom w:val="single" w:sz="4" w:space="0" w:color="000000"/>
              <w:right w:val="single" w:sz="4" w:space="0" w:color="000000"/>
            </w:tcBorders>
            <w:shd w:val="clear" w:color="auto" w:fill="D3D3D3"/>
          </w:tcPr>
          <w:p>
            <w:pPr/>
          </w:p>
        </w:tc>
        <w:tc>
          <w:tcPr>
            <w:tcW w:w="1367" w:type="dxa"/>
            <w:tcBorders>
              <w:top w:val="nil" w:sz="6" w:space="0" w:color="auto"/>
              <w:left w:val="single" w:sz="4" w:space="0" w:color="000000"/>
              <w:bottom w:val="single" w:sz="4" w:space="0" w:color="000000"/>
              <w:right w:val="single" w:sz="4" w:space="0" w:color="000000"/>
            </w:tcBorders>
            <w:shd w:val="clear" w:color="auto" w:fill="D3D3D3"/>
          </w:tcPr>
          <w:p>
            <w:pPr/>
          </w:p>
        </w:tc>
        <w:tc>
          <w:tcPr>
            <w:tcW w:w="1367" w:type="dxa"/>
            <w:vMerge/>
            <w:tcBorders>
              <w:left w:val="single" w:sz="4" w:space="0" w:color="000000"/>
              <w:bottom w:val="single" w:sz="4" w:space="0" w:color="000000"/>
              <w:right w:val="single" w:sz="4" w:space="0" w:color="000000"/>
            </w:tcBorders>
            <w:shd w:val="clear" w:color="auto" w:fill="D3D3D3"/>
          </w:tcPr>
          <w:p>
            <w:pPr/>
          </w:p>
        </w:tc>
        <w:tc>
          <w:tcPr>
            <w:tcW w:w="1366" w:type="dxa"/>
            <w:vMerge/>
            <w:tcBorders>
              <w:left w:val="single" w:sz="4" w:space="0" w:color="000000"/>
              <w:bottom w:val="single" w:sz="4" w:space="0" w:color="000000"/>
              <w:right w:val="single" w:sz="4" w:space="0" w:color="000000"/>
            </w:tcBorders>
            <w:shd w:val="clear" w:color="auto" w:fill="D3D3D3"/>
          </w:tcPr>
          <w:p>
            <w:pPr/>
          </w:p>
        </w:tc>
        <w:tc>
          <w:tcPr>
            <w:tcW w:w="1366" w:type="dxa"/>
            <w:tcBorders>
              <w:top w:val="nil" w:sz="6" w:space="0" w:color="auto"/>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法</w:t>
            </w:r>
          </w:p>
        </w:tc>
      </w:tr>
      <w:tr>
        <w:trPr>
          <w:trHeight w:val="356" w:hRule="exact"/>
        </w:trPr>
        <w:tc>
          <w:tcPr>
            <w:tcW w:w="137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上海恒毓投资</w:t>
            </w:r>
          </w:p>
        </w:tc>
        <w:tc>
          <w:tcPr>
            <w:tcW w:w="1367" w:type="dxa"/>
            <w:tcBorders>
              <w:top w:val="single" w:sz="4" w:space="0" w:color="000000"/>
              <w:left w:val="single" w:sz="4" w:space="0" w:color="000000"/>
              <w:bottom w:val="nil" w:sz="6" w:space="0" w:color="auto"/>
              <w:right w:val="single" w:sz="4" w:space="0" w:color="000000"/>
            </w:tcBorders>
          </w:tcPr>
          <w:p>
            <w:pPr/>
          </w:p>
        </w:tc>
        <w:tc>
          <w:tcPr>
            <w:tcW w:w="1367" w:type="dxa"/>
            <w:tcBorders>
              <w:top w:val="single" w:sz="4" w:space="0" w:color="000000"/>
              <w:left w:val="single" w:sz="4" w:space="0" w:color="000000"/>
              <w:bottom w:val="nil" w:sz="6" w:space="0" w:color="auto"/>
              <w:right w:val="single" w:sz="4" w:space="0" w:color="000000"/>
            </w:tcBorders>
          </w:tcPr>
          <w:p>
            <w:pPr/>
          </w:p>
        </w:tc>
        <w:tc>
          <w:tcPr>
            <w:tcW w:w="1367" w:type="dxa"/>
            <w:tcBorders>
              <w:top w:val="single" w:sz="4" w:space="0" w:color="000000"/>
              <w:left w:val="single" w:sz="4" w:space="0" w:color="000000"/>
              <w:bottom w:val="nil" w:sz="6" w:space="0" w:color="auto"/>
              <w:right w:val="single" w:sz="4" w:space="0" w:color="000000"/>
            </w:tcBorders>
          </w:tcPr>
          <w:p>
            <w:pPr/>
          </w:p>
        </w:tc>
        <w:tc>
          <w:tcPr>
            <w:tcW w:w="1367" w:type="dxa"/>
            <w:tcBorders>
              <w:top w:val="single" w:sz="4" w:space="0" w:color="000000"/>
              <w:left w:val="single" w:sz="4" w:space="0" w:color="000000"/>
              <w:bottom w:val="nil" w:sz="6" w:space="0" w:color="auto"/>
              <w:right w:val="single" w:sz="4" w:space="0" w:color="000000"/>
            </w:tcBorders>
          </w:tcPr>
          <w:p>
            <w:pPr/>
          </w:p>
        </w:tc>
        <w:tc>
          <w:tcPr>
            <w:tcW w:w="1366" w:type="dxa"/>
            <w:vMerge w:val="restart"/>
            <w:tcBorders>
              <w:top w:val="single" w:sz="4" w:space="0" w:color="000000"/>
              <w:left w:val="single" w:sz="4" w:space="0" w:color="000000"/>
              <w:right w:val="single" w:sz="4" w:space="0" w:color="000000"/>
            </w:tcBorders>
          </w:tcPr>
          <w:p>
            <w:pPr/>
          </w:p>
        </w:tc>
        <w:tc>
          <w:tcPr>
            <w:tcW w:w="1366" w:type="dxa"/>
            <w:tcBorders>
              <w:top w:val="single" w:sz="4" w:space="0" w:color="000000"/>
              <w:left w:val="single" w:sz="4" w:space="0" w:color="000000"/>
              <w:bottom w:val="nil" w:sz="6" w:space="0" w:color="auto"/>
              <w:right w:val="single" w:sz="4" w:space="0" w:color="000000"/>
            </w:tcBorders>
          </w:tcPr>
          <w:p>
            <w:pPr/>
          </w:p>
        </w:tc>
      </w:tr>
      <w:tr>
        <w:trPr>
          <w:trHeight w:val="316" w:hRule="exact"/>
        </w:trPr>
        <w:tc>
          <w:tcPr>
            <w:tcW w:w="137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中心（有限合</w:t>
            </w:r>
          </w:p>
        </w:tc>
        <w:tc>
          <w:tcPr>
            <w:tcW w:w="136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投资</w:t>
            </w:r>
          </w:p>
        </w:tc>
        <w:tc>
          <w:tcPr>
            <w:tcW w:w="136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699" w:right="0"/>
              <w:jc w:val="left"/>
              <w:rPr>
                <w:rFonts w:ascii="Times New Roman" w:hAnsi="Times New Roman" w:cs="Times New Roman" w:eastAsia="Times New Roman" w:hint="default"/>
                <w:sz w:val="18"/>
                <w:szCs w:val="18"/>
              </w:rPr>
            </w:pPr>
            <w:r>
              <w:rPr>
                <w:rFonts w:ascii="Times New Roman"/>
                <w:sz w:val="18"/>
              </w:rPr>
              <w:t>39.40%</w:t>
            </w:r>
          </w:p>
        </w:tc>
        <w:tc>
          <w:tcPr>
            <w:tcW w:w="1366" w:type="dxa"/>
            <w:vMerge/>
            <w:tcBorders>
              <w:left w:val="single" w:sz="4" w:space="0" w:color="000000"/>
              <w:right w:val="single" w:sz="4" w:space="0" w:color="000000"/>
            </w:tcBorders>
          </w:tcPr>
          <w:p>
            <w:pPr/>
          </w:p>
        </w:tc>
        <w:tc>
          <w:tcPr>
            <w:tcW w:w="136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权益法</w:t>
            </w:r>
          </w:p>
        </w:tc>
      </w:tr>
      <w:tr>
        <w:trPr>
          <w:trHeight w:val="354" w:hRule="exact"/>
        </w:trPr>
        <w:tc>
          <w:tcPr>
            <w:tcW w:w="137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伙）</w:t>
            </w:r>
          </w:p>
        </w:tc>
        <w:tc>
          <w:tcPr>
            <w:tcW w:w="1367" w:type="dxa"/>
            <w:tcBorders>
              <w:top w:val="nil" w:sz="6" w:space="0" w:color="auto"/>
              <w:left w:val="single" w:sz="4" w:space="0" w:color="000000"/>
              <w:bottom w:val="single" w:sz="4" w:space="0" w:color="000000"/>
              <w:right w:val="single" w:sz="4" w:space="0" w:color="000000"/>
            </w:tcBorders>
          </w:tcPr>
          <w:p>
            <w:pPr/>
          </w:p>
        </w:tc>
        <w:tc>
          <w:tcPr>
            <w:tcW w:w="1367" w:type="dxa"/>
            <w:tcBorders>
              <w:top w:val="nil" w:sz="6" w:space="0" w:color="auto"/>
              <w:left w:val="single" w:sz="4" w:space="0" w:color="000000"/>
              <w:bottom w:val="single" w:sz="4" w:space="0" w:color="000000"/>
              <w:right w:val="single" w:sz="4" w:space="0" w:color="000000"/>
            </w:tcBorders>
          </w:tcPr>
          <w:p>
            <w:pPr/>
          </w:p>
        </w:tc>
        <w:tc>
          <w:tcPr>
            <w:tcW w:w="1367" w:type="dxa"/>
            <w:tcBorders>
              <w:top w:val="nil" w:sz="6" w:space="0" w:color="auto"/>
              <w:left w:val="single" w:sz="4" w:space="0" w:color="000000"/>
              <w:bottom w:val="single" w:sz="4" w:space="0" w:color="000000"/>
              <w:right w:val="single" w:sz="4" w:space="0" w:color="000000"/>
            </w:tcBorders>
          </w:tcPr>
          <w:p>
            <w:pPr/>
          </w:p>
        </w:tc>
        <w:tc>
          <w:tcPr>
            <w:tcW w:w="1367" w:type="dxa"/>
            <w:tcBorders>
              <w:top w:val="nil" w:sz="6" w:space="0" w:color="auto"/>
              <w:left w:val="single" w:sz="4" w:space="0" w:color="000000"/>
              <w:bottom w:val="single" w:sz="4" w:space="0" w:color="000000"/>
              <w:right w:val="single" w:sz="4" w:space="0" w:color="000000"/>
            </w:tcBorders>
          </w:tcPr>
          <w:p>
            <w:pPr/>
          </w:p>
        </w:tc>
        <w:tc>
          <w:tcPr>
            <w:tcW w:w="1366" w:type="dxa"/>
            <w:vMerge/>
            <w:tcBorders>
              <w:left w:val="single" w:sz="4" w:space="0" w:color="000000"/>
              <w:bottom w:val="single" w:sz="4" w:space="0" w:color="000000"/>
              <w:right w:val="single" w:sz="4" w:space="0" w:color="000000"/>
            </w:tcBorders>
          </w:tcPr>
          <w:p>
            <w:pPr/>
          </w:p>
        </w:tc>
        <w:tc>
          <w:tcPr>
            <w:tcW w:w="1366" w:type="dxa"/>
            <w:tcBorders>
              <w:top w:val="nil" w:sz="6" w:space="0" w:color="auto"/>
              <w:left w:val="single" w:sz="4" w:space="0" w:color="000000"/>
              <w:bottom w:val="single" w:sz="4" w:space="0" w:color="000000"/>
              <w:right w:val="single" w:sz="4" w:space="0" w:color="000000"/>
            </w:tcBorders>
          </w:tcPr>
          <w:p>
            <w:pPr/>
          </w:p>
        </w:tc>
      </w:tr>
    </w:tbl>
    <w:p>
      <w:pPr>
        <w:pStyle w:val="BodyText"/>
        <w:spacing w:line="240" w:lineRule="auto" w:before="49"/>
        <w:ind w:right="0"/>
        <w:jc w:val="left"/>
      </w:pPr>
      <w:r>
        <w:rPr/>
        <w:t>在合营企业或联营企业的持股比例不同于表决权比例的说明：</w:t>
      </w:r>
    </w:p>
    <w:p>
      <w:pPr>
        <w:pStyle w:val="BodyText"/>
        <w:spacing w:line="240" w:lineRule="auto" w:before="116"/>
        <w:ind w:right="0"/>
        <w:jc w:val="left"/>
      </w:pPr>
      <w:r>
        <w:rPr/>
        <w:t>持有</w:t>
      </w:r>
      <w:r>
        <w:rPr>
          <w:spacing w:val="-48"/>
        </w:rPr>
        <w:t> </w:t>
      </w:r>
      <w:r>
        <w:rPr>
          <w:rFonts w:ascii="Times New Roman" w:hAnsi="Times New Roman" w:cs="Times New Roman" w:eastAsia="Times New Roman" w:hint="default"/>
        </w:rPr>
        <w:t>20%</w:t>
      </w:r>
      <w:r>
        <w:rPr/>
        <w:t>以下表决权但具有重大影响，或者持有</w:t>
      </w:r>
      <w:r>
        <w:rPr>
          <w:spacing w:val="-47"/>
        </w:rPr>
        <w:t> </w:t>
      </w:r>
      <w:r>
        <w:rPr>
          <w:rFonts w:ascii="Times New Roman" w:hAnsi="Times New Roman" w:cs="Times New Roman" w:eastAsia="Times New Roman" w:hint="default"/>
        </w:rPr>
        <w:t>20%</w:t>
      </w:r>
      <w:r>
        <w:rPr/>
        <w:t>或以上表决权但不具有重大影响的依据：</w:t>
      </w:r>
    </w:p>
    <w:p>
      <w:pPr>
        <w:spacing w:line="240" w:lineRule="auto" w:before="11"/>
        <w:rPr>
          <w:rFonts w:ascii="宋体" w:hAnsi="宋体" w:cs="宋体" w:eastAsia="宋体" w:hint="default"/>
          <w:sz w:val="25"/>
          <w:szCs w:val="25"/>
        </w:rPr>
      </w:pPr>
    </w:p>
    <w:p>
      <w:pPr>
        <w:pStyle w:val="Heading3"/>
        <w:spacing w:line="240" w:lineRule="auto"/>
        <w:ind w:right="0"/>
        <w:jc w:val="left"/>
        <w:rPr>
          <w:b w:val="0"/>
          <w:bCs w:val="0"/>
        </w:rPr>
      </w:pPr>
      <w:r>
        <w:rPr/>
        <w:t>（</w:t>
      </w:r>
      <w:r>
        <w:rPr>
          <w:rFonts w:ascii="Times New Roman" w:hAnsi="Times New Roman" w:cs="Times New Roman" w:eastAsia="Times New Roman" w:hint="default"/>
        </w:rPr>
        <w:t>2</w:t>
      </w:r>
      <w:r>
        <w:rPr/>
        <w:t>）重要合营企业的主要财务信息</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90"/>
      </w:tblGrid>
      <w:tr>
        <w:trPr>
          <w:trHeight w:val="401"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755"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754"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
        </w:tc>
      </w:tr>
    </w:tbl>
    <w:p>
      <w:pPr>
        <w:pStyle w:val="BodyText"/>
        <w:spacing w:line="360" w:lineRule="auto" w:before="49"/>
        <w:ind w:right="3537"/>
        <w:jc w:val="left"/>
      </w:pPr>
      <w:r>
        <w:rPr/>
        <w:t>其他说明 截止</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日，实缴出资比列为</w:t>
      </w:r>
      <w:r>
        <w:rPr>
          <w:rFonts w:ascii="Times New Roman" w:hAnsi="Times New Roman" w:cs="Times New Roman" w:eastAsia="Times New Roman" w:hint="default"/>
        </w:rPr>
        <w:t>39.40%</w:t>
      </w:r>
      <w:r>
        <w:rPr/>
        <w:t>，按实缴出资比例确认本公司的净资产份额。</w:t>
      </w:r>
    </w:p>
    <w:p>
      <w:pPr>
        <w:spacing w:line="240" w:lineRule="auto" w:before="3"/>
        <w:rPr>
          <w:rFonts w:ascii="宋体" w:hAnsi="宋体" w:cs="宋体" w:eastAsia="宋体" w:hint="default"/>
          <w:sz w:val="18"/>
          <w:szCs w:val="18"/>
        </w:rPr>
      </w:pPr>
    </w:p>
    <w:p>
      <w:pPr>
        <w:pStyle w:val="Heading3"/>
        <w:spacing w:line="240" w:lineRule="auto"/>
        <w:ind w:right="0"/>
        <w:jc w:val="left"/>
        <w:rPr>
          <w:b w:val="0"/>
          <w:bCs w:val="0"/>
        </w:rPr>
      </w:pPr>
      <w:r>
        <w:rPr/>
        <w:t>（</w:t>
      </w:r>
      <w:r>
        <w:rPr>
          <w:rFonts w:ascii="Times New Roman" w:hAnsi="Times New Roman" w:cs="Times New Roman" w:eastAsia="Times New Roman" w:hint="default"/>
        </w:rPr>
        <w:t>3</w:t>
      </w:r>
      <w:r>
        <w:rPr/>
        <w:t>）重要联营企业的主要财务信息</w:t>
      </w:r>
      <w:r>
        <w:rPr>
          <w:b w:val="0"/>
          <w:bCs w:val="0"/>
        </w:rPr>
      </w:r>
    </w:p>
    <w:p>
      <w:pPr>
        <w:spacing w:line="240" w:lineRule="auto" w:before="2"/>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755"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754"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258,964,791.76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354,294,662.55</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275,630,636.03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177,266,375.03</w:t>
            </w:r>
          </w:p>
        </w:tc>
      </w:tr>
      <w:tr>
        <w:trPr>
          <w:trHeight w:val="401"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资产合计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534,595,427.79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531,561,037.58</w:t>
            </w:r>
          </w:p>
        </w:tc>
      </w:tr>
    </w:tbl>
    <w:p>
      <w:pPr>
        <w:spacing w:after="0" w:line="240" w:lineRule="auto"/>
        <w:jc w:val="right"/>
        <w:rPr>
          <w:rFonts w:ascii="Times New Roman" w:hAnsi="Times New Roman" w:cs="Times New Roman" w:eastAsia="Times New Roman" w:hint="default"/>
          <w:sz w:val="18"/>
          <w:szCs w:val="18"/>
        </w:rPr>
        <w:sectPr>
          <w:pgSz w:w="11910" w:h="16840"/>
          <w:pgMar w:header="906" w:footer="1018" w:top="1100" w:bottom="1200" w:left="1020" w:right="0"/>
        </w:sectPr>
      </w:pPr>
    </w:p>
    <w:p>
      <w:pPr>
        <w:spacing w:line="240" w:lineRule="auto" w:before="7"/>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按持股比例计算的净资产份额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210,630,598.55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209,435,048.81</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3,034,390.21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17,348,507.19</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综合收益总额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3,034,390.21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17,348,507.19</w:t>
            </w:r>
          </w:p>
        </w:tc>
      </w:tr>
    </w:tbl>
    <w:p>
      <w:pPr>
        <w:pStyle w:val="BodyText"/>
        <w:spacing w:line="240" w:lineRule="auto" w:before="50"/>
        <w:ind w:right="0"/>
        <w:jc w:val="left"/>
      </w:pPr>
      <w:r>
        <w:rPr/>
        <w:t>其他说明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t>（</w:t>
      </w:r>
      <w:r>
        <w:rPr>
          <w:rFonts w:ascii="Times New Roman" w:hAnsi="Times New Roman" w:cs="Times New Roman" w:eastAsia="Times New Roman" w:hint="default"/>
        </w:rPr>
        <w:t>4</w:t>
      </w:r>
      <w:r>
        <w:rPr/>
        <w:t>）不重要的合营企业和联营企业的汇总财务信息</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324"/>
        <w:gridCol w:w="3059"/>
        <w:gridCol w:w="3186"/>
      </w:tblGrid>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05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18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合营企业：</w:t>
            </w:r>
          </w:p>
        </w:tc>
        <w:tc>
          <w:tcPr>
            <w:tcW w:w="305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318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下列各项按持股比例计算的合计数</w:t>
            </w:r>
          </w:p>
        </w:tc>
        <w:tc>
          <w:tcPr>
            <w:tcW w:w="305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318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联营企业：</w:t>
            </w:r>
          </w:p>
        </w:tc>
        <w:tc>
          <w:tcPr>
            <w:tcW w:w="305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318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下列各项按持股比例计算的合计数</w:t>
            </w:r>
          </w:p>
        </w:tc>
        <w:tc>
          <w:tcPr>
            <w:tcW w:w="305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318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50"/>
        <w:ind w:right="0"/>
        <w:jc w:val="left"/>
      </w:pPr>
      <w:r>
        <w:rPr/>
        <w:t>其他说明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t>（</w:t>
      </w:r>
      <w:r>
        <w:rPr>
          <w:rFonts w:ascii="Times New Roman" w:hAnsi="Times New Roman" w:cs="Times New Roman" w:eastAsia="Times New Roman" w:hint="default"/>
        </w:rPr>
        <w:t>5</w:t>
      </w:r>
      <w:r>
        <w:rPr/>
        <w:t>）合营企业或联营企业向本公司转移资金的能力存在重大限制的说明</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t>（</w:t>
      </w:r>
      <w:r>
        <w:rPr>
          <w:rFonts w:ascii="Times New Roman" w:hAnsi="Times New Roman" w:cs="Times New Roman" w:eastAsia="Times New Roman" w:hint="default"/>
        </w:rPr>
        <w:t>6</w:t>
      </w:r>
      <w:r>
        <w:rPr/>
        <w:t>）合营企业或联营企业发生的超额亏损</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90"/>
        <w:gridCol w:w="2392"/>
        <w:gridCol w:w="2392"/>
        <w:gridCol w:w="2394"/>
      </w:tblGrid>
      <w:tr>
        <w:trPr>
          <w:trHeight w:val="713" w:hRule="exact"/>
        </w:trPr>
        <w:tc>
          <w:tcPr>
            <w:tcW w:w="23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99" w:right="0"/>
              <w:jc w:val="left"/>
              <w:rPr>
                <w:rFonts w:ascii="宋体" w:hAnsi="宋体" w:cs="宋体" w:eastAsia="宋体" w:hint="default"/>
                <w:sz w:val="18"/>
                <w:szCs w:val="18"/>
              </w:rPr>
            </w:pPr>
            <w:r>
              <w:rPr>
                <w:rFonts w:ascii="宋体" w:hAnsi="宋体" w:cs="宋体" w:eastAsia="宋体" w:hint="default"/>
                <w:sz w:val="18"/>
                <w:szCs w:val="18"/>
              </w:rPr>
              <w:t>合营企业或联营企业名称</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11" w:right="0"/>
              <w:jc w:val="left"/>
              <w:rPr>
                <w:rFonts w:ascii="宋体" w:hAnsi="宋体" w:cs="宋体" w:eastAsia="宋体" w:hint="default"/>
                <w:sz w:val="18"/>
                <w:szCs w:val="18"/>
              </w:rPr>
            </w:pPr>
            <w:r>
              <w:rPr>
                <w:rFonts w:ascii="宋体" w:hAnsi="宋体" w:cs="宋体" w:eastAsia="宋体" w:hint="default"/>
                <w:sz w:val="18"/>
                <w:szCs w:val="18"/>
              </w:rPr>
              <w:t>累积未确认前期累计的损失</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561" w:right="110" w:hanging="450"/>
              <w:jc w:val="left"/>
              <w:rPr>
                <w:rFonts w:ascii="宋体" w:hAnsi="宋体" w:cs="宋体" w:eastAsia="宋体" w:hint="default"/>
                <w:sz w:val="18"/>
                <w:szCs w:val="18"/>
              </w:rPr>
            </w:pPr>
            <w:r>
              <w:rPr>
                <w:rFonts w:ascii="宋体" w:hAnsi="宋体" w:cs="宋体" w:eastAsia="宋体" w:hint="default"/>
                <w:sz w:val="18"/>
                <w:szCs w:val="18"/>
              </w:rPr>
              <w:t>本期未确认的损失（或本期 分享的净利润）</w:t>
            </w:r>
          </w:p>
        </w:tc>
        <w:tc>
          <w:tcPr>
            <w:tcW w:w="23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02" w:right="0"/>
              <w:jc w:val="left"/>
              <w:rPr>
                <w:rFonts w:ascii="宋体" w:hAnsi="宋体" w:cs="宋体" w:eastAsia="宋体" w:hint="default"/>
                <w:sz w:val="18"/>
                <w:szCs w:val="18"/>
              </w:rPr>
            </w:pPr>
            <w:r>
              <w:rPr>
                <w:rFonts w:ascii="宋体" w:hAnsi="宋体" w:cs="宋体" w:eastAsia="宋体" w:hint="default"/>
                <w:sz w:val="18"/>
                <w:szCs w:val="18"/>
              </w:rPr>
              <w:t>本期末累积未确认的损失</w:t>
            </w:r>
          </w:p>
        </w:tc>
      </w:tr>
    </w:tbl>
    <w:p>
      <w:pPr>
        <w:pStyle w:val="BodyText"/>
        <w:spacing w:line="240" w:lineRule="auto" w:before="49"/>
        <w:ind w:right="0"/>
        <w:jc w:val="left"/>
      </w:pPr>
      <w:r>
        <w:rPr/>
        <w:t>其他说明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t>（</w:t>
      </w:r>
      <w:r>
        <w:rPr>
          <w:rFonts w:ascii="Times New Roman" w:hAnsi="Times New Roman" w:cs="Times New Roman" w:eastAsia="Times New Roman" w:hint="default"/>
        </w:rPr>
        <w:t>7</w:t>
      </w:r>
      <w:r>
        <w:rPr/>
        <w:t>）与合营企业投资相关的未确认承诺</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r>
        <w:rPr/>
        <w:t>（</w:t>
      </w:r>
      <w:r>
        <w:rPr>
          <w:rFonts w:ascii="Times New Roman" w:hAnsi="Times New Roman" w:cs="Times New Roman" w:eastAsia="Times New Roman" w:hint="default"/>
        </w:rPr>
        <w:t>8</w:t>
      </w:r>
      <w:r>
        <w:rPr/>
        <w:t>）与合营企业或联营企业投资相关的或有负债</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rFonts w:ascii="Times New Roman" w:hAnsi="Times New Roman" w:cs="Times New Roman" w:eastAsia="Times New Roman" w:hint="default"/>
        </w:rPr>
        <w:t>4</w:t>
      </w:r>
      <w:r>
        <w:rPr/>
        <w:t>、重要的共同经营</w:t>
      </w:r>
      <w:r>
        <w:rPr>
          <w:b w:val="0"/>
          <w:bCs w:val="0"/>
        </w:rPr>
      </w:r>
    </w:p>
    <w:p>
      <w:pPr>
        <w:spacing w:line="240" w:lineRule="auto" w:before="11"/>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1597"/>
        <w:gridCol w:w="1594"/>
        <w:gridCol w:w="1594"/>
        <w:gridCol w:w="1594"/>
        <w:gridCol w:w="1594"/>
        <w:gridCol w:w="1593"/>
      </w:tblGrid>
      <w:tr>
        <w:trPr>
          <w:trHeight w:val="401" w:hRule="exact"/>
        </w:trPr>
        <w:tc>
          <w:tcPr>
            <w:tcW w:w="1597"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1"/>
              <w:ind w:right="0"/>
              <w:jc w:val="left"/>
              <w:rPr>
                <w:rFonts w:ascii="宋体" w:hAnsi="宋体" w:cs="宋体" w:eastAsia="宋体" w:hint="default"/>
                <w:b/>
                <w:bCs/>
                <w:sz w:val="19"/>
                <w:szCs w:val="19"/>
              </w:rPr>
            </w:pPr>
          </w:p>
          <w:p>
            <w:pPr>
              <w:pStyle w:val="TableParagraph"/>
              <w:spacing w:line="240" w:lineRule="auto"/>
              <w:ind w:left="252" w:right="0"/>
              <w:jc w:val="left"/>
              <w:rPr>
                <w:rFonts w:ascii="宋体" w:hAnsi="宋体" w:cs="宋体" w:eastAsia="宋体" w:hint="default"/>
                <w:sz w:val="18"/>
                <w:szCs w:val="18"/>
              </w:rPr>
            </w:pPr>
            <w:r>
              <w:rPr>
                <w:rFonts w:ascii="宋体" w:hAnsi="宋体" w:cs="宋体" w:eastAsia="宋体" w:hint="default"/>
                <w:sz w:val="18"/>
                <w:szCs w:val="18"/>
              </w:rPr>
              <w:t>共同经营名称</w:t>
            </w:r>
          </w:p>
        </w:tc>
        <w:tc>
          <w:tcPr>
            <w:tcW w:w="1594"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1"/>
              <w:ind w:right="0"/>
              <w:jc w:val="left"/>
              <w:rPr>
                <w:rFonts w:ascii="宋体" w:hAnsi="宋体" w:cs="宋体" w:eastAsia="宋体" w:hint="default"/>
                <w:b/>
                <w:bCs/>
                <w:sz w:val="19"/>
                <w:szCs w:val="19"/>
              </w:rPr>
            </w:pPr>
          </w:p>
          <w:p>
            <w:pPr>
              <w:pStyle w:val="TableParagraph"/>
              <w:spacing w:line="240" w:lineRule="auto"/>
              <w:ind w:left="342"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594"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1"/>
              <w:ind w:right="0"/>
              <w:jc w:val="left"/>
              <w:rPr>
                <w:rFonts w:ascii="宋体" w:hAnsi="宋体" w:cs="宋体" w:eastAsia="宋体" w:hint="default"/>
                <w:b/>
                <w:bCs/>
                <w:sz w:val="19"/>
                <w:szCs w:val="19"/>
              </w:rPr>
            </w:pPr>
          </w:p>
          <w:p>
            <w:pPr>
              <w:pStyle w:val="TableParagraph"/>
              <w:spacing w:line="240" w:lineRule="auto"/>
              <w:ind w:left="521"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594"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1"/>
              <w:ind w:right="0"/>
              <w:jc w:val="left"/>
              <w:rPr>
                <w:rFonts w:ascii="宋体" w:hAnsi="宋体" w:cs="宋体" w:eastAsia="宋体" w:hint="default"/>
                <w:b/>
                <w:bCs/>
                <w:sz w:val="19"/>
                <w:szCs w:val="19"/>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3187"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753" w:right="0"/>
              <w:jc w:val="left"/>
              <w:rPr>
                <w:rFonts w:ascii="宋体" w:hAnsi="宋体" w:cs="宋体" w:eastAsia="宋体" w:hint="default"/>
                <w:sz w:val="18"/>
                <w:szCs w:val="18"/>
              </w:rPr>
            </w:pPr>
            <w:r>
              <w:rPr>
                <w:rFonts w:ascii="宋体" w:hAnsi="宋体" w:cs="宋体" w:eastAsia="宋体" w:hint="default"/>
                <w:sz w:val="18"/>
                <w:szCs w:val="18"/>
              </w:rPr>
              <w:t>持股比例</w:t>
            </w:r>
            <w:r>
              <w:rPr>
                <w:rFonts w:ascii="Times New Roman" w:hAnsi="Times New Roman" w:cs="Times New Roman" w:eastAsia="Times New Roman" w:hint="default"/>
                <w:sz w:val="18"/>
                <w:szCs w:val="18"/>
              </w:rPr>
              <w:t>/</w:t>
            </w:r>
            <w:r>
              <w:rPr>
                <w:rFonts w:ascii="宋体" w:hAnsi="宋体" w:cs="宋体" w:eastAsia="宋体" w:hint="default"/>
                <w:sz w:val="18"/>
                <w:szCs w:val="18"/>
              </w:rPr>
              <w:t>享有的份额</w:t>
            </w:r>
          </w:p>
        </w:tc>
      </w:tr>
      <w:tr>
        <w:trPr>
          <w:trHeight w:val="402" w:hRule="exact"/>
        </w:trPr>
        <w:tc>
          <w:tcPr>
            <w:tcW w:w="1597" w:type="dxa"/>
            <w:vMerge/>
            <w:tcBorders>
              <w:left w:val="single" w:sz="4" w:space="0" w:color="000000"/>
              <w:bottom w:val="single" w:sz="4" w:space="0" w:color="000000"/>
              <w:right w:val="single" w:sz="4" w:space="0" w:color="000000"/>
            </w:tcBorders>
            <w:shd w:val="clear" w:color="auto" w:fill="D3D3D3"/>
          </w:tcPr>
          <w:p>
            <w:pPr/>
          </w:p>
        </w:tc>
        <w:tc>
          <w:tcPr>
            <w:tcW w:w="1594" w:type="dxa"/>
            <w:vMerge/>
            <w:tcBorders>
              <w:left w:val="single" w:sz="4" w:space="0" w:color="000000"/>
              <w:bottom w:val="single" w:sz="4" w:space="0" w:color="000000"/>
              <w:right w:val="single" w:sz="4" w:space="0" w:color="000000"/>
            </w:tcBorders>
            <w:shd w:val="clear" w:color="auto" w:fill="D3D3D3"/>
          </w:tcPr>
          <w:p>
            <w:pPr/>
          </w:p>
        </w:tc>
        <w:tc>
          <w:tcPr>
            <w:tcW w:w="1594" w:type="dxa"/>
            <w:vMerge/>
            <w:tcBorders>
              <w:left w:val="single" w:sz="4" w:space="0" w:color="000000"/>
              <w:bottom w:val="single" w:sz="4" w:space="0" w:color="000000"/>
              <w:right w:val="single" w:sz="4" w:space="0" w:color="000000"/>
            </w:tcBorders>
            <w:shd w:val="clear" w:color="auto" w:fill="D3D3D3"/>
          </w:tcPr>
          <w:p>
            <w:pPr/>
          </w:p>
        </w:tc>
        <w:tc>
          <w:tcPr>
            <w:tcW w:w="1594" w:type="dxa"/>
            <w:vMerge/>
            <w:tcBorders>
              <w:left w:val="single" w:sz="4" w:space="0" w:color="000000"/>
              <w:bottom w:val="single" w:sz="4" w:space="0" w:color="000000"/>
              <w:right w:val="single" w:sz="4" w:space="0" w:color="000000"/>
            </w:tcBorders>
            <w:shd w:val="clear" w:color="auto" w:fill="D3D3D3"/>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直接</w:t>
            </w:r>
          </w:p>
        </w:tc>
        <w:tc>
          <w:tcPr>
            <w:tcW w:w="15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间接</w:t>
            </w:r>
          </w:p>
        </w:tc>
      </w:tr>
    </w:tbl>
    <w:p>
      <w:pPr>
        <w:pStyle w:val="BodyText"/>
        <w:spacing w:line="360" w:lineRule="auto" w:before="49"/>
        <w:ind w:right="5532"/>
        <w:jc w:val="left"/>
      </w:pPr>
      <w:r>
        <w:rPr/>
        <w:t>在共同经营中的持股比例或享有的份额不同于表决权比例的说明： 共同经营为单独主体的，分类为共同经营的依据：</w:t>
      </w:r>
    </w:p>
    <w:p>
      <w:pPr>
        <w:pStyle w:val="BodyText"/>
        <w:spacing w:line="240" w:lineRule="auto" w:before="26"/>
        <w:ind w:right="0"/>
        <w:jc w:val="left"/>
      </w:pPr>
      <w:r>
        <w:rPr/>
        <w:t>其他说明</w:t>
      </w:r>
    </w:p>
    <w:p>
      <w:pPr>
        <w:spacing w:line="240" w:lineRule="auto" w:before="13"/>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5</w:t>
      </w:r>
      <w:r>
        <w:rPr/>
        <w:t>、在未纳入合并财务报表范围的结构化主体中的权益</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未纳入合并财务报表范围的结构化主体的相关说明：</w:t>
      </w:r>
    </w:p>
    <w:p>
      <w:pPr>
        <w:spacing w:after="0" w:line="240" w:lineRule="auto"/>
        <w:jc w:val="left"/>
        <w:sectPr>
          <w:pgSz w:w="11910" w:h="16840"/>
          <w:pgMar w:header="906" w:footer="1018" w:top="1100" w:bottom="1200" w:left="1020" w:right="0"/>
        </w:sectPr>
      </w:pPr>
    </w:p>
    <w:p>
      <w:pPr>
        <w:spacing w:line="240" w:lineRule="auto" w:before="9"/>
        <w:rPr>
          <w:rFonts w:ascii="宋体" w:hAnsi="宋体" w:cs="宋体" w:eastAsia="宋体" w:hint="default"/>
          <w:sz w:val="21"/>
          <w:szCs w:val="21"/>
        </w:rPr>
      </w:pPr>
    </w:p>
    <w:p>
      <w:pPr>
        <w:pStyle w:val="Heading3"/>
        <w:spacing w:line="240" w:lineRule="auto" w:before="35"/>
        <w:ind w:right="0"/>
        <w:jc w:val="left"/>
        <w:rPr>
          <w:b w:val="0"/>
          <w:bCs w:val="0"/>
        </w:rPr>
      </w:pPr>
      <w:r>
        <w:rPr>
          <w:rFonts w:ascii="Times New Roman" w:hAnsi="Times New Roman" w:cs="Times New Roman" w:eastAsia="Times New Roman" w:hint="default"/>
        </w:rPr>
        <w:t>6</w:t>
      </w:r>
      <w:r>
        <w:rPr/>
        <w:t>、其他</w:t>
      </w:r>
      <w:r>
        <w:rPr>
          <w:b w:val="0"/>
          <w:bCs w:val="0"/>
        </w:rPr>
      </w:r>
    </w:p>
    <w:p>
      <w:pPr>
        <w:spacing w:line="240" w:lineRule="auto" w:before="10"/>
        <w:rPr>
          <w:rFonts w:ascii="宋体" w:hAnsi="宋体" w:cs="宋体" w:eastAsia="宋体" w:hint="default"/>
          <w:b/>
          <w:bCs/>
          <w:sz w:val="22"/>
          <w:szCs w:val="22"/>
        </w:rPr>
      </w:pPr>
    </w:p>
    <w:p>
      <w:pPr>
        <w:pStyle w:val="Heading2"/>
        <w:spacing w:line="240" w:lineRule="auto"/>
        <w:ind w:right="0"/>
        <w:jc w:val="left"/>
        <w:rPr>
          <w:b w:val="0"/>
          <w:bCs w:val="0"/>
        </w:rPr>
      </w:pPr>
      <w:r>
        <w:rPr/>
        <w:t>十、与金融工具相关的风险</w:t>
      </w:r>
      <w:r>
        <w:rPr>
          <w:b w:val="0"/>
          <w:bCs w:val="0"/>
        </w:rPr>
      </w:r>
    </w:p>
    <w:p>
      <w:pPr>
        <w:spacing w:line="240" w:lineRule="auto" w:before="7"/>
        <w:rPr>
          <w:rFonts w:ascii="宋体" w:hAnsi="宋体" w:cs="宋体" w:eastAsia="宋体" w:hint="default"/>
          <w:b/>
          <w:bCs/>
          <w:sz w:val="26"/>
          <w:szCs w:val="26"/>
        </w:rPr>
      </w:pPr>
    </w:p>
    <w:p>
      <w:pPr>
        <w:pStyle w:val="BodyText"/>
        <w:spacing w:line="316" w:lineRule="auto"/>
        <w:ind w:right="0"/>
        <w:jc w:val="left"/>
      </w:pPr>
      <w:r>
        <w:rPr/>
        <w:t>公司在经营过程中面临各种金融风险：市场风险、信用风险和流动性风险。 </w:t>
      </w:r>
      <w:r>
        <w:rPr>
          <w:spacing w:val="-2"/>
        </w:rPr>
        <w:t>公司风险管理的基本策略是确定和分析所面临的各种风险，建立适当的风险承受底线并进行风险管理，并及时可靠地对各种</w:t>
      </w:r>
      <w:r>
        <w:rPr>
          <w:spacing w:val="-64"/>
        </w:rPr>
        <w:t> </w:t>
      </w:r>
      <w:r>
        <w:rPr>
          <w:spacing w:val="-64"/>
        </w:rPr>
      </w:r>
      <w:r>
        <w:rPr/>
        <w:t>风险进行监督，从而将风险控制在限定的范围之内。</w:t>
      </w:r>
    </w:p>
    <w:p>
      <w:pPr>
        <w:pStyle w:val="BodyText"/>
        <w:spacing w:line="240" w:lineRule="auto" w:before="18"/>
        <w:ind w:right="0"/>
        <w:jc w:val="left"/>
      </w:pPr>
      <w:r>
        <w:rPr/>
        <w:t>1、市场风险</w:t>
      </w:r>
    </w:p>
    <w:p>
      <w:pPr>
        <w:pStyle w:val="BodyText"/>
        <w:spacing w:line="338" w:lineRule="auto" w:before="76"/>
        <w:ind w:right="1128"/>
        <w:jc w:val="left"/>
      </w:pPr>
      <w:r>
        <w:rPr/>
        <w:t>（1）汇率风险 </w:t>
      </w:r>
      <w:r>
        <w:rPr>
          <w:spacing w:val="-2"/>
        </w:rPr>
        <w:t>公司面临的汇率风险主要来自于公司境外子公司以外币计价的资产和负债以及公司以外币进行的采购和销售业务。公司的其</w:t>
      </w:r>
      <w:r>
        <w:rPr>
          <w:spacing w:val="-64"/>
        </w:rPr>
        <w:t> </w:t>
      </w:r>
      <w:r>
        <w:rPr>
          <w:spacing w:val="-64"/>
        </w:rPr>
      </w:r>
      <w:r>
        <w:rPr/>
        <w:t>它主要业务活动以人民币计价结算。截至</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日止，除本报告附注六</w:t>
      </w:r>
      <w:r>
        <w:rPr>
          <w:rFonts w:ascii="Times New Roman" w:hAnsi="Times New Roman" w:cs="Times New Roman" w:eastAsia="Times New Roman" w:hint="default"/>
        </w:rPr>
        <w:t>-49</w:t>
      </w:r>
      <w:r>
        <w:rPr/>
        <w:t>所述资产及负债的外币余额外，公司的其</w:t>
      </w:r>
    </w:p>
    <w:p>
      <w:pPr>
        <w:pStyle w:val="BodyText"/>
        <w:spacing w:line="217" w:lineRule="exact"/>
        <w:ind w:right="0"/>
        <w:jc w:val="left"/>
      </w:pPr>
      <w:r>
        <w:rPr/>
        <w:t>他资产及负债均为人民币余额。上述外币余额的资产和负债产生的汇率风险可能对公司的经营业绩产生影响。</w:t>
      </w: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14"/>
          <w:szCs w:val="14"/>
        </w:rPr>
      </w:pPr>
    </w:p>
    <w:p>
      <w:pPr>
        <w:pStyle w:val="BodyText"/>
        <w:spacing w:line="319" w:lineRule="auto"/>
        <w:ind w:right="3012"/>
        <w:jc w:val="left"/>
      </w:pPr>
      <w:r>
        <w:rPr/>
        <w:t>（2）利率风险 公司的利率风险产生于银行借款等带息债务。固定利率的金融负债使公司面临公允价值利率风险。</w:t>
      </w:r>
    </w:p>
    <w:p>
      <w:pPr>
        <w:spacing w:line="240" w:lineRule="auto" w:before="2"/>
        <w:rPr>
          <w:rFonts w:ascii="宋体" w:hAnsi="宋体" w:cs="宋体" w:eastAsia="宋体" w:hint="default"/>
          <w:sz w:val="25"/>
          <w:szCs w:val="25"/>
        </w:rPr>
      </w:pPr>
    </w:p>
    <w:p>
      <w:pPr>
        <w:pStyle w:val="BodyText"/>
        <w:spacing w:line="360" w:lineRule="auto"/>
        <w:ind w:right="3372"/>
        <w:jc w:val="left"/>
      </w:pPr>
      <w:r>
        <w:rPr/>
        <w:t>（3）其他价格风险 公司持有的其他金融资产投资，管理层认为这些投资活动面临的市场价格风险是可以接受的。 公司持有的其他金融资产投资列示如下：</w:t>
      </w:r>
    </w:p>
    <w:tbl>
      <w:tblPr>
        <w:tblW w:w="0" w:type="auto"/>
        <w:jc w:val="left"/>
        <w:tblInd w:w="106" w:type="dxa"/>
        <w:tblLayout w:type="fixed"/>
        <w:tblCellMar>
          <w:top w:w="0" w:type="dxa"/>
          <w:left w:w="0" w:type="dxa"/>
          <w:bottom w:w="0" w:type="dxa"/>
          <w:right w:w="0" w:type="dxa"/>
        </w:tblCellMar>
        <w:tblLook w:val="01E0"/>
      </w:tblPr>
      <w:tblGrid>
        <w:gridCol w:w="5570"/>
        <w:gridCol w:w="1368"/>
        <w:gridCol w:w="2756"/>
      </w:tblGrid>
      <w:tr>
        <w:trPr>
          <w:trHeight w:val="427" w:hRule="exact"/>
        </w:trPr>
        <w:tc>
          <w:tcPr>
            <w:tcW w:w="55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left="2"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13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right="0"/>
              <w:jc w:val="right"/>
              <w:rPr>
                <w:rFonts w:ascii="宋体" w:hAnsi="宋体" w:cs="宋体" w:eastAsia="宋体" w:hint="default"/>
                <w:sz w:val="18"/>
                <w:szCs w:val="18"/>
              </w:rPr>
            </w:pPr>
            <w:r>
              <w:rPr>
                <w:rFonts w:ascii="宋体" w:hAnsi="宋体" w:cs="宋体" w:eastAsia="宋体" w:hint="default"/>
                <w:sz w:val="18"/>
                <w:szCs w:val="18"/>
              </w:rPr>
              <w:t>期末余额</w:t>
            </w:r>
          </w:p>
        </w:tc>
        <w:tc>
          <w:tcPr>
            <w:tcW w:w="27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right="1"/>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注</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期初余额</w:t>
            </w:r>
          </w:p>
        </w:tc>
      </w:tr>
      <w:tr>
        <w:trPr>
          <w:trHeight w:val="427" w:hRule="exact"/>
        </w:trPr>
        <w:tc>
          <w:tcPr>
            <w:tcW w:w="55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left="2" w:right="0"/>
              <w:jc w:val="left"/>
              <w:rPr>
                <w:rFonts w:ascii="宋体" w:hAnsi="宋体" w:cs="宋体" w:eastAsia="宋体" w:hint="default"/>
                <w:sz w:val="18"/>
                <w:szCs w:val="18"/>
              </w:rPr>
            </w:pPr>
            <w:r>
              <w:rPr>
                <w:rFonts w:ascii="宋体" w:hAnsi="宋体" w:cs="宋体" w:eastAsia="宋体" w:hint="default"/>
                <w:sz w:val="18"/>
                <w:szCs w:val="18"/>
              </w:rPr>
              <w:t>交易性金融资产（银行理财）</w:t>
            </w:r>
          </w:p>
        </w:tc>
        <w:tc>
          <w:tcPr>
            <w:tcW w:w="13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0"/>
              <w:jc w:val="right"/>
              <w:rPr>
                <w:rFonts w:ascii="Times New Roman" w:hAnsi="Times New Roman" w:cs="Times New Roman" w:eastAsia="Times New Roman" w:hint="default"/>
                <w:sz w:val="18"/>
                <w:szCs w:val="18"/>
              </w:rPr>
            </w:pPr>
            <w:r>
              <w:rPr>
                <w:rFonts w:ascii="Times New Roman"/>
                <w:sz w:val="18"/>
              </w:rPr>
              <w:t>379,200,000.00</w:t>
            </w:r>
          </w:p>
        </w:tc>
        <w:tc>
          <w:tcPr>
            <w:tcW w:w="27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0"/>
              <w:jc w:val="right"/>
              <w:rPr>
                <w:rFonts w:ascii="Times New Roman" w:hAnsi="Times New Roman" w:cs="Times New Roman" w:eastAsia="Times New Roman" w:hint="default"/>
                <w:sz w:val="18"/>
                <w:szCs w:val="18"/>
              </w:rPr>
            </w:pPr>
            <w:r>
              <w:rPr>
                <w:rFonts w:ascii="Times New Roman"/>
                <w:sz w:val="18"/>
              </w:rPr>
              <w:t>238,350,000.00</w:t>
            </w:r>
          </w:p>
        </w:tc>
      </w:tr>
      <w:tr>
        <w:trPr>
          <w:trHeight w:val="427" w:hRule="exact"/>
        </w:trPr>
        <w:tc>
          <w:tcPr>
            <w:tcW w:w="55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left="2" w:right="0"/>
              <w:jc w:val="left"/>
              <w:rPr>
                <w:rFonts w:ascii="宋体" w:hAnsi="宋体" w:cs="宋体" w:eastAsia="宋体" w:hint="default"/>
                <w:sz w:val="18"/>
                <w:szCs w:val="18"/>
              </w:rPr>
            </w:pPr>
            <w:r>
              <w:rPr>
                <w:rFonts w:ascii="宋体" w:hAnsi="宋体" w:cs="宋体" w:eastAsia="宋体" w:hint="default"/>
                <w:sz w:val="18"/>
                <w:szCs w:val="18"/>
              </w:rPr>
              <w:t>其他权益工具投资</w:t>
            </w:r>
          </w:p>
        </w:tc>
        <w:tc>
          <w:tcPr>
            <w:tcW w:w="13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0"/>
              <w:jc w:val="right"/>
              <w:rPr>
                <w:rFonts w:ascii="Times New Roman" w:hAnsi="Times New Roman" w:cs="Times New Roman" w:eastAsia="Times New Roman" w:hint="default"/>
                <w:sz w:val="18"/>
                <w:szCs w:val="18"/>
              </w:rPr>
            </w:pPr>
            <w:r>
              <w:rPr>
                <w:rFonts w:ascii="Times New Roman"/>
                <w:sz w:val="18"/>
              </w:rPr>
              <w:t>21,030,000.00</w:t>
            </w:r>
          </w:p>
        </w:tc>
        <w:tc>
          <w:tcPr>
            <w:tcW w:w="27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0"/>
              <w:jc w:val="right"/>
              <w:rPr>
                <w:rFonts w:ascii="Times New Roman" w:hAnsi="Times New Roman" w:cs="Times New Roman" w:eastAsia="Times New Roman" w:hint="default"/>
                <w:sz w:val="18"/>
                <w:szCs w:val="18"/>
              </w:rPr>
            </w:pPr>
            <w:r>
              <w:rPr>
                <w:rFonts w:ascii="Times New Roman"/>
                <w:sz w:val="18"/>
              </w:rPr>
              <w:t>21,030,000.00</w:t>
            </w:r>
          </w:p>
        </w:tc>
      </w:tr>
      <w:tr>
        <w:trPr>
          <w:trHeight w:val="427" w:hRule="exact"/>
        </w:trPr>
        <w:tc>
          <w:tcPr>
            <w:tcW w:w="55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left="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0"/>
              <w:jc w:val="right"/>
              <w:rPr>
                <w:rFonts w:ascii="Times New Roman" w:hAnsi="Times New Roman" w:cs="Times New Roman" w:eastAsia="Times New Roman" w:hint="default"/>
                <w:sz w:val="18"/>
                <w:szCs w:val="18"/>
              </w:rPr>
            </w:pPr>
            <w:r>
              <w:rPr>
                <w:rFonts w:ascii="Times New Roman"/>
                <w:sz w:val="18"/>
              </w:rPr>
              <w:t>400,230,000.00</w:t>
            </w:r>
          </w:p>
        </w:tc>
        <w:tc>
          <w:tcPr>
            <w:tcW w:w="27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0"/>
              <w:jc w:val="right"/>
              <w:rPr>
                <w:rFonts w:ascii="Times New Roman" w:hAnsi="Times New Roman" w:cs="Times New Roman" w:eastAsia="Times New Roman" w:hint="default"/>
                <w:sz w:val="18"/>
                <w:szCs w:val="18"/>
              </w:rPr>
            </w:pPr>
            <w:r>
              <w:rPr>
                <w:rFonts w:ascii="Times New Roman"/>
                <w:sz w:val="18"/>
              </w:rPr>
              <w:t>259,380,000.00</w:t>
            </w:r>
          </w:p>
        </w:tc>
      </w:tr>
    </w:tbl>
    <w:p>
      <w:pPr>
        <w:spacing w:line="240" w:lineRule="auto" w:before="8"/>
        <w:rPr>
          <w:rFonts w:ascii="宋体" w:hAnsi="宋体" w:cs="宋体" w:eastAsia="宋体" w:hint="default"/>
          <w:sz w:val="28"/>
          <w:szCs w:val="28"/>
        </w:rPr>
      </w:pPr>
    </w:p>
    <w:p>
      <w:pPr>
        <w:pStyle w:val="BodyText"/>
        <w:spacing w:line="240" w:lineRule="auto" w:before="44"/>
        <w:ind w:right="0"/>
        <w:jc w:val="left"/>
      </w:pPr>
      <w:r>
        <w:rPr/>
        <w:t>注：期初余额与上年年末余额的差异详见附注五</w:t>
      </w:r>
      <w:r>
        <w:rPr>
          <w:rFonts w:ascii="Times New Roman" w:hAnsi="Times New Roman" w:cs="Times New Roman" w:eastAsia="Times New Roman" w:hint="default"/>
        </w:rPr>
        <w:t>-44(3)</w:t>
      </w:r>
      <w:r>
        <w:rPr/>
        <w:t>。</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25"/>
          <w:szCs w:val="25"/>
        </w:rPr>
      </w:pPr>
    </w:p>
    <w:p>
      <w:pPr>
        <w:pStyle w:val="BodyText"/>
        <w:spacing w:line="316" w:lineRule="auto"/>
        <w:ind w:right="2112"/>
        <w:jc w:val="left"/>
      </w:pPr>
      <w:r>
        <w:rPr/>
        <w:t>2、信用风险 公司对信用风险按组合分类进行管理。信用风险主要产生于银行存款、应收账款、其他应收款和应收票据等。</w:t>
      </w:r>
    </w:p>
    <w:p>
      <w:pPr>
        <w:pStyle w:val="BodyText"/>
        <w:spacing w:line="338" w:lineRule="auto" w:before="18"/>
        <w:ind w:right="0"/>
        <w:jc w:val="left"/>
      </w:pPr>
      <w:r>
        <w:rPr>
          <w:spacing w:val="-2"/>
        </w:rPr>
        <w:t>公司银行存款主要存放于国有银行和其他信用评级较高的银行，公司认为其不存在重大的信用风险，不会产生因对方单位违</w:t>
      </w:r>
      <w:r>
        <w:rPr>
          <w:spacing w:val="-64"/>
        </w:rPr>
        <w:t> </w:t>
      </w:r>
      <w:r>
        <w:rPr>
          <w:spacing w:val="-64"/>
        </w:rPr>
      </w:r>
      <w:r>
        <w:rPr/>
        <w:t>约而导致的任何重大损失。</w:t>
      </w:r>
      <w:r>
        <w:rPr/>
        <w:t> </w:t>
      </w:r>
      <w:r>
        <w:rPr>
          <w:spacing w:val="-2"/>
        </w:rPr>
        <w:t>对于应收账款、其他应收款和应收票据，公司设定相关政策以控制信用风险敞口。公司基于对客户的财务状况、从第三方获</w:t>
      </w:r>
    </w:p>
    <w:p>
      <w:pPr>
        <w:pStyle w:val="BodyText"/>
        <w:spacing w:line="316" w:lineRule="auto" w:before="2"/>
        <w:ind w:right="1129"/>
        <w:jc w:val="both"/>
      </w:pPr>
      <w:r>
        <w:rPr>
          <w:spacing w:val="-2"/>
        </w:rPr>
        <w:t>取担保的可能性、信用记录及其它因素诸如目前市场状况等评估客户的信用资质并设置相应信用期。定期对客户信用记录进</w:t>
      </w:r>
      <w:r>
        <w:rPr>
          <w:spacing w:val="-64"/>
        </w:rPr>
        <w:t> </w:t>
      </w:r>
      <w:r>
        <w:rPr>
          <w:spacing w:val="-64"/>
        </w:rPr>
      </w:r>
      <w:r>
        <w:rPr>
          <w:spacing w:val="-2"/>
        </w:rPr>
        <w:t>行监控，对于信用记录不良的客户，公司会采用书面催款、缩短信用期或取消信用期等方式，以确保公司的整体信用风险在</w:t>
      </w:r>
      <w:r>
        <w:rPr>
          <w:spacing w:val="-67"/>
        </w:rPr>
        <w:t> </w:t>
      </w:r>
      <w:r>
        <w:rPr>
          <w:spacing w:val="-67"/>
        </w:rPr>
      </w:r>
      <w:r>
        <w:rPr>
          <w:spacing w:val="-2"/>
        </w:rPr>
        <w:t>可控的范围内。此外，公司于每个资产负债表日审核每一单项应收款的回收情况，以确保就无法回收的款项计提充分的坏账</w:t>
      </w:r>
      <w:r>
        <w:rPr>
          <w:spacing w:val="-65"/>
        </w:rPr>
        <w:t> </w:t>
      </w:r>
      <w:r>
        <w:rPr>
          <w:spacing w:val="-65"/>
        </w:rPr>
      </w:r>
      <w:r>
        <w:rPr/>
        <w:t>准备。因此，公司管理层认为所承担的信用风险已经大为降低。</w:t>
      </w:r>
    </w:p>
    <w:p>
      <w:pPr>
        <w:spacing w:line="240" w:lineRule="auto" w:before="0"/>
        <w:rPr>
          <w:rFonts w:ascii="宋体" w:hAnsi="宋体" w:cs="宋体" w:eastAsia="宋体" w:hint="default"/>
          <w:sz w:val="18"/>
          <w:szCs w:val="18"/>
        </w:rPr>
      </w:pPr>
    </w:p>
    <w:p>
      <w:pPr>
        <w:pStyle w:val="BodyText"/>
        <w:spacing w:line="338" w:lineRule="auto" w:before="135"/>
        <w:ind w:right="1032"/>
        <w:jc w:val="left"/>
      </w:pPr>
      <w:r>
        <w:rPr/>
        <w:t>3、流动风险 </w:t>
      </w:r>
      <w:r>
        <w:rPr>
          <w:spacing w:val="-2"/>
        </w:rPr>
        <w:t>流动风险为公司在到期日无法履行其财务义务的风险。公司管理流动性风险的方法是确保有足够的资金流动性来履行到期债</w:t>
      </w:r>
      <w:r>
        <w:rPr>
          <w:spacing w:val="-64"/>
        </w:rPr>
        <w:t> </w:t>
      </w:r>
      <w:r>
        <w:rPr>
          <w:spacing w:val="-64"/>
        </w:rPr>
      </w:r>
      <w:r>
        <w:rPr>
          <w:spacing w:val="-2"/>
        </w:rPr>
        <w:t>务，而不至于造成不可接受的损失或对企业信誉造成损害。公司定期分析负债结构和期限，以确保有充裕的资金。公司管理</w:t>
      </w:r>
    </w:p>
    <w:p>
      <w:pPr>
        <w:pStyle w:val="BodyText"/>
        <w:spacing w:line="240" w:lineRule="auto" w:before="2"/>
        <w:ind w:right="0"/>
        <w:jc w:val="left"/>
      </w:pPr>
      <w:r>
        <w:rPr/>
        <w:t>层对银行借款的使用情况进行监控并确保遵守借款协议。同时与金融机构进行融资磋商，以保持一定的授信额度，降低流动</w:t>
      </w:r>
    </w:p>
    <w:p>
      <w:pPr>
        <w:spacing w:after="0" w:line="240" w:lineRule="auto"/>
        <w:jc w:val="left"/>
        <w:sectPr>
          <w:pgSz w:w="11910" w:h="16840"/>
          <w:pgMar w:header="906" w:footer="1018" w:top="1100" w:bottom="1200" w:left="1020" w:right="0"/>
        </w:sectPr>
      </w:pPr>
    </w:p>
    <w:p>
      <w:pPr>
        <w:spacing w:line="240" w:lineRule="auto" w:before="11"/>
        <w:rPr>
          <w:rFonts w:ascii="宋体" w:hAnsi="宋体" w:cs="宋体" w:eastAsia="宋体" w:hint="default"/>
          <w:sz w:val="22"/>
          <w:szCs w:val="22"/>
        </w:rPr>
      </w:pPr>
    </w:p>
    <w:p>
      <w:pPr>
        <w:pStyle w:val="BodyText"/>
        <w:spacing w:line="240" w:lineRule="auto" w:before="44"/>
        <w:ind w:right="0"/>
        <w:jc w:val="left"/>
      </w:pPr>
      <w:r>
        <w:rPr/>
        <w:t>性风险。</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24"/>
          <w:szCs w:val="24"/>
        </w:rPr>
      </w:pPr>
    </w:p>
    <w:p>
      <w:pPr>
        <w:pStyle w:val="Heading2"/>
        <w:spacing w:line="240" w:lineRule="auto"/>
        <w:ind w:right="0"/>
        <w:jc w:val="left"/>
        <w:rPr>
          <w:b w:val="0"/>
          <w:bCs w:val="0"/>
        </w:rPr>
      </w:pPr>
      <w:r>
        <w:rPr/>
        <w:t>十一、公允价值的披露</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r>
        <w:rPr>
          <w:rFonts w:ascii="Times New Roman" w:hAnsi="Times New Roman" w:cs="Times New Roman" w:eastAsia="Times New Roman" w:hint="default"/>
        </w:rPr>
        <w:t>1</w:t>
      </w:r>
      <w:r>
        <w:rPr/>
        <w:t>、以公允价值计量的资产和负债的期末公允价值</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94"/>
        <w:gridCol w:w="1837"/>
        <w:gridCol w:w="1913"/>
        <w:gridCol w:w="1913"/>
        <w:gridCol w:w="1913"/>
      </w:tblGrid>
      <w:tr>
        <w:trPr>
          <w:trHeight w:val="401" w:hRule="exact"/>
        </w:trPr>
        <w:tc>
          <w:tcPr>
            <w:tcW w:w="1994"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7576" w:type="dxa"/>
            <w:gridSpan w:val="4"/>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期末公允价值</w:t>
            </w:r>
          </w:p>
        </w:tc>
      </w:tr>
      <w:tr>
        <w:trPr>
          <w:trHeight w:val="714" w:hRule="exact"/>
        </w:trPr>
        <w:tc>
          <w:tcPr>
            <w:tcW w:w="1994" w:type="dxa"/>
            <w:vMerge/>
            <w:tcBorders>
              <w:left w:val="single" w:sz="4" w:space="0" w:color="000000"/>
              <w:bottom w:val="single" w:sz="4" w:space="0" w:color="000000"/>
              <w:right w:val="single" w:sz="4" w:space="0" w:color="000000"/>
            </w:tcBorders>
            <w:shd w:val="clear" w:color="auto" w:fill="D3D3D3"/>
          </w:tcPr>
          <w:p>
            <w:pPr/>
          </w:p>
        </w:tc>
        <w:tc>
          <w:tcPr>
            <w:tcW w:w="183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823" w:right="102" w:hanging="720"/>
              <w:jc w:val="left"/>
              <w:rPr>
                <w:rFonts w:ascii="宋体" w:hAnsi="宋体" w:cs="宋体" w:eastAsia="宋体" w:hint="default"/>
                <w:sz w:val="18"/>
                <w:szCs w:val="18"/>
              </w:rPr>
            </w:pPr>
            <w:r>
              <w:rPr>
                <w:rFonts w:ascii="宋体" w:hAnsi="宋体" w:cs="宋体" w:eastAsia="宋体" w:hint="default"/>
                <w:sz w:val="18"/>
                <w:szCs w:val="18"/>
              </w:rPr>
              <w:t>第一层次公允价值计 量</w:t>
            </w:r>
          </w:p>
        </w:tc>
        <w:tc>
          <w:tcPr>
            <w:tcW w:w="191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860" w:right="140" w:hanging="720"/>
              <w:jc w:val="left"/>
              <w:rPr>
                <w:rFonts w:ascii="宋体" w:hAnsi="宋体" w:cs="宋体" w:eastAsia="宋体" w:hint="default"/>
                <w:sz w:val="18"/>
                <w:szCs w:val="18"/>
              </w:rPr>
            </w:pPr>
            <w:r>
              <w:rPr>
                <w:rFonts w:ascii="宋体" w:hAnsi="宋体" w:cs="宋体" w:eastAsia="宋体" w:hint="default"/>
                <w:sz w:val="18"/>
                <w:szCs w:val="18"/>
              </w:rPr>
              <w:t>第二层次公允价值计 量</w:t>
            </w:r>
          </w:p>
        </w:tc>
        <w:tc>
          <w:tcPr>
            <w:tcW w:w="191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861" w:right="140" w:hanging="720"/>
              <w:jc w:val="left"/>
              <w:rPr>
                <w:rFonts w:ascii="宋体" w:hAnsi="宋体" w:cs="宋体" w:eastAsia="宋体" w:hint="default"/>
                <w:sz w:val="18"/>
                <w:szCs w:val="18"/>
              </w:rPr>
            </w:pPr>
            <w:r>
              <w:rPr>
                <w:rFonts w:ascii="宋体" w:hAnsi="宋体" w:cs="宋体" w:eastAsia="宋体" w:hint="default"/>
                <w:sz w:val="18"/>
                <w:szCs w:val="18"/>
              </w:rPr>
              <w:t>第三层次公允价值计 量</w:t>
            </w:r>
          </w:p>
        </w:tc>
        <w:tc>
          <w:tcPr>
            <w:tcW w:w="191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714" w:hRule="exact"/>
        </w:trPr>
        <w:tc>
          <w:tcPr>
            <w:tcW w:w="19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49"/>
              <w:ind w:left="102" w:right="101"/>
              <w:jc w:val="left"/>
              <w:rPr>
                <w:rFonts w:ascii="宋体" w:hAnsi="宋体" w:cs="宋体" w:eastAsia="宋体" w:hint="default"/>
                <w:sz w:val="18"/>
                <w:szCs w:val="18"/>
              </w:rPr>
            </w:pPr>
            <w:r>
              <w:rPr>
                <w:rFonts w:ascii="宋体" w:hAnsi="宋体" w:cs="宋体" w:eastAsia="宋体" w:hint="default"/>
                <w:spacing w:val="-3"/>
                <w:sz w:val="18"/>
                <w:szCs w:val="18"/>
              </w:rPr>
              <w:t>一、持续的公允价值计</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量</w:t>
            </w:r>
          </w:p>
        </w:tc>
        <w:tc>
          <w:tcPr>
            <w:tcW w:w="183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r>
      <w:tr>
        <w:trPr>
          <w:trHeight w:val="403" w:hRule="exact"/>
        </w:trPr>
        <w:tc>
          <w:tcPr>
            <w:tcW w:w="19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pacing w:val="-3"/>
                <w:sz w:val="18"/>
                <w:szCs w:val="18"/>
              </w:rPr>
              <w:t>（一）交易性金融资产</w:t>
            </w:r>
          </w:p>
        </w:tc>
        <w:tc>
          <w:tcPr>
            <w:tcW w:w="1837"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379,200,000.00</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379,200,000.00</w:t>
            </w:r>
          </w:p>
        </w:tc>
      </w:tr>
      <w:tr>
        <w:trPr>
          <w:trHeight w:val="1026" w:hRule="exact"/>
        </w:trPr>
        <w:tc>
          <w:tcPr>
            <w:tcW w:w="19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9" w:lineRule="auto" w:before="49"/>
              <w:ind w:left="102" w:right="124"/>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以公允价值计量且其 变动计入当期损益的 金融资产</w:t>
            </w:r>
          </w:p>
        </w:tc>
        <w:tc>
          <w:tcPr>
            <w:tcW w:w="1837"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379,200,000.00</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379,200,000.00</w:t>
            </w:r>
          </w:p>
        </w:tc>
      </w:tr>
      <w:tr>
        <w:trPr>
          <w:trHeight w:val="714" w:hRule="exact"/>
        </w:trPr>
        <w:tc>
          <w:tcPr>
            <w:tcW w:w="19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49"/>
              <w:ind w:left="102" w:right="101"/>
              <w:jc w:val="left"/>
              <w:rPr>
                <w:rFonts w:ascii="宋体" w:hAnsi="宋体" w:cs="宋体" w:eastAsia="宋体" w:hint="default"/>
                <w:sz w:val="18"/>
                <w:szCs w:val="18"/>
              </w:rPr>
            </w:pPr>
            <w:r>
              <w:rPr>
                <w:rFonts w:ascii="宋体" w:hAnsi="宋体" w:cs="宋体" w:eastAsia="宋体" w:hint="default"/>
                <w:spacing w:val="-3"/>
                <w:sz w:val="18"/>
                <w:szCs w:val="18"/>
              </w:rPr>
              <w:t>（三）其他权益工具投</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资</w:t>
            </w:r>
          </w:p>
        </w:tc>
        <w:tc>
          <w:tcPr>
            <w:tcW w:w="1837"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21,030,000.00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21,030,000.00</w:t>
            </w:r>
          </w:p>
        </w:tc>
      </w:tr>
      <w:tr>
        <w:trPr>
          <w:trHeight w:val="402" w:hRule="exact"/>
        </w:trPr>
        <w:tc>
          <w:tcPr>
            <w:tcW w:w="1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应收款项融资</w:t>
            </w:r>
          </w:p>
        </w:tc>
        <w:tc>
          <w:tcPr>
            <w:tcW w:w="1837"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23,256.45</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23,256.45</w:t>
            </w:r>
          </w:p>
        </w:tc>
      </w:tr>
      <w:tr>
        <w:trPr>
          <w:trHeight w:val="714" w:hRule="exact"/>
        </w:trPr>
        <w:tc>
          <w:tcPr>
            <w:tcW w:w="19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49"/>
              <w:ind w:left="102" w:right="259"/>
              <w:jc w:val="left"/>
              <w:rPr>
                <w:rFonts w:ascii="宋体" w:hAnsi="宋体" w:cs="宋体" w:eastAsia="宋体" w:hint="default"/>
                <w:sz w:val="18"/>
                <w:szCs w:val="18"/>
              </w:rPr>
            </w:pPr>
            <w:r>
              <w:rPr>
                <w:rFonts w:ascii="宋体" w:hAnsi="宋体" w:cs="宋体" w:eastAsia="宋体" w:hint="default"/>
                <w:sz w:val="18"/>
                <w:szCs w:val="18"/>
              </w:rPr>
              <w:t>持续以公允价值计量 的资产总额</w:t>
            </w:r>
          </w:p>
        </w:tc>
        <w:tc>
          <w:tcPr>
            <w:tcW w:w="1837"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379,223,256.45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21,030,000.00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400,253,256.45</w:t>
            </w:r>
          </w:p>
        </w:tc>
      </w:tr>
      <w:tr>
        <w:trPr>
          <w:trHeight w:val="714" w:hRule="exact"/>
        </w:trPr>
        <w:tc>
          <w:tcPr>
            <w:tcW w:w="19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02" w:right="101"/>
              <w:jc w:val="left"/>
              <w:rPr>
                <w:rFonts w:ascii="宋体" w:hAnsi="宋体" w:cs="宋体" w:eastAsia="宋体" w:hint="default"/>
                <w:sz w:val="18"/>
                <w:szCs w:val="18"/>
              </w:rPr>
            </w:pPr>
            <w:r>
              <w:rPr>
                <w:rFonts w:ascii="宋体" w:hAnsi="宋体" w:cs="宋体" w:eastAsia="宋体" w:hint="default"/>
                <w:spacing w:val="-3"/>
                <w:sz w:val="18"/>
                <w:szCs w:val="18"/>
              </w:rPr>
              <w:t>二、非持续的公允价值</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计量</w:t>
            </w:r>
          </w:p>
        </w:tc>
        <w:tc>
          <w:tcPr>
            <w:tcW w:w="183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2"/>
        <w:rPr>
          <w:rFonts w:ascii="宋体" w:hAnsi="宋体" w:cs="宋体" w:eastAsia="宋体" w:hint="default"/>
          <w:sz w:val="19"/>
          <w:szCs w:val="19"/>
        </w:rPr>
      </w:pPr>
    </w:p>
    <w:p>
      <w:pPr>
        <w:pStyle w:val="Heading3"/>
        <w:spacing w:line="240" w:lineRule="auto" w:before="35"/>
        <w:ind w:right="0"/>
        <w:jc w:val="both"/>
        <w:rPr>
          <w:b w:val="0"/>
          <w:bCs w:val="0"/>
        </w:rPr>
      </w:pPr>
      <w:r>
        <w:rPr>
          <w:rFonts w:ascii="Times New Roman" w:hAnsi="Times New Roman" w:cs="Times New Roman" w:eastAsia="Times New Roman" w:hint="default"/>
        </w:rPr>
        <w:t>2</w:t>
      </w:r>
      <w:r>
        <w:rPr/>
        <w:t>、持续和非持续第一层次公允价值计量项目市价的确定依据</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both"/>
      </w:pPr>
      <w:r>
        <w:rPr/>
        <w:t>无</w:t>
      </w:r>
    </w:p>
    <w:p>
      <w:pPr>
        <w:spacing w:line="240" w:lineRule="auto" w:before="12"/>
        <w:rPr>
          <w:rFonts w:ascii="宋体" w:hAnsi="宋体" w:cs="宋体" w:eastAsia="宋体" w:hint="default"/>
          <w:sz w:val="26"/>
          <w:szCs w:val="26"/>
        </w:rPr>
      </w:pPr>
    </w:p>
    <w:p>
      <w:pPr>
        <w:pStyle w:val="Heading3"/>
        <w:spacing w:line="240" w:lineRule="auto"/>
        <w:ind w:right="0"/>
        <w:jc w:val="both"/>
        <w:rPr>
          <w:b w:val="0"/>
          <w:bCs w:val="0"/>
        </w:rPr>
      </w:pPr>
      <w:r>
        <w:rPr>
          <w:rFonts w:ascii="Times New Roman" w:hAnsi="Times New Roman" w:cs="Times New Roman" w:eastAsia="Times New Roman" w:hint="default"/>
        </w:rPr>
        <w:t>3</w:t>
      </w:r>
      <w:r>
        <w:rPr/>
        <w:t>、持续和非持续第二层次公允价值计量项目，采用的估值技术和重要参数的定性及定量信息</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both"/>
      </w:pPr>
      <w:r>
        <w:rPr/>
        <w:t>（</w:t>
      </w:r>
      <w:r>
        <w:rPr>
          <w:rFonts w:ascii="Times New Roman" w:hAnsi="Times New Roman" w:cs="Times New Roman" w:eastAsia="Times New Roman" w:hint="default"/>
        </w:rPr>
        <w:t>1</w:t>
      </w:r>
      <w:r>
        <w:rPr/>
        <w:t>）公司持有的银行理财产品公允价值根据本金加上截至资产负债表日的预期收益确定；</w:t>
      </w:r>
    </w:p>
    <w:p>
      <w:pPr>
        <w:pStyle w:val="BodyText"/>
        <w:spacing w:line="240" w:lineRule="auto" w:before="102"/>
        <w:ind w:right="0"/>
        <w:jc w:val="both"/>
      </w:pPr>
      <w:r>
        <w:rPr/>
        <w:t>（</w:t>
      </w:r>
      <w:r>
        <w:rPr>
          <w:rFonts w:ascii="Times New Roman" w:hAnsi="Times New Roman" w:cs="Times New Roman" w:eastAsia="Times New Roman" w:hint="default"/>
        </w:rPr>
        <w:t>2</w:t>
      </w:r>
      <w:r>
        <w:rPr/>
        <w:t>）对于持有的银行承兑汇票，其剩余期限较短，且预期以背书方式出售，故采用票面价值确定其公允价值。</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6"/>
          <w:szCs w:val="16"/>
        </w:rPr>
      </w:pPr>
    </w:p>
    <w:p>
      <w:pPr>
        <w:pStyle w:val="Heading3"/>
        <w:spacing w:line="240" w:lineRule="auto"/>
        <w:ind w:right="0"/>
        <w:jc w:val="both"/>
        <w:rPr>
          <w:b w:val="0"/>
          <w:bCs w:val="0"/>
        </w:rPr>
      </w:pPr>
      <w:r>
        <w:rPr>
          <w:rFonts w:ascii="Times New Roman" w:hAnsi="Times New Roman" w:cs="Times New Roman" w:eastAsia="Times New Roman" w:hint="default"/>
        </w:rPr>
        <w:t>4</w:t>
      </w:r>
      <w:r>
        <w:rPr/>
        <w:t>、持续和非持续第三层次公允价值计量项目，采用的估值技术和重要参数的定性及定量信息</w:t>
      </w:r>
      <w:r>
        <w:rPr>
          <w:b w:val="0"/>
          <w:bCs w:val="0"/>
        </w:rPr>
      </w:r>
    </w:p>
    <w:p>
      <w:pPr>
        <w:spacing w:line="240" w:lineRule="auto" w:before="7"/>
        <w:rPr>
          <w:rFonts w:ascii="宋体" w:hAnsi="宋体" w:cs="宋体" w:eastAsia="宋体" w:hint="default"/>
          <w:b/>
          <w:bCs/>
          <w:sz w:val="26"/>
          <w:szCs w:val="26"/>
        </w:rPr>
      </w:pPr>
    </w:p>
    <w:p>
      <w:pPr>
        <w:pStyle w:val="BodyText"/>
        <w:spacing w:line="316" w:lineRule="auto"/>
        <w:ind w:right="1128"/>
        <w:jc w:val="both"/>
      </w:pPr>
      <w:r>
        <w:rPr>
          <w:spacing w:val="-2"/>
        </w:rPr>
        <w:t>对于不在活跃市场上交易的金融工具，公司采用估值技术确定其公允价值，因被投资企业南京盛宇涌鑫股权投资中心（有限</w:t>
      </w:r>
      <w:r>
        <w:rPr>
          <w:spacing w:val="-67"/>
        </w:rPr>
        <w:t> </w:t>
      </w:r>
      <w:r>
        <w:rPr>
          <w:spacing w:val="-67"/>
        </w:rPr>
      </w:r>
      <w:r>
        <w:rPr>
          <w:spacing w:val="-2"/>
        </w:rPr>
        <w:t>合伙）、江苏丹阳农村商业银行股份有限公司及耐思生活环保科技（北京）有限公司的经营环境和经营情况、财务状况未发</w:t>
      </w:r>
      <w:r>
        <w:rPr>
          <w:spacing w:val="-67"/>
        </w:rPr>
        <w:t> </w:t>
      </w:r>
      <w:r>
        <w:rPr>
          <w:spacing w:val="-67"/>
        </w:rPr>
      </w:r>
      <w:r>
        <w:rPr/>
        <w:t>生重大变化，所以公司按投资成本作为公允价值的合理估计进行计量。</w:t>
      </w:r>
    </w:p>
    <w:p>
      <w:pPr>
        <w:spacing w:after="0" w:line="316" w:lineRule="auto"/>
        <w:jc w:val="both"/>
        <w:sectPr>
          <w:pgSz w:w="11910" w:h="16840"/>
          <w:pgMar w:header="906" w:footer="1018" w:top="1100" w:bottom="1200" w:left="10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8"/>
          <w:szCs w:val="28"/>
        </w:rPr>
      </w:pPr>
    </w:p>
    <w:p>
      <w:pPr>
        <w:pStyle w:val="Heading3"/>
        <w:spacing w:line="240" w:lineRule="auto" w:before="35"/>
        <w:ind w:right="0"/>
        <w:jc w:val="left"/>
        <w:rPr>
          <w:b w:val="0"/>
          <w:bCs w:val="0"/>
        </w:rPr>
      </w:pPr>
      <w:r>
        <w:rPr>
          <w:rFonts w:ascii="Times New Roman" w:hAnsi="Times New Roman" w:cs="Times New Roman" w:eastAsia="Times New Roman" w:hint="default"/>
        </w:rPr>
        <w:t>5</w:t>
      </w:r>
      <w:r>
        <w:rPr/>
        <w:t>、持续的第三层次公允价值计量项目，期初与期末账面价值间的调节信息及不可观察参数敏感性分析</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rFonts w:ascii="Times New Roman" w:hAnsi="Times New Roman" w:cs="Times New Roman" w:eastAsia="Times New Roman" w:hint="default"/>
        </w:rPr>
        <w:t>6</w:t>
      </w:r>
      <w:r>
        <w:rPr/>
        <w:t>、持续的公允价值计量项目，本期内发生各层级之间转换的，转换的原因及确定转换时点的政策</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rFonts w:ascii="Times New Roman" w:hAnsi="Times New Roman" w:cs="Times New Roman" w:eastAsia="Times New Roman" w:hint="default"/>
        </w:rPr>
        <w:t>7</w:t>
      </w:r>
      <w:r>
        <w:rPr/>
        <w:t>、本期内发生的估值技术变更及变更原因</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rFonts w:ascii="Times New Roman" w:hAnsi="Times New Roman" w:cs="Times New Roman" w:eastAsia="Times New Roman" w:hint="default"/>
        </w:rPr>
        <w:t>8</w:t>
      </w:r>
      <w:r>
        <w:rPr/>
        <w:t>、不以公允价值计量的金融资产和金融负债的公允价值情况</w:t>
      </w:r>
      <w:r>
        <w:rPr>
          <w:b w:val="0"/>
          <w:bCs w:val="0"/>
        </w:rPr>
      </w:r>
    </w:p>
    <w:p>
      <w:pPr>
        <w:spacing w:line="240" w:lineRule="auto" w:before="9"/>
        <w:rPr>
          <w:rFonts w:ascii="宋体" w:hAnsi="宋体" w:cs="宋体" w:eastAsia="宋体" w:hint="default"/>
          <w:b/>
          <w:bCs/>
          <w:sz w:val="24"/>
          <w:szCs w:val="24"/>
        </w:rPr>
      </w:pPr>
    </w:p>
    <w:p>
      <w:pPr>
        <w:spacing w:line="487" w:lineRule="auto" w:before="0"/>
        <w:ind w:left="113" w:right="810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9</w:t>
      </w:r>
      <w:r>
        <w:rPr>
          <w:rFonts w:ascii="宋体" w:hAnsi="宋体" w:cs="宋体" w:eastAsia="宋体" w:hint="default"/>
          <w:b/>
          <w:bCs/>
          <w:sz w:val="21"/>
          <w:szCs w:val="21"/>
        </w:rPr>
        <w:t>、其他</w:t>
      </w:r>
      <w:r>
        <w:rPr>
          <w:rFonts w:ascii="宋体" w:hAnsi="宋体" w:cs="宋体" w:eastAsia="宋体" w:hint="default"/>
          <w:b/>
          <w:bCs/>
          <w:w w:val="99"/>
          <w:sz w:val="21"/>
          <w:szCs w:val="21"/>
        </w:rPr>
        <w:t> </w:t>
      </w:r>
      <w:r>
        <w:rPr>
          <w:rFonts w:ascii="宋体" w:hAnsi="宋体" w:cs="宋体" w:eastAsia="宋体" w:hint="default"/>
          <w:b/>
          <w:bCs/>
          <w:sz w:val="24"/>
          <w:szCs w:val="24"/>
        </w:rPr>
        <w:t>十二、关联方及关联交易</w:t>
      </w:r>
      <w:r>
        <w:rPr>
          <w:rFonts w:ascii="宋体" w:hAnsi="宋体" w:cs="宋体" w:eastAsia="宋体" w:hint="default"/>
          <w:b/>
          <w:bCs/>
          <w:w w:val="99"/>
          <w:sz w:val="24"/>
          <w:szCs w:val="24"/>
        </w:rPr>
        <w:t> </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、本企业的母公司情况</w:t>
      </w:r>
      <w:r>
        <w:rPr>
          <w:rFonts w:ascii="宋体" w:hAnsi="宋体" w:cs="宋体" w:eastAsia="宋体" w:hint="default"/>
          <w:sz w:val="21"/>
          <w:szCs w:val="21"/>
        </w:rPr>
      </w:r>
    </w:p>
    <w:p>
      <w:pPr>
        <w:spacing w:line="240" w:lineRule="auto" w:before="6"/>
        <w:rPr>
          <w:rFonts w:ascii="宋体" w:hAnsi="宋体" w:cs="宋体" w:eastAsia="宋体" w:hint="default"/>
          <w:b/>
          <w:bCs/>
          <w:sz w:val="7"/>
          <w:szCs w:val="7"/>
        </w:rPr>
      </w:pPr>
    </w:p>
    <w:tbl>
      <w:tblPr>
        <w:tblW w:w="0" w:type="auto"/>
        <w:jc w:val="left"/>
        <w:tblInd w:w="109" w:type="dxa"/>
        <w:tblLayout w:type="fixed"/>
        <w:tblCellMar>
          <w:top w:w="0" w:type="dxa"/>
          <w:left w:w="0" w:type="dxa"/>
          <w:bottom w:w="0" w:type="dxa"/>
          <w:right w:w="0" w:type="dxa"/>
        </w:tblCellMar>
        <w:tblLook w:val="01E0"/>
      </w:tblPr>
      <w:tblGrid>
        <w:gridCol w:w="1595"/>
        <w:gridCol w:w="1594"/>
        <w:gridCol w:w="1594"/>
        <w:gridCol w:w="1594"/>
        <w:gridCol w:w="1594"/>
        <w:gridCol w:w="1595"/>
      </w:tblGrid>
      <w:tr>
        <w:trPr>
          <w:trHeight w:val="714" w:hRule="exact"/>
        </w:trPr>
        <w:tc>
          <w:tcPr>
            <w:tcW w:w="15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342" w:right="0"/>
              <w:jc w:val="left"/>
              <w:rPr>
                <w:rFonts w:ascii="宋体" w:hAnsi="宋体" w:cs="宋体" w:eastAsia="宋体" w:hint="default"/>
                <w:sz w:val="18"/>
                <w:szCs w:val="18"/>
              </w:rPr>
            </w:pPr>
            <w:r>
              <w:rPr>
                <w:rFonts w:ascii="宋体" w:hAnsi="宋体" w:cs="宋体" w:eastAsia="宋体" w:hint="default"/>
                <w:sz w:val="18"/>
                <w:szCs w:val="18"/>
              </w:rPr>
              <w:t>母公司名称</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522"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341" w:right="160" w:hanging="180"/>
              <w:jc w:val="left"/>
              <w:rPr>
                <w:rFonts w:ascii="宋体" w:hAnsi="宋体" w:cs="宋体" w:eastAsia="宋体" w:hint="default"/>
                <w:sz w:val="18"/>
                <w:szCs w:val="18"/>
              </w:rPr>
            </w:pPr>
            <w:r>
              <w:rPr>
                <w:rFonts w:ascii="宋体" w:hAnsi="宋体" w:cs="宋体" w:eastAsia="宋体" w:hint="default"/>
                <w:sz w:val="18"/>
                <w:szCs w:val="18"/>
              </w:rPr>
              <w:t>母公司对本企业 的持股比例</w:t>
            </w:r>
          </w:p>
        </w:tc>
        <w:tc>
          <w:tcPr>
            <w:tcW w:w="15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252" w:right="161" w:hanging="90"/>
              <w:jc w:val="left"/>
              <w:rPr>
                <w:rFonts w:ascii="宋体" w:hAnsi="宋体" w:cs="宋体" w:eastAsia="宋体" w:hint="default"/>
                <w:sz w:val="18"/>
                <w:szCs w:val="18"/>
              </w:rPr>
            </w:pPr>
            <w:r>
              <w:rPr>
                <w:rFonts w:ascii="宋体" w:hAnsi="宋体" w:cs="宋体" w:eastAsia="宋体" w:hint="default"/>
                <w:sz w:val="18"/>
                <w:szCs w:val="18"/>
              </w:rPr>
              <w:t>母公司对本企业 的表决权比例</w:t>
            </w:r>
          </w:p>
        </w:tc>
      </w:tr>
    </w:tbl>
    <w:p>
      <w:pPr>
        <w:pStyle w:val="BodyText"/>
        <w:spacing w:line="357" w:lineRule="auto" w:before="50"/>
        <w:ind w:right="8232"/>
        <w:jc w:val="left"/>
      </w:pPr>
      <w:r>
        <w:rPr/>
        <w:t>本企业的母公司情况的说明 本企业最终控制方是钱京先生。 其他说明：</w:t>
      </w:r>
    </w:p>
    <w:p>
      <w:pPr>
        <w:pStyle w:val="BodyText"/>
        <w:spacing w:line="240" w:lineRule="auto" w:before="28"/>
        <w:ind w:right="0"/>
        <w:jc w:val="left"/>
      </w:pPr>
      <w:r>
        <w:rPr/>
        <w:t>截止</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日，钱京先生对本企业的持股比例和表决权比例均为</w:t>
      </w:r>
      <w:r>
        <w:rPr>
          <w:rFonts w:ascii="Times New Roman" w:hAnsi="Times New Roman" w:cs="Times New Roman" w:eastAsia="Times New Roman" w:hint="default"/>
        </w:rPr>
        <w:t>20.65%</w:t>
      </w:r>
      <w:r>
        <w:rPr/>
        <w:t>。</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6"/>
          <w:szCs w:val="16"/>
        </w:rPr>
      </w:pPr>
    </w:p>
    <w:p>
      <w:pPr>
        <w:spacing w:line="547" w:lineRule="auto" w:before="0"/>
        <w:ind w:left="113" w:right="513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、本企业的子公司情况</w:t>
      </w:r>
      <w:r>
        <w:rPr>
          <w:rFonts w:ascii="宋体" w:hAnsi="宋体" w:cs="宋体" w:eastAsia="宋体" w:hint="default"/>
          <w:b/>
          <w:bCs/>
          <w:w w:val="99"/>
          <w:sz w:val="21"/>
          <w:szCs w:val="21"/>
        </w:rPr>
        <w:t> </w:t>
      </w:r>
      <w:r>
        <w:rPr>
          <w:rFonts w:ascii="宋体" w:hAnsi="宋体" w:cs="宋体" w:eastAsia="宋体" w:hint="default"/>
          <w:spacing w:val="-4"/>
          <w:sz w:val="18"/>
          <w:szCs w:val="18"/>
        </w:rPr>
        <w:t>本企业子公司的情况详见附注“九、在其他主体中的权益</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、本企业合营和联营企业情况</w:t>
      </w:r>
      <w:r>
        <w:rPr>
          <w:rFonts w:ascii="宋体" w:hAnsi="宋体" w:cs="宋体" w:eastAsia="宋体" w:hint="default"/>
          <w:sz w:val="21"/>
          <w:szCs w:val="21"/>
        </w:rPr>
      </w:r>
    </w:p>
    <w:p>
      <w:pPr>
        <w:pStyle w:val="BodyText"/>
        <w:spacing w:line="338" w:lineRule="auto" w:before="48"/>
        <w:ind w:right="2292"/>
        <w:jc w:val="left"/>
      </w:pPr>
      <w:r>
        <w:rPr>
          <w:spacing w:val="-3"/>
        </w:rPr>
        <w:t>本企业重要的合营或联营企业详见附注“九、在其他主体中的权益</w:t>
      </w:r>
      <w:r>
        <w:rPr>
          <w:rFonts w:ascii="Times New Roman" w:hAnsi="Times New Roman" w:cs="Times New Roman" w:eastAsia="Times New Roman" w:hint="default"/>
          <w:spacing w:val="-3"/>
        </w:rPr>
        <w:t>-3</w:t>
      </w:r>
      <w:r>
        <w:rPr>
          <w:spacing w:val="-3"/>
        </w:rPr>
        <w:t>”。</w:t>
      </w:r>
      <w:r>
        <w:rPr>
          <w:spacing w:val="-82"/>
        </w:rPr>
        <w:t> </w:t>
      </w:r>
      <w:r>
        <w:rPr>
          <w:spacing w:val="-82"/>
        </w:rPr>
      </w:r>
      <w:r>
        <w:rPr/>
        <w:t>本期与本公司发生关联方交易，或前期与本公司发生关联方交易形成余额的其他合营或联营企业情况如下：</w:t>
      </w:r>
    </w:p>
    <w:p>
      <w:pPr>
        <w:spacing w:line="240" w:lineRule="auto" w:before="3"/>
        <w:rPr>
          <w:rFonts w:ascii="宋体" w:hAnsi="宋体" w:cs="宋体" w:eastAsia="宋体" w:hint="default"/>
          <w:sz w:val="2"/>
          <w:szCs w:val="2"/>
        </w:rPr>
      </w:pPr>
    </w:p>
    <w:p>
      <w:pPr>
        <w:spacing w:line="416" w:lineRule="exact"/>
        <w:ind w:left="104"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9.35pt;height:20.85pt;mso-position-horizontal-relative:char;mso-position-vertical-relative:line" coordorigin="0,0" coordsize="9587,417">
            <v:group style="position:absolute;left:13;top:13;width:4773;height:393" coordorigin="13,13" coordsize="4773,393">
              <v:shape style="position:absolute;left:13;top:13;width:4773;height:393" coordorigin="13,13" coordsize="4773,393" path="m13,13l4786,13,4786,406,13,406,13,13xe" filled="true" fillcolor="#d3d3d3" stroked="false">
                <v:path arrowok="t"/>
                <v:fill type="solid"/>
              </v:shape>
            </v:group>
            <v:group style="position:absolute;left:4795;top:13;width:4778;height:393" coordorigin="4795,13" coordsize="4778,393">
              <v:shape style="position:absolute;left:4795;top:13;width:4778;height:393" coordorigin="4795,13" coordsize="4778,393" path="m4795,13l9572,13,9572,406,4795,406,4795,13xe" filled="true" fillcolor="#d3d3d3" stroked="false">
                <v:path arrowok="t"/>
                <v:fill type="solid"/>
              </v:shape>
            </v:group>
            <v:group style="position:absolute;left:5;top:10;width:9578;height:2" coordorigin="5,10" coordsize="9578,2">
              <v:shape style="position:absolute;left:5;top:10;width:9578;height:2" coordorigin="5,10" coordsize="9578,0" path="m5,10l9582,10e" filled="false" stroked="true" strokeweight=".48pt" strokecolor="#000000">
                <v:path arrowok="t"/>
              </v:shape>
            </v:group>
            <v:group style="position:absolute;left:5;top:412;width:9578;height:2" coordorigin="5,412" coordsize="9578,2">
              <v:shape style="position:absolute;left:5;top:412;width:9578;height:2" coordorigin="5,412" coordsize="9578,0" path="m5,412l9582,412e" filled="false" stroked="true" strokeweight=".48pt" strokecolor="#000000">
                <v:path arrowok="t"/>
              </v:shape>
            </v:group>
            <v:group style="position:absolute;left:10;top:5;width:2;height:402" coordorigin="10,5" coordsize="2,402">
              <v:shape style="position:absolute;left:10;top:5;width:2;height:402" coordorigin="10,5" coordsize="0,402" path="m10,5l10,407e" filled="false" stroked="true" strokeweight=".48pt" strokecolor="#000000">
                <v:path arrowok="t"/>
              </v:shape>
            </v:group>
            <v:group style="position:absolute;left:4792;top:5;width:2;height:402" coordorigin="4792,5" coordsize="2,402">
              <v:shape style="position:absolute;left:4792;top:5;width:2;height:402" coordorigin="4792,5" coordsize="0,402" path="m4792,5l4792,407e" filled="false" stroked="true" strokeweight=".48pt" strokecolor="#000000">
                <v:path arrowok="t"/>
              </v:shape>
            </v:group>
            <v:group style="position:absolute;left:9577;top:5;width:2;height:402" coordorigin="9577,5" coordsize="2,402">
              <v:shape style="position:absolute;left:9577;top:5;width:2;height:402" coordorigin="9577,5" coordsize="0,402" path="m9577,5l9577,407e" filled="false" stroked="true" strokeweight=".48pt" strokecolor="#000000">
                <v:path arrowok="t"/>
              </v:shape>
              <v:shape style="position:absolute;left:10;top:10;width:4782;height:402" type="#_x0000_t202" filled="false" stroked="false">
                <v:textbox inset="0,0,0,0">
                  <w:txbxContent>
                    <w:p>
                      <w:pPr>
                        <w:spacing w:before="54"/>
                        <w:ind w:left="1580" w:right="0" w:firstLine="0"/>
                        <w:jc w:val="left"/>
                        <w:rPr>
                          <w:rFonts w:ascii="宋体" w:hAnsi="宋体" w:cs="宋体" w:eastAsia="宋体" w:hint="default"/>
                          <w:sz w:val="18"/>
                          <w:szCs w:val="18"/>
                        </w:rPr>
                      </w:pPr>
                      <w:r>
                        <w:rPr>
                          <w:rFonts w:ascii="宋体" w:hAnsi="宋体" w:cs="宋体" w:eastAsia="宋体" w:hint="default"/>
                          <w:sz w:val="18"/>
                          <w:szCs w:val="18"/>
                        </w:rPr>
                        <w:t>合营或联营企业名称</w:t>
                      </w:r>
                    </w:p>
                  </w:txbxContent>
                </v:textbox>
                <w10:wrap type="none"/>
              </v:shape>
              <v:shape style="position:absolute;left:4792;top:10;width:4786;height:402" type="#_x0000_t202" filled="false" stroked="false">
                <v:textbox inset="0,0,0,0">
                  <w:txbxContent>
                    <w:p>
                      <w:pPr>
                        <w:spacing w:before="54"/>
                        <w:ind w:left="0" w:right="0" w:firstLine="0"/>
                        <w:jc w:val="center"/>
                        <w:rPr>
                          <w:rFonts w:ascii="宋体" w:hAnsi="宋体" w:cs="宋体" w:eastAsia="宋体" w:hint="default"/>
                          <w:sz w:val="18"/>
                          <w:szCs w:val="18"/>
                        </w:rPr>
                      </w:pPr>
                      <w:r>
                        <w:rPr>
                          <w:rFonts w:ascii="宋体" w:hAnsi="宋体" w:cs="宋体" w:eastAsia="宋体" w:hint="default"/>
                          <w:sz w:val="18"/>
                          <w:szCs w:val="18"/>
                        </w:rPr>
                        <w:t>与本企业关系</w:t>
                      </w:r>
                    </w:p>
                  </w:txbxContent>
                </v:textbox>
                <w10:wrap type="none"/>
              </v:shape>
            </v:group>
          </v:group>
        </w:pict>
      </w:r>
      <w:r>
        <w:rPr>
          <w:rFonts w:ascii="宋体" w:hAnsi="宋体" w:cs="宋体" w:eastAsia="宋体" w:hint="default"/>
          <w:position w:val="-7"/>
          <w:sz w:val="20"/>
          <w:szCs w:val="20"/>
        </w:rPr>
      </w:r>
    </w:p>
    <w:p>
      <w:pPr>
        <w:pStyle w:val="BodyText"/>
        <w:spacing w:line="240" w:lineRule="auto" w:before="49"/>
        <w:ind w:right="0"/>
        <w:jc w:val="left"/>
      </w:pPr>
      <w:r>
        <w:rPr/>
        <w:t>其他说明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4</w:t>
      </w:r>
      <w:r>
        <w:rPr/>
        <w:t>、其他关联方情况</w:t>
      </w:r>
      <w:r>
        <w:rPr>
          <w:b w:val="0"/>
          <w:bCs w:val="0"/>
        </w:rPr>
      </w:r>
    </w:p>
    <w:p>
      <w:pPr>
        <w:spacing w:line="240" w:lineRule="auto" w:before="6"/>
        <w:rPr>
          <w:rFonts w:ascii="宋体" w:hAnsi="宋体" w:cs="宋体" w:eastAsia="宋体" w:hint="default"/>
          <w:b/>
          <w:bCs/>
          <w:sz w:val="25"/>
          <w:szCs w:val="25"/>
        </w:rPr>
      </w:pPr>
    </w:p>
    <w:p>
      <w:pPr>
        <w:spacing w:line="416" w:lineRule="exact"/>
        <w:ind w:left="104"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9.35pt;height:20.85pt;mso-position-horizontal-relative:char;mso-position-vertical-relative:line" coordorigin="0,0" coordsize="9587,417">
            <v:group style="position:absolute;left:13;top:14;width:4773;height:393" coordorigin="13,14" coordsize="4773,393">
              <v:shape style="position:absolute;left:13;top:14;width:4773;height:393" coordorigin="13,14" coordsize="4773,393" path="m13,14l4786,14,4786,407,13,407,13,14xe" filled="true" fillcolor="#d3d3d3" stroked="false">
                <v:path arrowok="t"/>
                <v:fill type="solid"/>
              </v:shape>
            </v:group>
            <v:group style="position:absolute;left:4795;top:14;width:4778;height:393" coordorigin="4795,14" coordsize="4778,393">
              <v:shape style="position:absolute;left:4795;top:14;width:4778;height:393" coordorigin="4795,14" coordsize="4778,393" path="m4795,14l9572,14,9572,407,4795,407,4795,14xe" filled="true" fillcolor="#d3d3d3" stroked="false">
                <v:path arrowok="t"/>
                <v:fill type="solid"/>
              </v:shape>
            </v:group>
            <v:group style="position:absolute;left:5;top:10;width:9578;height:2" coordorigin="5,10" coordsize="9578,2">
              <v:shape style="position:absolute;left:5;top:10;width:9578;height:2" coordorigin="5,10" coordsize="9578,0" path="m5,10l9582,10e" filled="false" stroked="true" strokeweight=".48pt" strokecolor="#000000">
                <v:path arrowok="t"/>
              </v:shape>
            </v:group>
            <v:group style="position:absolute;left:5;top:412;width:9578;height:2" coordorigin="5,412" coordsize="9578,2">
              <v:shape style="position:absolute;left:5;top:412;width:9578;height:2" coordorigin="5,412" coordsize="9578,0" path="m5,412l9582,412e" filled="false" stroked="true" strokeweight=".48pt" strokecolor="#000000">
                <v:path arrowok="t"/>
              </v:shape>
            </v:group>
            <v:group style="position:absolute;left:10;top:5;width:2;height:402" coordorigin="10,5" coordsize="2,402">
              <v:shape style="position:absolute;left:10;top:5;width:2;height:402" coordorigin="10,5" coordsize="0,402" path="m10,5l10,407e" filled="false" stroked="true" strokeweight=".48pt" strokecolor="#000000">
                <v:path arrowok="t"/>
              </v:shape>
            </v:group>
            <v:group style="position:absolute;left:4792;top:5;width:2;height:402" coordorigin="4792,5" coordsize="2,402">
              <v:shape style="position:absolute;left:4792;top:5;width:2;height:402" coordorigin="4792,5" coordsize="0,402" path="m4792,5l4792,407e" filled="false" stroked="true" strokeweight=".48pt" strokecolor="#000000">
                <v:path arrowok="t"/>
              </v:shape>
            </v:group>
            <v:group style="position:absolute;left:9577;top:5;width:2;height:402" coordorigin="9577,5" coordsize="2,402">
              <v:shape style="position:absolute;left:9577;top:5;width:2;height:402" coordorigin="9577,5" coordsize="0,402" path="m9577,5l9577,407e" filled="false" stroked="true" strokeweight=".48pt" strokecolor="#000000">
                <v:path arrowok="t"/>
              </v:shape>
              <v:shape style="position:absolute;left:10;top:10;width:4782;height:402" type="#_x0000_t202" filled="false" stroked="false">
                <v:textbox inset="0,0,0,0">
                  <w:txbxContent>
                    <w:p>
                      <w:pPr>
                        <w:spacing w:before="54"/>
                        <w:ind w:left="0" w:right="1" w:firstLine="0"/>
                        <w:jc w:val="center"/>
                        <w:rPr>
                          <w:rFonts w:ascii="宋体" w:hAnsi="宋体" w:cs="宋体" w:eastAsia="宋体" w:hint="default"/>
                          <w:sz w:val="18"/>
                          <w:szCs w:val="18"/>
                        </w:rPr>
                      </w:pPr>
                      <w:r>
                        <w:rPr>
                          <w:rFonts w:ascii="宋体" w:hAnsi="宋体" w:cs="宋体" w:eastAsia="宋体" w:hint="default"/>
                          <w:sz w:val="18"/>
                          <w:szCs w:val="18"/>
                        </w:rPr>
                        <w:t>其他关联方名称</w:t>
                      </w:r>
                    </w:p>
                  </w:txbxContent>
                </v:textbox>
                <w10:wrap type="none"/>
              </v:shape>
              <v:shape style="position:absolute;left:4792;top:10;width:4786;height:402" type="#_x0000_t202" filled="false" stroked="false">
                <v:textbox inset="0,0,0,0">
                  <w:txbxContent>
                    <w:p>
                      <w:pPr>
                        <w:spacing w:before="54"/>
                        <w:ind w:left="1402" w:right="0" w:firstLine="0"/>
                        <w:jc w:val="left"/>
                        <w:rPr>
                          <w:rFonts w:ascii="宋体" w:hAnsi="宋体" w:cs="宋体" w:eastAsia="宋体" w:hint="default"/>
                          <w:sz w:val="18"/>
                          <w:szCs w:val="18"/>
                        </w:rPr>
                      </w:pPr>
                      <w:r>
                        <w:rPr>
                          <w:rFonts w:ascii="宋体" w:hAnsi="宋体" w:cs="宋体" w:eastAsia="宋体" w:hint="default"/>
                          <w:sz w:val="18"/>
                          <w:szCs w:val="18"/>
                        </w:rPr>
                        <w:t>其他关联方与本企业关系</w:t>
                      </w:r>
                    </w:p>
                  </w:txbxContent>
                </v:textbox>
                <w10:wrap type="none"/>
              </v:shape>
            </v:group>
          </v:group>
        </w:pict>
      </w:r>
      <w:r>
        <w:rPr>
          <w:rFonts w:ascii="宋体" w:hAnsi="宋体" w:cs="宋体" w:eastAsia="宋体" w:hint="default"/>
          <w:position w:val="-7"/>
          <w:sz w:val="20"/>
          <w:szCs w:val="20"/>
        </w:rPr>
      </w:r>
    </w:p>
    <w:p>
      <w:pPr>
        <w:pStyle w:val="BodyText"/>
        <w:spacing w:line="240" w:lineRule="auto" w:before="50"/>
        <w:ind w:right="0"/>
        <w:jc w:val="left"/>
      </w:pPr>
      <w:r>
        <w:rPr/>
        <w:t>其他说明</w:t>
      </w:r>
    </w:p>
    <w:p>
      <w:pPr>
        <w:spacing w:after="0" w:line="240" w:lineRule="auto"/>
        <w:jc w:val="left"/>
        <w:sectPr>
          <w:pgSz w:w="11910" w:h="16840"/>
          <w:pgMar w:header="906" w:footer="1018" w:top="1100" w:bottom="1200" w:left="1020" w:right="0"/>
        </w:sectPr>
      </w:pPr>
    </w:p>
    <w:p>
      <w:pPr>
        <w:spacing w:line="240" w:lineRule="auto" w:before="9"/>
        <w:rPr>
          <w:rFonts w:ascii="宋体" w:hAnsi="宋体" w:cs="宋体" w:eastAsia="宋体" w:hint="default"/>
          <w:sz w:val="21"/>
          <w:szCs w:val="21"/>
        </w:rPr>
      </w:pPr>
    </w:p>
    <w:p>
      <w:pPr>
        <w:pStyle w:val="Heading3"/>
        <w:spacing w:line="240" w:lineRule="auto" w:before="35"/>
        <w:ind w:right="0"/>
        <w:jc w:val="left"/>
        <w:rPr>
          <w:b w:val="0"/>
          <w:bCs w:val="0"/>
        </w:rPr>
      </w:pPr>
      <w:r>
        <w:rPr>
          <w:rFonts w:ascii="Times New Roman" w:hAnsi="Times New Roman" w:cs="Times New Roman" w:eastAsia="Times New Roman" w:hint="default"/>
        </w:rPr>
        <w:t>5</w:t>
      </w:r>
      <w:r>
        <w:rPr/>
        <w:t>、关联交易情况</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t>（</w:t>
      </w:r>
      <w:r>
        <w:rPr>
          <w:rFonts w:ascii="Times New Roman" w:hAnsi="Times New Roman" w:cs="Times New Roman" w:eastAsia="Times New Roman" w:hint="default"/>
        </w:rPr>
        <w:t>1</w:t>
      </w:r>
      <w:r>
        <w:rPr/>
        <w:t>）购销商品、提供和接受劳务的关联交易</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0"/>
        <w:jc w:val="left"/>
      </w:pPr>
      <w:r>
        <w:rPr/>
        <w:t>采购商品</w:t>
      </w:r>
      <w:r>
        <w:rPr>
          <w:rFonts w:ascii="Times New Roman" w:hAnsi="Times New Roman" w:cs="Times New Roman" w:eastAsia="Times New Roman" w:hint="default"/>
        </w:rPr>
        <w:t>/</w:t>
      </w:r>
      <w:r>
        <w:rPr/>
        <w:t>接受劳务情况表</w:t>
      </w:r>
    </w:p>
    <w:p>
      <w:pPr>
        <w:pStyle w:val="BodyText"/>
        <w:spacing w:line="240" w:lineRule="auto" w:before="103"/>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540"/>
        <w:gridCol w:w="1454"/>
        <w:gridCol w:w="1454"/>
        <w:gridCol w:w="1707"/>
        <w:gridCol w:w="1707"/>
        <w:gridCol w:w="1707"/>
      </w:tblGrid>
      <w:tr>
        <w:trPr>
          <w:trHeight w:val="401" w:hRule="exact"/>
        </w:trPr>
        <w:tc>
          <w:tcPr>
            <w:tcW w:w="154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95"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145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82"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145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271"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70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217" w:right="0"/>
              <w:jc w:val="left"/>
              <w:rPr>
                <w:rFonts w:ascii="宋体" w:hAnsi="宋体" w:cs="宋体" w:eastAsia="宋体" w:hint="default"/>
                <w:sz w:val="18"/>
                <w:szCs w:val="18"/>
              </w:rPr>
            </w:pPr>
            <w:r>
              <w:rPr>
                <w:rFonts w:ascii="宋体" w:hAnsi="宋体" w:cs="宋体" w:eastAsia="宋体" w:hint="default"/>
                <w:sz w:val="18"/>
                <w:szCs w:val="18"/>
              </w:rPr>
              <w:t>获批的交易额度</w:t>
            </w:r>
          </w:p>
        </w:tc>
        <w:tc>
          <w:tcPr>
            <w:tcW w:w="170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27" w:right="0"/>
              <w:jc w:val="left"/>
              <w:rPr>
                <w:rFonts w:ascii="宋体" w:hAnsi="宋体" w:cs="宋体" w:eastAsia="宋体" w:hint="default"/>
                <w:sz w:val="18"/>
                <w:szCs w:val="18"/>
              </w:rPr>
            </w:pPr>
            <w:r>
              <w:rPr>
                <w:rFonts w:ascii="宋体" w:hAnsi="宋体" w:cs="宋体" w:eastAsia="宋体" w:hint="default"/>
                <w:sz w:val="18"/>
                <w:szCs w:val="18"/>
              </w:rPr>
              <w:t>是否超过交易额度</w:t>
            </w:r>
          </w:p>
        </w:tc>
        <w:tc>
          <w:tcPr>
            <w:tcW w:w="170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397"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bl>
    <w:p>
      <w:pPr>
        <w:pStyle w:val="BodyText"/>
        <w:spacing w:line="240" w:lineRule="auto" w:before="49"/>
        <w:ind w:right="0"/>
        <w:jc w:val="left"/>
      </w:pPr>
      <w:r>
        <w:rPr/>
        <w:t>出售商品</w:t>
      </w:r>
      <w:r>
        <w:rPr>
          <w:rFonts w:ascii="Times New Roman" w:hAnsi="Times New Roman" w:cs="Times New Roman" w:eastAsia="Times New Roman" w:hint="default"/>
        </w:rPr>
        <w:t>/</w:t>
      </w:r>
      <w:r>
        <w:rPr/>
        <w:t>提供劳务情况表</w:t>
      </w:r>
    </w:p>
    <w:p>
      <w:pPr>
        <w:pStyle w:val="BodyText"/>
        <w:spacing w:line="240" w:lineRule="auto" w:before="102"/>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97"/>
        <w:gridCol w:w="2259"/>
        <w:gridCol w:w="2259"/>
        <w:gridCol w:w="2653"/>
      </w:tblGrid>
      <w:tr>
        <w:trPr>
          <w:trHeight w:val="402" w:hRule="exact"/>
        </w:trPr>
        <w:tc>
          <w:tcPr>
            <w:tcW w:w="239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25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583"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225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673"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6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870"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bl>
    <w:p>
      <w:pPr>
        <w:pStyle w:val="BodyText"/>
        <w:spacing w:line="240" w:lineRule="auto" w:before="49"/>
        <w:ind w:right="0"/>
        <w:jc w:val="left"/>
      </w:pPr>
      <w:r>
        <w:rPr/>
        <w:t>购销商品、提供和接受劳务的关联交易说明</w:t>
      </w:r>
    </w:p>
    <w:p>
      <w:pPr>
        <w:spacing w:line="240" w:lineRule="auto" w:before="13"/>
        <w:rPr>
          <w:rFonts w:ascii="宋体" w:hAnsi="宋体" w:cs="宋体" w:eastAsia="宋体" w:hint="default"/>
          <w:sz w:val="26"/>
          <w:szCs w:val="26"/>
        </w:rPr>
      </w:pPr>
    </w:p>
    <w:p>
      <w:pPr>
        <w:pStyle w:val="Heading3"/>
        <w:spacing w:line="240" w:lineRule="auto"/>
        <w:ind w:right="0"/>
        <w:jc w:val="left"/>
        <w:rPr>
          <w:b w:val="0"/>
          <w:bCs w:val="0"/>
        </w:rPr>
      </w:pPr>
      <w:r>
        <w:rPr/>
        <w:t>（</w:t>
      </w:r>
      <w:r>
        <w:rPr>
          <w:rFonts w:ascii="Times New Roman" w:hAnsi="Times New Roman" w:cs="Times New Roman" w:eastAsia="Times New Roman" w:hint="default"/>
        </w:rPr>
        <w:t>2</w:t>
      </w:r>
      <w:r>
        <w:rPr/>
        <w:t>）关联受托管理</w:t>
      </w:r>
      <w:r>
        <w:rPr>
          <w:rFonts w:ascii="Times New Roman" w:hAnsi="Times New Roman" w:cs="Times New Roman" w:eastAsia="Times New Roman" w:hint="default"/>
        </w:rPr>
        <w:t>/</w:t>
      </w:r>
      <w:r>
        <w:rPr/>
        <w:t>承包及委托管理</w:t>
      </w:r>
      <w:r>
        <w:rPr>
          <w:rFonts w:ascii="Times New Roman" w:hAnsi="Times New Roman" w:cs="Times New Roman" w:eastAsia="Times New Roman" w:hint="default"/>
        </w:rPr>
        <w:t>/</w:t>
      </w:r>
      <w:r>
        <w:rPr/>
        <w:t>出包情况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0"/>
        <w:jc w:val="left"/>
      </w:pPr>
      <w:r>
        <w:rPr/>
        <w:t>本公司受托管理</w:t>
      </w:r>
      <w:r>
        <w:rPr>
          <w:rFonts w:ascii="Times New Roman" w:hAnsi="Times New Roman" w:cs="Times New Roman" w:eastAsia="Times New Roman" w:hint="default"/>
        </w:rPr>
        <w:t>/</w:t>
      </w:r>
      <w:r>
        <w:rPr/>
        <w:t>承包情况表：</w:t>
      </w:r>
    </w:p>
    <w:p>
      <w:pPr>
        <w:pStyle w:val="BodyText"/>
        <w:spacing w:line="240" w:lineRule="auto" w:before="103"/>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8"/>
        <w:gridCol w:w="1367"/>
        <w:gridCol w:w="1368"/>
        <w:gridCol w:w="1367"/>
        <w:gridCol w:w="1367"/>
        <w:gridCol w:w="1367"/>
        <w:gridCol w:w="1367"/>
      </w:tblGrid>
      <w:tr>
        <w:trPr>
          <w:trHeight w:val="1025" w:hRule="exact"/>
        </w:trPr>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300" w:lineRule="auto"/>
              <w:ind w:left="498" w:right="112" w:hanging="385"/>
              <w:jc w:val="left"/>
              <w:rPr>
                <w:rFonts w:ascii="宋体" w:hAnsi="宋体" w:cs="宋体" w:eastAsia="宋体" w:hint="default"/>
                <w:sz w:val="18"/>
                <w:szCs w:val="18"/>
              </w:rPr>
            </w:pPr>
            <w:r>
              <w:rPr>
                <w:rFonts w:ascii="宋体" w:hAnsi="宋体" w:cs="宋体" w:eastAsia="宋体" w:hint="default"/>
                <w:sz w:val="18"/>
                <w:szCs w:val="18"/>
              </w:rPr>
              <w:t>委托方</w:t>
            </w:r>
            <w:r>
              <w:rPr>
                <w:rFonts w:ascii="Times New Roman" w:hAnsi="Times New Roman" w:cs="Times New Roman" w:eastAsia="Times New Roman" w:hint="default"/>
                <w:sz w:val="18"/>
                <w:szCs w:val="18"/>
              </w:rPr>
              <w:t>/</w:t>
            </w:r>
            <w:r>
              <w:rPr>
                <w:rFonts w:ascii="宋体" w:hAnsi="宋体" w:cs="宋体" w:eastAsia="宋体" w:hint="default"/>
                <w:sz w:val="18"/>
                <w:szCs w:val="18"/>
              </w:rPr>
              <w:t>出包方 名称</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300" w:lineRule="auto"/>
              <w:ind w:left="497" w:right="112" w:hanging="386"/>
              <w:jc w:val="left"/>
              <w:rPr>
                <w:rFonts w:ascii="宋体" w:hAnsi="宋体" w:cs="宋体" w:eastAsia="宋体" w:hint="default"/>
                <w:sz w:val="18"/>
                <w:szCs w:val="18"/>
              </w:rPr>
            </w:pPr>
            <w:r>
              <w:rPr>
                <w:rFonts w:ascii="宋体" w:hAnsi="宋体" w:cs="宋体" w:eastAsia="宋体" w:hint="default"/>
                <w:sz w:val="18"/>
                <w:szCs w:val="18"/>
              </w:rPr>
              <w:t>受托方</w:t>
            </w:r>
            <w:r>
              <w:rPr>
                <w:rFonts w:ascii="Times New Roman" w:hAnsi="Times New Roman" w:cs="Times New Roman" w:eastAsia="Times New Roman" w:hint="default"/>
                <w:sz w:val="18"/>
                <w:szCs w:val="18"/>
              </w:rPr>
              <w:t>/</w:t>
            </w:r>
            <w:r>
              <w:rPr>
                <w:rFonts w:ascii="宋体" w:hAnsi="宋体" w:cs="宋体" w:eastAsia="宋体" w:hint="default"/>
                <w:sz w:val="18"/>
                <w:szCs w:val="18"/>
              </w:rPr>
              <w:t>承包方 名称</w:t>
            </w:r>
          </w:p>
        </w:tc>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300" w:lineRule="auto"/>
              <w:ind w:left="499" w:right="112" w:hanging="386"/>
              <w:jc w:val="left"/>
              <w:rPr>
                <w:rFonts w:ascii="宋体" w:hAnsi="宋体" w:cs="宋体" w:eastAsia="宋体" w:hint="default"/>
                <w:sz w:val="18"/>
                <w:szCs w:val="18"/>
              </w:rPr>
            </w:pPr>
            <w:r>
              <w:rPr>
                <w:rFonts w:ascii="宋体" w:hAnsi="宋体" w:cs="宋体" w:eastAsia="宋体" w:hint="default"/>
                <w:sz w:val="18"/>
                <w:szCs w:val="18"/>
              </w:rPr>
              <w:t>受托</w:t>
            </w:r>
            <w:r>
              <w:rPr>
                <w:rFonts w:ascii="Times New Roman" w:hAnsi="Times New Roman" w:cs="Times New Roman" w:eastAsia="Times New Roman" w:hint="default"/>
                <w:sz w:val="18"/>
                <w:szCs w:val="18"/>
              </w:rPr>
              <w:t>/</w:t>
            </w:r>
            <w:r>
              <w:rPr>
                <w:rFonts w:ascii="宋体" w:hAnsi="宋体" w:cs="宋体" w:eastAsia="宋体" w:hint="default"/>
                <w:sz w:val="18"/>
                <w:szCs w:val="18"/>
              </w:rPr>
              <w:t>承包资产 类型</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300" w:lineRule="auto"/>
              <w:ind w:left="588" w:right="111" w:hanging="476"/>
              <w:jc w:val="left"/>
              <w:rPr>
                <w:rFonts w:ascii="宋体" w:hAnsi="宋体" w:cs="宋体" w:eastAsia="宋体" w:hint="default"/>
                <w:sz w:val="18"/>
                <w:szCs w:val="18"/>
              </w:rPr>
            </w:pPr>
            <w:r>
              <w:rPr>
                <w:rFonts w:ascii="宋体" w:hAnsi="宋体" w:cs="宋体" w:eastAsia="宋体" w:hint="default"/>
                <w:sz w:val="18"/>
                <w:szCs w:val="18"/>
              </w:rPr>
              <w:t>受托</w:t>
            </w:r>
            <w:r>
              <w:rPr>
                <w:rFonts w:ascii="Times New Roman" w:hAnsi="Times New Roman" w:cs="Times New Roman" w:eastAsia="Times New Roman" w:hint="default"/>
                <w:sz w:val="18"/>
                <w:szCs w:val="18"/>
              </w:rPr>
              <w:t>/</w:t>
            </w:r>
            <w:r>
              <w:rPr>
                <w:rFonts w:ascii="宋体" w:hAnsi="宋体" w:cs="宋体" w:eastAsia="宋体" w:hint="default"/>
                <w:sz w:val="18"/>
                <w:szCs w:val="18"/>
              </w:rPr>
              <w:t>承包起始 日</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300" w:lineRule="auto"/>
              <w:ind w:left="588" w:right="112" w:hanging="475"/>
              <w:jc w:val="left"/>
              <w:rPr>
                <w:rFonts w:ascii="宋体" w:hAnsi="宋体" w:cs="宋体" w:eastAsia="宋体" w:hint="default"/>
                <w:sz w:val="18"/>
                <w:szCs w:val="18"/>
              </w:rPr>
            </w:pPr>
            <w:r>
              <w:rPr>
                <w:rFonts w:ascii="宋体" w:hAnsi="宋体" w:cs="宋体" w:eastAsia="宋体" w:hint="default"/>
                <w:sz w:val="18"/>
                <w:szCs w:val="18"/>
              </w:rPr>
              <w:t>受托</w:t>
            </w:r>
            <w:r>
              <w:rPr>
                <w:rFonts w:ascii="Times New Roman" w:hAnsi="Times New Roman" w:cs="Times New Roman" w:eastAsia="Times New Roman" w:hint="default"/>
                <w:sz w:val="18"/>
                <w:szCs w:val="18"/>
              </w:rPr>
              <w:t>/</w:t>
            </w:r>
            <w:r>
              <w:rPr>
                <w:rFonts w:ascii="宋体" w:hAnsi="宋体" w:cs="宋体" w:eastAsia="宋体" w:hint="default"/>
                <w:sz w:val="18"/>
                <w:szCs w:val="18"/>
              </w:rPr>
              <w:t>承包终止 日</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300" w:lineRule="auto"/>
              <w:ind w:left="138" w:right="112" w:hanging="26"/>
              <w:jc w:val="left"/>
              <w:rPr>
                <w:rFonts w:ascii="宋体" w:hAnsi="宋体" w:cs="宋体" w:eastAsia="宋体" w:hint="default"/>
                <w:sz w:val="18"/>
                <w:szCs w:val="18"/>
              </w:rPr>
            </w:pPr>
            <w:r>
              <w:rPr>
                <w:rFonts w:ascii="宋体" w:hAnsi="宋体" w:cs="宋体" w:eastAsia="宋体" w:hint="default"/>
                <w:sz w:val="18"/>
                <w:szCs w:val="18"/>
              </w:rPr>
              <w:t>托管收益</w:t>
            </w:r>
            <w:r>
              <w:rPr>
                <w:rFonts w:ascii="Times New Roman" w:hAnsi="Times New Roman" w:cs="Times New Roman" w:eastAsia="Times New Roman" w:hint="default"/>
                <w:sz w:val="18"/>
                <w:szCs w:val="18"/>
              </w:rPr>
              <w:t>/</w:t>
            </w:r>
            <w:r>
              <w:rPr>
                <w:rFonts w:ascii="宋体" w:hAnsi="宋体" w:cs="宋体" w:eastAsia="宋体" w:hint="default"/>
                <w:sz w:val="18"/>
                <w:szCs w:val="18"/>
              </w:rPr>
              <w:t>承包 收益定价依据</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9" w:lineRule="auto" w:before="49"/>
              <w:ind w:left="112" w:right="113"/>
              <w:jc w:val="center"/>
              <w:rPr>
                <w:rFonts w:ascii="宋体" w:hAnsi="宋体" w:cs="宋体" w:eastAsia="宋体" w:hint="default"/>
                <w:sz w:val="18"/>
                <w:szCs w:val="18"/>
              </w:rPr>
            </w:pPr>
            <w:r>
              <w:rPr>
                <w:rFonts w:ascii="宋体" w:hAnsi="宋体" w:cs="宋体" w:eastAsia="宋体" w:hint="default"/>
                <w:sz w:val="18"/>
                <w:szCs w:val="18"/>
              </w:rPr>
              <w:t>本期确认的托 管收益</w:t>
            </w:r>
            <w:r>
              <w:rPr>
                <w:rFonts w:ascii="Times New Roman" w:hAnsi="Times New Roman" w:cs="Times New Roman" w:eastAsia="Times New Roman" w:hint="default"/>
                <w:sz w:val="18"/>
                <w:szCs w:val="18"/>
              </w:rPr>
              <w:t>/</w:t>
            </w:r>
            <w:r>
              <w:rPr>
                <w:rFonts w:ascii="宋体" w:hAnsi="宋体" w:cs="宋体" w:eastAsia="宋体" w:hint="default"/>
                <w:sz w:val="18"/>
                <w:szCs w:val="18"/>
              </w:rPr>
              <w:t>承包收 益</w:t>
            </w:r>
          </w:p>
        </w:tc>
      </w:tr>
    </w:tbl>
    <w:p>
      <w:pPr>
        <w:spacing w:after="0" w:line="309" w:lineRule="auto"/>
        <w:jc w:val="center"/>
        <w:rPr>
          <w:rFonts w:ascii="宋体" w:hAnsi="宋体" w:cs="宋体" w:eastAsia="宋体" w:hint="default"/>
          <w:sz w:val="18"/>
          <w:szCs w:val="18"/>
        </w:rPr>
        <w:sectPr>
          <w:pgSz w:w="11910" w:h="16840"/>
          <w:pgMar w:header="906" w:footer="1018" w:top="1100" w:bottom="1200" w:left="1020" w:right="0"/>
        </w:sectPr>
      </w:pPr>
    </w:p>
    <w:p>
      <w:pPr>
        <w:pStyle w:val="BodyText"/>
        <w:spacing w:line="338" w:lineRule="auto" w:before="49"/>
        <w:ind w:right="-7"/>
        <w:jc w:val="left"/>
      </w:pPr>
      <w:r>
        <w:rPr/>
        <w:t>关联托管</w:t>
      </w:r>
      <w:r>
        <w:rPr>
          <w:rFonts w:ascii="Times New Roman" w:hAnsi="Times New Roman" w:cs="Times New Roman" w:eastAsia="Times New Roman" w:hint="default"/>
        </w:rPr>
        <w:t>/</w:t>
      </w:r>
      <w:r>
        <w:rPr/>
        <w:t>承包情况说明 </w:t>
      </w:r>
      <w:r>
        <w:rPr>
          <w:spacing w:val="-1"/>
        </w:rPr>
        <w:t>本公司委托管理</w:t>
      </w:r>
      <w:r>
        <w:rPr>
          <w:rFonts w:ascii="Times New Roman" w:hAnsi="Times New Roman" w:cs="Times New Roman" w:eastAsia="Times New Roman" w:hint="default"/>
          <w:spacing w:val="-1"/>
        </w:rPr>
        <w:t>/</w:t>
      </w:r>
      <w:r>
        <w:rPr>
          <w:spacing w:val="-1"/>
        </w:rPr>
        <w:t>出包情况表：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21"/>
          <w:szCs w:val="21"/>
        </w:rPr>
      </w:pPr>
    </w:p>
    <w:p>
      <w:pPr>
        <w:pStyle w:val="BodyText"/>
        <w:spacing w:line="240" w:lineRule="auto"/>
        <w:ind w:right="0"/>
        <w:jc w:val="left"/>
      </w:pPr>
      <w:r>
        <w:rPr/>
        <w:t>单位：</w:t>
      </w:r>
      <w:r>
        <w:rPr>
          <w:spacing w:val="-1"/>
        </w:rPr>
        <w:t> </w:t>
      </w:r>
      <w:r>
        <w:rPr/>
        <w:t>元</w:t>
      </w:r>
    </w:p>
    <w:p>
      <w:pPr>
        <w:spacing w:after="0" w:line="240" w:lineRule="auto"/>
        <w:jc w:val="left"/>
        <w:sectPr>
          <w:type w:val="continuous"/>
          <w:pgSz w:w="11910" w:h="16840"/>
          <w:pgMar w:top="1100" w:bottom="1200" w:left="1020" w:right="0"/>
          <w:cols w:num="2" w:equalWidth="0">
            <w:col w:w="2503" w:space="6325"/>
            <w:col w:w="2062"/>
          </w:cols>
        </w:sectPr>
      </w:pP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8"/>
        <w:gridCol w:w="1367"/>
        <w:gridCol w:w="1368"/>
        <w:gridCol w:w="1367"/>
        <w:gridCol w:w="1367"/>
        <w:gridCol w:w="1367"/>
        <w:gridCol w:w="1367"/>
      </w:tblGrid>
      <w:tr>
        <w:trPr>
          <w:trHeight w:val="360" w:hRule="exact"/>
        </w:trPr>
        <w:tc>
          <w:tcPr>
            <w:tcW w:w="1368" w:type="dxa"/>
            <w:tcBorders>
              <w:top w:val="single" w:sz="4" w:space="0" w:color="000000"/>
              <w:left w:val="single" w:sz="4" w:space="0" w:color="000000"/>
              <w:bottom w:val="nil" w:sz="6" w:space="0" w:color="auto"/>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委托方</w:t>
            </w:r>
            <w:r>
              <w:rPr>
                <w:rFonts w:ascii="Times New Roman" w:hAnsi="Times New Roman" w:cs="Times New Roman" w:eastAsia="Times New Roman" w:hint="default"/>
                <w:sz w:val="18"/>
                <w:szCs w:val="18"/>
              </w:rPr>
              <w:t>/</w:t>
            </w:r>
            <w:r>
              <w:rPr>
                <w:rFonts w:ascii="宋体" w:hAnsi="宋体" w:cs="宋体" w:eastAsia="宋体" w:hint="default"/>
                <w:sz w:val="18"/>
                <w:szCs w:val="18"/>
              </w:rPr>
              <w:t>出包方</w:t>
            </w:r>
          </w:p>
        </w:tc>
        <w:tc>
          <w:tcPr>
            <w:tcW w:w="1367" w:type="dxa"/>
            <w:tcBorders>
              <w:top w:val="single" w:sz="4" w:space="0" w:color="000000"/>
              <w:left w:val="single" w:sz="4" w:space="0" w:color="000000"/>
              <w:bottom w:val="nil" w:sz="6" w:space="0" w:color="auto"/>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受托方</w:t>
            </w:r>
            <w:r>
              <w:rPr>
                <w:rFonts w:ascii="Times New Roman" w:hAnsi="Times New Roman" w:cs="Times New Roman" w:eastAsia="Times New Roman" w:hint="default"/>
                <w:sz w:val="18"/>
                <w:szCs w:val="18"/>
              </w:rPr>
              <w:t>/</w:t>
            </w:r>
            <w:r>
              <w:rPr>
                <w:rFonts w:ascii="宋体" w:hAnsi="宋体" w:cs="宋体" w:eastAsia="宋体" w:hint="default"/>
                <w:sz w:val="18"/>
                <w:szCs w:val="18"/>
              </w:rPr>
              <w:t>承包方</w:t>
            </w:r>
          </w:p>
        </w:tc>
        <w:tc>
          <w:tcPr>
            <w:tcW w:w="1368" w:type="dxa"/>
            <w:tcBorders>
              <w:top w:val="single" w:sz="4" w:space="0" w:color="000000"/>
              <w:left w:val="single" w:sz="4" w:space="0" w:color="000000"/>
              <w:bottom w:val="nil" w:sz="6" w:space="0" w:color="auto"/>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委托</w:t>
            </w:r>
            <w:r>
              <w:rPr>
                <w:rFonts w:ascii="Times New Roman" w:hAnsi="Times New Roman" w:cs="Times New Roman" w:eastAsia="Times New Roman" w:hint="default"/>
                <w:sz w:val="18"/>
                <w:szCs w:val="18"/>
              </w:rPr>
              <w:t>/</w:t>
            </w:r>
            <w:r>
              <w:rPr>
                <w:rFonts w:ascii="宋体" w:hAnsi="宋体" w:cs="宋体" w:eastAsia="宋体" w:hint="default"/>
                <w:sz w:val="18"/>
                <w:szCs w:val="18"/>
              </w:rPr>
              <w:t>出包资产</w:t>
            </w:r>
          </w:p>
        </w:tc>
        <w:tc>
          <w:tcPr>
            <w:tcW w:w="1367" w:type="dxa"/>
            <w:tcBorders>
              <w:top w:val="single" w:sz="4" w:space="0" w:color="000000"/>
              <w:left w:val="single" w:sz="4" w:space="0" w:color="000000"/>
              <w:bottom w:val="nil" w:sz="6" w:space="0" w:color="auto"/>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委托</w:t>
            </w:r>
            <w:r>
              <w:rPr>
                <w:rFonts w:ascii="Times New Roman" w:hAnsi="Times New Roman" w:cs="Times New Roman" w:eastAsia="Times New Roman" w:hint="default"/>
                <w:sz w:val="18"/>
                <w:szCs w:val="18"/>
              </w:rPr>
              <w:t>/</w:t>
            </w:r>
            <w:r>
              <w:rPr>
                <w:rFonts w:ascii="宋体" w:hAnsi="宋体" w:cs="宋体" w:eastAsia="宋体" w:hint="default"/>
                <w:sz w:val="18"/>
                <w:szCs w:val="18"/>
              </w:rPr>
              <w:t>出包起始</w:t>
            </w:r>
          </w:p>
        </w:tc>
        <w:tc>
          <w:tcPr>
            <w:tcW w:w="1367" w:type="dxa"/>
            <w:tcBorders>
              <w:top w:val="single" w:sz="4" w:space="0" w:color="000000"/>
              <w:left w:val="single" w:sz="4" w:space="0" w:color="000000"/>
              <w:bottom w:val="nil" w:sz="6" w:space="0" w:color="auto"/>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委托</w:t>
            </w:r>
            <w:r>
              <w:rPr>
                <w:rFonts w:ascii="Times New Roman" w:hAnsi="Times New Roman" w:cs="Times New Roman" w:eastAsia="Times New Roman" w:hint="default"/>
                <w:sz w:val="18"/>
                <w:szCs w:val="18"/>
              </w:rPr>
              <w:t>/</w:t>
            </w:r>
            <w:r>
              <w:rPr>
                <w:rFonts w:ascii="宋体" w:hAnsi="宋体" w:cs="宋体" w:eastAsia="宋体" w:hint="default"/>
                <w:sz w:val="18"/>
                <w:szCs w:val="18"/>
              </w:rPr>
              <w:t>出包终止</w:t>
            </w:r>
          </w:p>
        </w:tc>
        <w:tc>
          <w:tcPr>
            <w:tcW w:w="1367" w:type="dxa"/>
            <w:tcBorders>
              <w:top w:val="single" w:sz="4" w:space="0" w:color="000000"/>
              <w:left w:val="single" w:sz="4" w:space="0" w:color="000000"/>
              <w:bottom w:val="nil" w:sz="6" w:space="0" w:color="auto"/>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托管费</w:t>
            </w:r>
            <w:r>
              <w:rPr>
                <w:rFonts w:ascii="Times New Roman" w:hAnsi="Times New Roman" w:cs="Times New Roman" w:eastAsia="Times New Roman" w:hint="default"/>
                <w:sz w:val="18"/>
                <w:szCs w:val="18"/>
              </w:rPr>
              <w:t>/</w:t>
            </w:r>
            <w:r>
              <w:rPr>
                <w:rFonts w:ascii="宋体" w:hAnsi="宋体" w:cs="宋体" w:eastAsia="宋体" w:hint="default"/>
                <w:sz w:val="18"/>
                <w:szCs w:val="18"/>
              </w:rPr>
              <w:t>出包费</w:t>
            </w:r>
          </w:p>
        </w:tc>
        <w:tc>
          <w:tcPr>
            <w:tcW w:w="1367" w:type="dxa"/>
            <w:tcBorders>
              <w:top w:val="single" w:sz="4" w:space="0" w:color="000000"/>
              <w:left w:val="single" w:sz="4" w:space="0" w:color="000000"/>
              <w:bottom w:val="nil" w:sz="6" w:space="0" w:color="auto"/>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本期确认的托</w:t>
            </w:r>
          </w:p>
        </w:tc>
      </w:tr>
      <w:tr>
        <w:trPr>
          <w:trHeight w:val="354" w:hRule="exact"/>
        </w:trPr>
        <w:tc>
          <w:tcPr>
            <w:tcW w:w="1368" w:type="dxa"/>
            <w:tcBorders>
              <w:top w:val="nil" w:sz="6" w:space="0" w:color="auto"/>
              <w:left w:val="single" w:sz="4" w:space="0" w:color="000000"/>
              <w:bottom w:val="single" w:sz="4" w:space="0" w:color="000000"/>
              <w:right w:val="single" w:sz="4" w:space="0" w:color="000000"/>
            </w:tcBorders>
            <w:shd w:val="clear" w:color="auto" w:fill="D3D3D3"/>
          </w:tcPr>
          <w:p>
            <w:pPr>
              <w:pStyle w:val="TableParagraph"/>
              <w:spacing w:line="240" w:lineRule="auto" w:before="6"/>
              <w:ind w:right="1"/>
              <w:jc w:val="center"/>
              <w:rPr>
                <w:rFonts w:ascii="宋体" w:hAnsi="宋体" w:cs="宋体" w:eastAsia="宋体" w:hint="default"/>
                <w:sz w:val="18"/>
                <w:szCs w:val="18"/>
              </w:rPr>
            </w:pPr>
            <w:r>
              <w:rPr>
                <w:rFonts w:ascii="宋体" w:hAnsi="宋体" w:cs="宋体" w:eastAsia="宋体" w:hint="default"/>
                <w:sz w:val="18"/>
                <w:szCs w:val="18"/>
              </w:rPr>
              <w:t>名称</w:t>
            </w:r>
          </w:p>
        </w:tc>
        <w:tc>
          <w:tcPr>
            <w:tcW w:w="1367" w:type="dxa"/>
            <w:tcBorders>
              <w:top w:val="nil" w:sz="6" w:space="0" w:color="auto"/>
              <w:left w:val="single" w:sz="4" w:space="0" w:color="000000"/>
              <w:bottom w:val="single" w:sz="4" w:space="0" w:color="000000"/>
              <w:right w:val="single" w:sz="4" w:space="0" w:color="000000"/>
            </w:tcBorders>
            <w:shd w:val="clear" w:color="auto" w:fill="D3D3D3"/>
          </w:tcPr>
          <w:p>
            <w:pPr>
              <w:pStyle w:val="TableParagraph"/>
              <w:spacing w:line="240" w:lineRule="auto" w:before="6"/>
              <w:ind w:right="1"/>
              <w:jc w:val="center"/>
              <w:rPr>
                <w:rFonts w:ascii="宋体" w:hAnsi="宋体" w:cs="宋体" w:eastAsia="宋体" w:hint="default"/>
                <w:sz w:val="18"/>
                <w:szCs w:val="18"/>
              </w:rPr>
            </w:pPr>
            <w:r>
              <w:rPr>
                <w:rFonts w:ascii="宋体" w:hAnsi="宋体" w:cs="宋体" w:eastAsia="宋体" w:hint="default"/>
                <w:sz w:val="18"/>
                <w:szCs w:val="18"/>
              </w:rPr>
              <w:t>名称</w:t>
            </w:r>
          </w:p>
        </w:tc>
        <w:tc>
          <w:tcPr>
            <w:tcW w:w="1368" w:type="dxa"/>
            <w:tcBorders>
              <w:top w:val="nil" w:sz="6" w:space="0" w:color="auto"/>
              <w:left w:val="single" w:sz="4" w:space="0" w:color="000000"/>
              <w:bottom w:val="single" w:sz="4" w:space="0" w:color="000000"/>
              <w:right w:val="single" w:sz="4" w:space="0" w:color="000000"/>
            </w:tcBorders>
            <w:shd w:val="clear" w:color="auto" w:fill="D3D3D3"/>
          </w:tcPr>
          <w:p>
            <w:pPr>
              <w:pStyle w:val="TableParagraph"/>
              <w:spacing w:line="240" w:lineRule="auto" w:before="6"/>
              <w:ind w:right="0"/>
              <w:jc w:val="center"/>
              <w:rPr>
                <w:rFonts w:ascii="宋体" w:hAnsi="宋体" w:cs="宋体" w:eastAsia="宋体" w:hint="default"/>
                <w:sz w:val="18"/>
                <w:szCs w:val="18"/>
              </w:rPr>
            </w:pPr>
            <w:r>
              <w:rPr>
                <w:rFonts w:ascii="宋体" w:hAnsi="宋体" w:cs="宋体" w:eastAsia="宋体" w:hint="default"/>
                <w:sz w:val="18"/>
                <w:szCs w:val="18"/>
              </w:rPr>
              <w:t>类型</w:t>
            </w:r>
          </w:p>
        </w:tc>
        <w:tc>
          <w:tcPr>
            <w:tcW w:w="1367" w:type="dxa"/>
            <w:tcBorders>
              <w:top w:val="nil" w:sz="6" w:space="0" w:color="auto"/>
              <w:left w:val="single" w:sz="4" w:space="0" w:color="000000"/>
              <w:bottom w:val="single" w:sz="4" w:space="0" w:color="000000"/>
              <w:right w:val="single" w:sz="4" w:space="0" w:color="000000"/>
            </w:tcBorders>
            <w:shd w:val="clear" w:color="auto" w:fill="D3D3D3"/>
          </w:tcPr>
          <w:p>
            <w:pPr>
              <w:pStyle w:val="TableParagraph"/>
              <w:spacing w:line="240" w:lineRule="auto" w:before="6"/>
              <w:ind w:right="1"/>
              <w:jc w:val="center"/>
              <w:rPr>
                <w:rFonts w:ascii="宋体" w:hAnsi="宋体" w:cs="宋体" w:eastAsia="宋体" w:hint="default"/>
                <w:sz w:val="18"/>
                <w:szCs w:val="18"/>
              </w:rPr>
            </w:pPr>
            <w:r>
              <w:rPr>
                <w:rFonts w:ascii="宋体" w:hAnsi="宋体" w:cs="宋体" w:eastAsia="宋体" w:hint="default"/>
                <w:sz w:val="18"/>
                <w:szCs w:val="18"/>
              </w:rPr>
              <w:t>日</w:t>
            </w:r>
          </w:p>
        </w:tc>
        <w:tc>
          <w:tcPr>
            <w:tcW w:w="1367" w:type="dxa"/>
            <w:tcBorders>
              <w:top w:val="nil" w:sz="6" w:space="0" w:color="auto"/>
              <w:left w:val="single" w:sz="4" w:space="0" w:color="000000"/>
              <w:bottom w:val="single" w:sz="4" w:space="0" w:color="000000"/>
              <w:right w:val="single" w:sz="4" w:space="0" w:color="000000"/>
            </w:tcBorders>
            <w:shd w:val="clear" w:color="auto" w:fill="D3D3D3"/>
          </w:tcPr>
          <w:p>
            <w:pPr>
              <w:pStyle w:val="TableParagraph"/>
              <w:spacing w:line="240" w:lineRule="auto" w:before="6"/>
              <w:ind w:right="1"/>
              <w:jc w:val="center"/>
              <w:rPr>
                <w:rFonts w:ascii="宋体" w:hAnsi="宋体" w:cs="宋体" w:eastAsia="宋体" w:hint="default"/>
                <w:sz w:val="18"/>
                <w:szCs w:val="18"/>
              </w:rPr>
            </w:pPr>
            <w:r>
              <w:rPr>
                <w:rFonts w:ascii="宋体" w:hAnsi="宋体" w:cs="宋体" w:eastAsia="宋体" w:hint="default"/>
                <w:sz w:val="18"/>
                <w:szCs w:val="18"/>
              </w:rPr>
              <w:t>日</w:t>
            </w:r>
          </w:p>
        </w:tc>
        <w:tc>
          <w:tcPr>
            <w:tcW w:w="1367" w:type="dxa"/>
            <w:tcBorders>
              <w:top w:val="nil" w:sz="6" w:space="0" w:color="auto"/>
              <w:left w:val="single" w:sz="4" w:space="0" w:color="000000"/>
              <w:bottom w:val="single" w:sz="4" w:space="0" w:color="000000"/>
              <w:right w:val="single" w:sz="4" w:space="0" w:color="000000"/>
            </w:tcBorders>
            <w:shd w:val="clear" w:color="auto" w:fill="D3D3D3"/>
          </w:tcPr>
          <w:p>
            <w:pPr>
              <w:pStyle w:val="TableParagraph"/>
              <w:spacing w:line="240" w:lineRule="auto" w:before="6"/>
              <w:ind w:right="1"/>
              <w:jc w:val="center"/>
              <w:rPr>
                <w:rFonts w:ascii="宋体" w:hAnsi="宋体" w:cs="宋体" w:eastAsia="宋体" w:hint="default"/>
                <w:sz w:val="18"/>
                <w:szCs w:val="18"/>
              </w:rPr>
            </w:pPr>
            <w:r>
              <w:rPr>
                <w:rFonts w:ascii="宋体" w:hAnsi="宋体" w:cs="宋体" w:eastAsia="宋体" w:hint="default"/>
                <w:sz w:val="18"/>
                <w:szCs w:val="18"/>
              </w:rPr>
              <w:t>定价依据</w:t>
            </w:r>
          </w:p>
        </w:tc>
        <w:tc>
          <w:tcPr>
            <w:tcW w:w="1367" w:type="dxa"/>
            <w:tcBorders>
              <w:top w:val="nil" w:sz="6" w:space="0" w:color="auto"/>
              <w:left w:val="single" w:sz="4" w:space="0" w:color="000000"/>
              <w:bottom w:val="single" w:sz="4" w:space="0" w:color="000000"/>
              <w:right w:val="single" w:sz="4" w:space="0" w:color="000000"/>
            </w:tcBorders>
            <w:shd w:val="clear" w:color="auto" w:fill="D3D3D3"/>
          </w:tcPr>
          <w:p>
            <w:pPr>
              <w:pStyle w:val="TableParagraph"/>
              <w:spacing w:line="240" w:lineRule="auto" w:before="6"/>
              <w:ind w:right="1"/>
              <w:jc w:val="center"/>
              <w:rPr>
                <w:rFonts w:ascii="宋体" w:hAnsi="宋体" w:cs="宋体" w:eastAsia="宋体" w:hint="default"/>
                <w:sz w:val="18"/>
                <w:szCs w:val="18"/>
              </w:rPr>
            </w:pPr>
            <w:r>
              <w:rPr>
                <w:rFonts w:ascii="宋体" w:hAnsi="宋体" w:cs="宋体" w:eastAsia="宋体" w:hint="default"/>
                <w:sz w:val="18"/>
                <w:szCs w:val="18"/>
              </w:rPr>
              <w:t>管费</w:t>
            </w:r>
            <w:r>
              <w:rPr>
                <w:rFonts w:ascii="Times New Roman" w:hAnsi="Times New Roman" w:cs="Times New Roman" w:eastAsia="Times New Roman" w:hint="default"/>
                <w:sz w:val="18"/>
                <w:szCs w:val="18"/>
              </w:rPr>
              <w:t>/</w:t>
            </w:r>
            <w:r>
              <w:rPr>
                <w:rFonts w:ascii="宋体" w:hAnsi="宋体" w:cs="宋体" w:eastAsia="宋体" w:hint="default"/>
                <w:sz w:val="18"/>
                <w:szCs w:val="18"/>
              </w:rPr>
              <w:t>出包费</w:t>
            </w:r>
          </w:p>
        </w:tc>
      </w:tr>
    </w:tbl>
    <w:p>
      <w:pPr>
        <w:pStyle w:val="BodyText"/>
        <w:spacing w:line="240" w:lineRule="auto" w:before="49"/>
        <w:ind w:right="0"/>
        <w:jc w:val="left"/>
      </w:pPr>
      <w:r>
        <w:rPr/>
        <w:t>关联管理</w:t>
      </w:r>
      <w:r>
        <w:rPr>
          <w:rFonts w:ascii="Times New Roman" w:hAnsi="Times New Roman" w:cs="Times New Roman" w:eastAsia="Times New Roman" w:hint="default"/>
        </w:rPr>
        <w:t>/</w:t>
      </w:r>
      <w:r>
        <w:rPr/>
        <w:t>出包情况说明</w:t>
      </w:r>
    </w:p>
    <w:p>
      <w:pPr>
        <w:spacing w:line="240" w:lineRule="auto" w:before="11"/>
        <w:rPr>
          <w:rFonts w:ascii="宋体" w:hAnsi="宋体" w:cs="宋体" w:eastAsia="宋体" w:hint="default"/>
          <w:sz w:val="25"/>
          <w:szCs w:val="25"/>
        </w:rPr>
      </w:pPr>
    </w:p>
    <w:p>
      <w:pPr>
        <w:pStyle w:val="Heading3"/>
        <w:spacing w:line="240" w:lineRule="auto"/>
        <w:ind w:right="0"/>
        <w:jc w:val="left"/>
        <w:rPr>
          <w:b w:val="0"/>
          <w:bCs w:val="0"/>
        </w:rPr>
      </w:pPr>
      <w:r>
        <w:rPr/>
        <w:t>（</w:t>
      </w:r>
      <w:r>
        <w:rPr>
          <w:rFonts w:ascii="Times New Roman" w:hAnsi="Times New Roman" w:cs="Times New Roman" w:eastAsia="Times New Roman" w:hint="default"/>
        </w:rPr>
        <w:t>3</w:t>
      </w:r>
      <w:r>
        <w:rPr/>
        <w:t>）关联租赁情况</w:t>
      </w:r>
      <w:r>
        <w:rPr>
          <w:b w:val="0"/>
          <w:bCs w:val="0"/>
        </w:rPr>
      </w:r>
    </w:p>
    <w:p>
      <w:pPr>
        <w:spacing w:line="240" w:lineRule="auto" w:before="2"/>
        <w:rPr>
          <w:rFonts w:ascii="宋体" w:hAnsi="宋体" w:cs="宋体" w:eastAsia="宋体" w:hint="default"/>
          <w:b/>
          <w:bCs/>
          <w:sz w:val="23"/>
          <w:szCs w:val="23"/>
        </w:rPr>
      </w:pPr>
    </w:p>
    <w:p>
      <w:pPr>
        <w:pStyle w:val="BodyText"/>
        <w:spacing w:line="240" w:lineRule="auto" w:before="44"/>
        <w:ind w:right="0"/>
        <w:jc w:val="left"/>
      </w:pPr>
      <w:r>
        <w:rPr/>
        <w:t>本公司作为出租方：</w:t>
      </w:r>
    </w:p>
    <w:p>
      <w:pPr>
        <w:pStyle w:val="BodyText"/>
        <w:spacing w:line="240" w:lineRule="auto" w:before="116"/>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88"/>
        <w:gridCol w:w="2394"/>
        <w:gridCol w:w="2393"/>
        <w:gridCol w:w="2393"/>
      </w:tblGrid>
      <w:tr>
        <w:trPr>
          <w:trHeight w:val="402" w:hRule="exact"/>
        </w:trPr>
        <w:tc>
          <w:tcPr>
            <w:tcW w:w="23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738" w:right="0"/>
              <w:jc w:val="left"/>
              <w:rPr>
                <w:rFonts w:ascii="宋体" w:hAnsi="宋体" w:cs="宋体" w:eastAsia="宋体" w:hint="default"/>
                <w:sz w:val="18"/>
                <w:szCs w:val="18"/>
              </w:rPr>
            </w:pPr>
            <w:r>
              <w:rPr>
                <w:rFonts w:ascii="宋体" w:hAnsi="宋体" w:cs="宋体" w:eastAsia="宋体" w:hint="default"/>
                <w:sz w:val="18"/>
                <w:szCs w:val="18"/>
              </w:rPr>
              <w:t>承租方名称</w:t>
            </w:r>
          </w:p>
        </w:tc>
        <w:tc>
          <w:tcPr>
            <w:tcW w:w="23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651" w:right="0"/>
              <w:jc w:val="left"/>
              <w:rPr>
                <w:rFonts w:ascii="宋体" w:hAnsi="宋体" w:cs="宋体" w:eastAsia="宋体" w:hint="default"/>
                <w:sz w:val="18"/>
                <w:szCs w:val="18"/>
              </w:rPr>
            </w:pPr>
            <w:r>
              <w:rPr>
                <w:rFonts w:ascii="宋体" w:hAnsi="宋体" w:cs="宋体" w:eastAsia="宋体" w:hint="default"/>
                <w:sz w:val="18"/>
                <w:szCs w:val="18"/>
              </w:rPr>
              <w:t>租赁资产种类</w:t>
            </w:r>
          </w:p>
        </w:tc>
        <w:tc>
          <w:tcPr>
            <w:tcW w:w="23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381" w:right="0"/>
              <w:jc w:val="left"/>
              <w:rPr>
                <w:rFonts w:ascii="宋体" w:hAnsi="宋体" w:cs="宋体" w:eastAsia="宋体" w:hint="default"/>
                <w:sz w:val="18"/>
                <w:szCs w:val="18"/>
              </w:rPr>
            </w:pPr>
            <w:r>
              <w:rPr>
                <w:rFonts w:ascii="宋体" w:hAnsi="宋体" w:cs="宋体" w:eastAsia="宋体" w:hint="default"/>
                <w:sz w:val="18"/>
                <w:szCs w:val="18"/>
              </w:rPr>
              <w:t>本期确认的租赁收入</w:t>
            </w:r>
          </w:p>
        </w:tc>
        <w:tc>
          <w:tcPr>
            <w:tcW w:w="23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380" w:right="0"/>
              <w:jc w:val="left"/>
              <w:rPr>
                <w:rFonts w:ascii="宋体" w:hAnsi="宋体" w:cs="宋体" w:eastAsia="宋体" w:hint="default"/>
                <w:sz w:val="18"/>
                <w:szCs w:val="18"/>
              </w:rPr>
            </w:pPr>
            <w:r>
              <w:rPr>
                <w:rFonts w:ascii="宋体" w:hAnsi="宋体" w:cs="宋体" w:eastAsia="宋体" w:hint="default"/>
                <w:sz w:val="18"/>
                <w:szCs w:val="18"/>
              </w:rPr>
              <w:t>上期确认的租赁收入</w:t>
            </w:r>
          </w:p>
        </w:tc>
      </w:tr>
    </w:tbl>
    <w:p>
      <w:pPr>
        <w:pStyle w:val="BodyText"/>
        <w:spacing w:line="240" w:lineRule="auto" w:before="50"/>
        <w:ind w:right="0"/>
        <w:jc w:val="left"/>
      </w:pPr>
      <w:r>
        <w:rPr/>
        <w:t>本公司作为承租方：</w:t>
      </w:r>
    </w:p>
    <w:p>
      <w:pPr>
        <w:pStyle w:val="BodyText"/>
        <w:spacing w:line="240" w:lineRule="auto" w:before="116"/>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91"/>
        <w:gridCol w:w="2393"/>
        <w:gridCol w:w="2392"/>
        <w:gridCol w:w="2392"/>
      </w:tblGrid>
      <w:tr>
        <w:trPr>
          <w:trHeight w:val="402" w:hRule="exact"/>
        </w:trPr>
        <w:tc>
          <w:tcPr>
            <w:tcW w:w="23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739" w:right="0"/>
              <w:jc w:val="left"/>
              <w:rPr>
                <w:rFonts w:ascii="宋体" w:hAnsi="宋体" w:cs="宋体" w:eastAsia="宋体" w:hint="default"/>
                <w:sz w:val="18"/>
                <w:szCs w:val="18"/>
              </w:rPr>
            </w:pPr>
            <w:r>
              <w:rPr>
                <w:rFonts w:ascii="宋体" w:hAnsi="宋体" w:cs="宋体" w:eastAsia="宋体" w:hint="default"/>
                <w:sz w:val="18"/>
                <w:szCs w:val="18"/>
              </w:rPr>
              <w:t>出租方名称</w:t>
            </w:r>
          </w:p>
        </w:tc>
        <w:tc>
          <w:tcPr>
            <w:tcW w:w="23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651" w:right="0"/>
              <w:jc w:val="left"/>
              <w:rPr>
                <w:rFonts w:ascii="宋体" w:hAnsi="宋体" w:cs="宋体" w:eastAsia="宋体" w:hint="default"/>
                <w:sz w:val="18"/>
                <w:szCs w:val="18"/>
              </w:rPr>
            </w:pPr>
            <w:r>
              <w:rPr>
                <w:rFonts w:ascii="宋体" w:hAnsi="宋体" w:cs="宋体" w:eastAsia="宋体" w:hint="default"/>
                <w:sz w:val="18"/>
                <w:szCs w:val="18"/>
              </w:rPr>
              <w:t>租赁资产种类</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71" w:right="0"/>
              <w:jc w:val="left"/>
              <w:rPr>
                <w:rFonts w:ascii="宋体" w:hAnsi="宋体" w:cs="宋体" w:eastAsia="宋体" w:hint="default"/>
                <w:sz w:val="18"/>
                <w:szCs w:val="18"/>
              </w:rPr>
            </w:pPr>
            <w:r>
              <w:rPr>
                <w:rFonts w:ascii="宋体" w:hAnsi="宋体" w:cs="宋体" w:eastAsia="宋体" w:hint="default"/>
                <w:sz w:val="18"/>
                <w:szCs w:val="18"/>
              </w:rPr>
              <w:t>本期确认的租赁费</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71" w:right="0"/>
              <w:jc w:val="left"/>
              <w:rPr>
                <w:rFonts w:ascii="宋体" w:hAnsi="宋体" w:cs="宋体" w:eastAsia="宋体" w:hint="default"/>
                <w:sz w:val="18"/>
                <w:szCs w:val="18"/>
              </w:rPr>
            </w:pPr>
            <w:r>
              <w:rPr>
                <w:rFonts w:ascii="宋体" w:hAnsi="宋体" w:cs="宋体" w:eastAsia="宋体" w:hint="default"/>
                <w:sz w:val="18"/>
                <w:szCs w:val="18"/>
              </w:rPr>
              <w:t>上期确认的租赁费</w:t>
            </w:r>
          </w:p>
        </w:tc>
      </w:tr>
    </w:tbl>
    <w:p>
      <w:pPr>
        <w:pStyle w:val="BodyText"/>
        <w:spacing w:line="240" w:lineRule="auto" w:before="50"/>
        <w:ind w:right="0"/>
        <w:jc w:val="left"/>
      </w:pPr>
      <w:r>
        <w:rPr/>
        <w:t>关联租赁情况说明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t>（</w:t>
      </w:r>
      <w:r>
        <w:rPr>
          <w:rFonts w:ascii="Times New Roman" w:hAnsi="Times New Roman" w:cs="Times New Roman" w:eastAsia="Times New Roman" w:hint="default"/>
        </w:rPr>
        <w:t>4</w:t>
      </w:r>
      <w:r>
        <w:rPr/>
        <w:t>）关联担保情况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0"/>
        <w:jc w:val="left"/>
      </w:pPr>
      <w:r>
        <w:rPr/>
        <w:t>本公司作为担保方</w:t>
      </w:r>
    </w:p>
    <w:p>
      <w:pPr>
        <w:pStyle w:val="BodyText"/>
        <w:spacing w:line="240" w:lineRule="auto" w:before="116"/>
        <w:ind w:left="0" w:right="1131"/>
        <w:jc w:val="right"/>
      </w:pPr>
      <w:r>
        <w:rPr/>
        <w:t>单位：</w:t>
      </w:r>
      <w:r>
        <w:rPr>
          <w:spacing w:val="-1"/>
        </w:rPr>
        <w:t> </w:t>
      </w:r>
      <w:r>
        <w:rPr/>
        <w:t>元</w:t>
      </w:r>
    </w:p>
    <w:p>
      <w:pPr>
        <w:spacing w:after="0" w:line="240" w:lineRule="auto"/>
        <w:jc w:val="right"/>
        <w:sectPr>
          <w:type w:val="continuous"/>
          <w:pgSz w:w="11910" w:h="16840"/>
          <w:pgMar w:top="1100" w:bottom="1200" w:left="1020" w:right="0"/>
        </w:sectPr>
      </w:pPr>
    </w:p>
    <w:p>
      <w:pPr>
        <w:spacing w:line="240" w:lineRule="auto" w:before="7"/>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913"/>
        <w:gridCol w:w="1915"/>
        <w:gridCol w:w="1914"/>
        <w:gridCol w:w="1914"/>
        <w:gridCol w:w="1914"/>
      </w:tblGrid>
      <w:tr>
        <w:trPr>
          <w:trHeight w:val="714" w:hRule="exact"/>
        </w:trPr>
        <w:tc>
          <w:tcPr>
            <w:tcW w:w="191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被担保方</w:t>
            </w:r>
          </w:p>
        </w:tc>
        <w:tc>
          <w:tcPr>
            <w:tcW w:w="191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担保金额</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501" w:right="0"/>
              <w:jc w:val="left"/>
              <w:rPr>
                <w:rFonts w:ascii="宋体" w:hAnsi="宋体" w:cs="宋体" w:eastAsia="宋体" w:hint="default"/>
                <w:sz w:val="18"/>
                <w:szCs w:val="18"/>
              </w:rPr>
            </w:pPr>
            <w:r>
              <w:rPr>
                <w:rFonts w:ascii="宋体" w:hAnsi="宋体" w:cs="宋体" w:eastAsia="宋体" w:hint="default"/>
                <w:sz w:val="18"/>
                <w:szCs w:val="18"/>
              </w:rPr>
              <w:t>担保起始日</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501" w:right="0"/>
              <w:jc w:val="left"/>
              <w:rPr>
                <w:rFonts w:ascii="宋体" w:hAnsi="宋体" w:cs="宋体" w:eastAsia="宋体" w:hint="default"/>
                <w:sz w:val="18"/>
                <w:szCs w:val="18"/>
              </w:rPr>
            </w:pPr>
            <w:r>
              <w:rPr>
                <w:rFonts w:ascii="宋体" w:hAnsi="宋体" w:cs="宋体" w:eastAsia="宋体" w:hint="default"/>
                <w:sz w:val="18"/>
                <w:szCs w:val="18"/>
              </w:rPr>
              <w:t>担保到期日</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861" w:right="140" w:hanging="720"/>
              <w:jc w:val="left"/>
              <w:rPr>
                <w:rFonts w:ascii="宋体" w:hAnsi="宋体" w:cs="宋体" w:eastAsia="宋体" w:hint="default"/>
                <w:sz w:val="18"/>
                <w:szCs w:val="18"/>
              </w:rPr>
            </w:pPr>
            <w:r>
              <w:rPr>
                <w:rFonts w:ascii="宋体" w:hAnsi="宋体" w:cs="宋体" w:eastAsia="宋体" w:hint="default"/>
                <w:sz w:val="18"/>
                <w:szCs w:val="18"/>
              </w:rPr>
              <w:t>担保是否已经履行完 毕</w:t>
            </w:r>
          </w:p>
        </w:tc>
      </w:tr>
    </w:tbl>
    <w:p>
      <w:pPr>
        <w:pStyle w:val="BodyText"/>
        <w:spacing w:line="240" w:lineRule="auto" w:before="50"/>
        <w:ind w:right="0"/>
        <w:jc w:val="left"/>
      </w:pPr>
      <w:r>
        <w:rPr/>
        <w:t>本公司作为被担保方</w:t>
      </w:r>
    </w:p>
    <w:p>
      <w:pPr>
        <w:pStyle w:val="BodyText"/>
        <w:spacing w:line="240" w:lineRule="auto" w:before="116"/>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3"/>
        <w:gridCol w:w="1915"/>
        <w:gridCol w:w="1914"/>
        <w:gridCol w:w="1914"/>
        <w:gridCol w:w="1914"/>
      </w:tblGrid>
      <w:tr>
        <w:trPr>
          <w:trHeight w:val="714" w:hRule="exact"/>
        </w:trPr>
        <w:tc>
          <w:tcPr>
            <w:tcW w:w="191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担保方</w:t>
            </w:r>
          </w:p>
        </w:tc>
        <w:tc>
          <w:tcPr>
            <w:tcW w:w="191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担保金额</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501" w:right="0"/>
              <w:jc w:val="left"/>
              <w:rPr>
                <w:rFonts w:ascii="宋体" w:hAnsi="宋体" w:cs="宋体" w:eastAsia="宋体" w:hint="default"/>
                <w:sz w:val="18"/>
                <w:szCs w:val="18"/>
              </w:rPr>
            </w:pPr>
            <w:r>
              <w:rPr>
                <w:rFonts w:ascii="宋体" w:hAnsi="宋体" w:cs="宋体" w:eastAsia="宋体" w:hint="default"/>
                <w:sz w:val="18"/>
                <w:szCs w:val="18"/>
              </w:rPr>
              <w:t>担保起始日</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501" w:right="0"/>
              <w:jc w:val="left"/>
              <w:rPr>
                <w:rFonts w:ascii="宋体" w:hAnsi="宋体" w:cs="宋体" w:eastAsia="宋体" w:hint="default"/>
                <w:sz w:val="18"/>
                <w:szCs w:val="18"/>
              </w:rPr>
            </w:pPr>
            <w:r>
              <w:rPr>
                <w:rFonts w:ascii="宋体" w:hAnsi="宋体" w:cs="宋体" w:eastAsia="宋体" w:hint="default"/>
                <w:sz w:val="18"/>
                <w:szCs w:val="18"/>
              </w:rPr>
              <w:t>担保到期日</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0"/>
              <w:ind w:left="861" w:right="140" w:hanging="720"/>
              <w:jc w:val="left"/>
              <w:rPr>
                <w:rFonts w:ascii="宋体" w:hAnsi="宋体" w:cs="宋体" w:eastAsia="宋体" w:hint="default"/>
                <w:sz w:val="18"/>
                <w:szCs w:val="18"/>
              </w:rPr>
            </w:pPr>
            <w:r>
              <w:rPr>
                <w:rFonts w:ascii="宋体" w:hAnsi="宋体" w:cs="宋体" w:eastAsia="宋体" w:hint="default"/>
                <w:sz w:val="18"/>
                <w:szCs w:val="18"/>
              </w:rPr>
              <w:t>担保是否已经履行完 毕</w:t>
            </w:r>
          </w:p>
        </w:tc>
      </w:tr>
    </w:tbl>
    <w:p>
      <w:pPr>
        <w:pStyle w:val="BodyText"/>
        <w:spacing w:line="240" w:lineRule="auto" w:before="50"/>
        <w:ind w:right="0"/>
        <w:jc w:val="left"/>
      </w:pPr>
      <w:r>
        <w:rPr/>
        <w:t>关联担保情况说明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t>（</w:t>
      </w:r>
      <w:r>
        <w:rPr>
          <w:rFonts w:ascii="Times New Roman" w:hAnsi="Times New Roman" w:cs="Times New Roman" w:eastAsia="Times New Roman" w:hint="default"/>
        </w:rPr>
        <w:t>5</w:t>
      </w:r>
      <w:r>
        <w:rPr/>
        <w:t>）关联方资金拆借</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3"/>
        <w:gridCol w:w="1914"/>
        <w:gridCol w:w="1915"/>
        <w:gridCol w:w="1914"/>
        <w:gridCol w:w="1914"/>
      </w:tblGrid>
      <w:tr>
        <w:trPr>
          <w:trHeight w:val="402" w:hRule="exact"/>
        </w:trPr>
        <w:tc>
          <w:tcPr>
            <w:tcW w:w="191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关联方</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拆借金额</w:t>
            </w:r>
          </w:p>
        </w:tc>
        <w:tc>
          <w:tcPr>
            <w:tcW w:w="191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起始日</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到期日</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402" w:hRule="exact"/>
        </w:trPr>
        <w:tc>
          <w:tcPr>
            <w:tcW w:w="9570" w:type="dxa"/>
            <w:gridSpan w:val="5"/>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拆入</w:t>
            </w:r>
          </w:p>
        </w:tc>
      </w:tr>
      <w:tr>
        <w:trPr>
          <w:trHeight w:val="402" w:hRule="exact"/>
        </w:trPr>
        <w:tc>
          <w:tcPr>
            <w:tcW w:w="9570" w:type="dxa"/>
            <w:gridSpan w:val="5"/>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拆出</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6</w:t>
      </w:r>
      <w:r>
        <w:rPr/>
        <w:t>）关联方资产转让、债务重组情况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91"/>
        <w:gridCol w:w="2393"/>
        <w:gridCol w:w="2392"/>
        <w:gridCol w:w="2392"/>
      </w:tblGrid>
      <w:tr>
        <w:trPr>
          <w:trHeight w:val="402" w:hRule="exact"/>
        </w:trPr>
        <w:tc>
          <w:tcPr>
            <w:tcW w:w="23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3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651"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741"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741"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7</w:t>
      </w:r>
      <w:r>
        <w:rPr/>
        <w:t>）关键管理人员报酬</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8"/>
        <w:gridCol w:w="3190"/>
        <w:gridCol w:w="3191"/>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关键管理人员报酬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4,341,600.00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3,786,500.00</w:t>
            </w:r>
          </w:p>
        </w:tc>
      </w:tr>
    </w:tbl>
    <w:p>
      <w:pPr>
        <w:spacing w:line="240" w:lineRule="auto" w:before="1"/>
        <w:rPr>
          <w:rFonts w:ascii="宋体" w:hAnsi="宋体" w:cs="宋体" w:eastAsia="宋体" w:hint="default"/>
          <w:sz w:val="19"/>
          <w:szCs w:val="19"/>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8</w:t>
      </w:r>
      <w:r>
        <w:rPr/>
        <w:t>）其他关联交易</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rPr>
          <w:rFonts w:ascii="Times New Roman" w:hAnsi="Times New Roman" w:cs="Times New Roman" w:eastAsia="Times New Roman" w:hint="default"/>
        </w:rPr>
      </w:pPr>
      <w:r>
        <w:rPr/>
        <w:t>详见附注七</w:t>
      </w:r>
      <w:r>
        <w:rPr>
          <w:rFonts w:ascii="Times New Roman" w:hAnsi="Times New Roman" w:cs="Times New Roman" w:eastAsia="Times New Roman" w:hint="default"/>
        </w:rPr>
        <w:t>-53</w:t>
      </w: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1"/>
        <w:rPr>
          <w:rFonts w:ascii="Times New Roman" w:hAnsi="Times New Roman" w:cs="Times New Roman" w:eastAsia="Times New Roman" w:hint="default"/>
          <w:sz w:val="24"/>
          <w:szCs w:val="24"/>
        </w:rPr>
      </w:pPr>
    </w:p>
    <w:p>
      <w:pPr>
        <w:pStyle w:val="Heading3"/>
        <w:spacing w:line="240" w:lineRule="auto"/>
        <w:ind w:right="0"/>
        <w:jc w:val="left"/>
        <w:rPr>
          <w:b w:val="0"/>
          <w:bCs w:val="0"/>
        </w:rPr>
      </w:pPr>
      <w:r>
        <w:rPr>
          <w:rFonts w:ascii="Times New Roman" w:hAnsi="Times New Roman" w:cs="Times New Roman" w:eastAsia="Times New Roman" w:hint="default"/>
        </w:rPr>
        <w:t>6</w:t>
      </w:r>
      <w:r>
        <w:rPr/>
        <w:t>、关联方应收应付款项</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t>（</w:t>
      </w:r>
      <w:r>
        <w:rPr>
          <w:rFonts w:ascii="Times New Roman" w:hAnsi="Times New Roman" w:cs="Times New Roman" w:eastAsia="Times New Roman" w:hint="default"/>
        </w:rPr>
        <w:t>1</w:t>
      </w:r>
      <w:r>
        <w:rPr/>
        <w:t>）应收项目</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595"/>
        <w:gridCol w:w="1595"/>
        <w:gridCol w:w="1594"/>
        <w:gridCol w:w="1594"/>
        <w:gridCol w:w="1594"/>
        <w:gridCol w:w="1594"/>
      </w:tblGrid>
      <w:tr>
        <w:trPr>
          <w:trHeight w:val="402" w:hRule="exact"/>
        </w:trPr>
        <w:tc>
          <w:tcPr>
            <w:tcW w:w="1595"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1595"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522"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3188"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8"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1595" w:type="dxa"/>
            <w:vMerge/>
            <w:tcBorders>
              <w:left w:val="single" w:sz="4" w:space="0" w:color="000000"/>
              <w:bottom w:val="single" w:sz="4" w:space="0" w:color="000000"/>
              <w:right w:val="single" w:sz="4" w:space="0" w:color="000000"/>
            </w:tcBorders>
            <w:shd w:val="clear" w:color="auto" w:fill="D3D3D3"/>
          </w:tcPr>
          <w:p>
            <w:pPr/>
          </w:p>
        </w:tc>
        <w:tc>
          <w:tcPr>
            <w:tcW w:w="1595" w:type="dxa"/>
            <w:vMerge/>
            <w:tcBorders>
              <w:left w:val="single" w:sz="4" w:space="0" w:color="000000"/>
              <w:bottom w:val="single" w:sz="4" w:space="0" w:color="000000"/>
              <w:right w:val="single" w:sz="4" w:space="0" w:color="000000"/>
            </w:tcBorders>
            <w:shd w:val="clear" w:color="auto" w:fill="D3D3D3"/>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3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3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3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31" w:right="0"/>
              <w:jc w:val="left"/>
              <w:rPr>
                <w:rFonts w:ascii="宋体" w:hAnsi="宋体" w:cs="宋体" w:eastAsia="宋体" w:hint="default"/>
                <w:sz w:val="18"/>
                <w:szCs w:val="18"/>
              </w:rPr>
            </w:pPr>
            <w:r>
              <w:rPr>
                <w:rFonts w:ascii="宋体" w:hAnsi="宋体" w:cs="宋体" w:eastAsia="宋体" w:hint="default"/>
                <w:sz w:val="18"/>
                <w:szCs w:val="18"/>
              </w:rPr>
              <w:t>坏账准备</w:t>
            </w:r>
          </w:p>
        </w:tc>
      </w:tr>
    </w:tbl>
    <w:p>
      <w:pPr>
        <w:spacing w:after="0" w:line="240" w:lineRule="auto"/>
        <w:jc w:val="left"/>
        <w:rPr>
          <w:rFonts w:ascii="宋体" w:hAnsi="宋体" w:cs="宋体" w:eastAsia="宋体" w:hint="default"/>
          <w:sz w:val="18"/>
          <w:szCs w:val="18"/>
        </w:rPr>
        <w:sectPr>
          <w:pgSz w:w="11910" w:h="16840"/>
          <w:pgMar w:header="906" w:footer="1018" w:top="1100" w:bottom="1200" w:left="1020" w:right="0"/>
        </w:sectPr>
      </w:pPr>
    </w:p>
    <w:p>
      <w:pPr>
        <w:spacing w:line="240" w:lineRule="auto" w:before="9"/>
        <w:rPr>
          <w:rFonts w:ascii="宋体" w:hAnsi="宋体" w:cs="宋体" w:eastAsia="宋体" w:hint="default"/>
          <w:sz w:val="21"/>
          <w:szCs w:val="21"/>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2</w:t>
      </w:r>
      <w:r>
        <w:rPr/>
        <w:t>）应付项目</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91"/>
        <w:gridCol w:w="2393"/>
        <w:gridCol w:w="2392"/>
        <w:gridCol w:w="2392"/>
      </w:tblGrid>
      <w:tr>
        <w:trPr>
          <w:trHeight w:val="402" w:hRule="exact"/>
        </w:trPr>
        <w:tc>
          <w:tcPr>
            <w:tcW w:w="23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项目名称</w:t>
            </w:r>
          </w:p>
        </w:tc>
        <w:tc>
          <w:tcPr>
            <w:tcW w:w="23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651"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651"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r>
        <w:rPr>
          <w:rFonts w:ascii="Times New Roman" w:hAnsi="Times New Roman" w:cs="Times New Roman" w:eastAsia="Times New Roman" w:hint="default"/>
        </w:rPr>
        <w:t>7</w:t>
      </w:r>
      <w:r>
        <w:rPr/>
        <w:t>、关联方承诺</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rFonts w:ascii="Times New Roman" w:hAnsi="Times New Roman" w:cs="Times New Roman" w:eastAsia="Times New Roman" w:hint="default"/>
        </w:rPr>
        <w:t>8</w:t>
      </w:r>
      <w:r>
        <w:rPr/>
        <w:t>、其他</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详见附注七-53。</w:t>
      </w:r>
    </w:p>
    <w:p>
      <w:pPr>
        <w:spacing w:line="240" w:lineRule="auto" w:before="1"/>
        <w:rPr>
          <w:rFonts w:ascii="宋体" w:hAnsi="宋体" w:cs="宋体" w:eastAsia="宋体" w:hint="default"/>
          <w:sz w:val="25"/>
          <w:szCs w:val="25"/>
        </w:rPr>
      </w:pPr>
    </w:p>
    <w:p>
      <w:pPr>
        <w:pStyle w:val="Heading2"/>
        <w:spacing w:line="240" w:lineRule="auto"/>
        <w:ind w:right="0"/>
        <w:jc w:val="left"/>
        <w:rPr>
          <w:b w:val="0"/>
          <w:bCs w:val="0"/>
        </w:rPr>
      </w:pPr>
      <w:r>
        <w:rPr/>
        <w:t>十三、股份支付</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r>
        <w:rPr>
          <w:rFonts w:ascii="Times New Roman" w:hAnsi="Times New Roman" w:cs="Times New Roman" w:eastAsia="Times New Roman" w:hint="default"/>
        </w:rPr>
        <w:t>1</w:t>
      </w:r>
      <w:r>
        <w:rPr/>
        <w:t>、股份支付总体情况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2</w:t>
      </w:r>
      <w:r>
        <w:rPr/>
        <w:t>、以权益结算的股份支付情况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3</w:t>
      </w:r>
      <w:r>
        <w:rPr/>
        <w:t>、以现金结算的股份支付情况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4</w:t>
      </w:r>
      <w:r>
        <w:rPr/>
        <w:t>、股份支付的修改、终止情况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7"/>
          <w:szCs w:val="17"/>
        </w:rPr>
      </w:pPr>
    </w:p>
    <w:p>
      <w:pPr>
        <w:spacing w:line="487" w:lineRule="auto" w:before="0"/>
        <w:ind w:left="113" w:right="834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、其他</w:t>
      </w:r>
      <w:r>
        <w:rPr>
          <w:rFonts w:ascii="宋体" w:hAnsi="宋体" w:cs="宋体" w:eastAsia="宋体" w:hint="default"/>
          <w:b/>
          <w:bCs/>
          <w:w w:val="99"/>
          <w:sz w:val="21"/>
          <w:szCs w:val="21"/>
        </w:rPr>
        <w:t> </w:t>
      </w:r>
      <w:r>
        <w:rPr>
          <w:rFonts w:ascii="宋体" w:hAnsi="宋体" w:cs="宋体" w:eastAsia="宋体" w:hint="default"/>
          <w:b/>
          <w:bCs/>
          <w:sz w:val="24"/>
          <w:szCs w:val="24"/>
        </w:rPr>
        <w:t>十四、承诺及或有事项</w:t>
      </w:r>
      <w:r>
        <w:rPr>
          <w:rFonts w:ascii="宋体" w:hAnsi="宋体" w:cs="宋体" w:eastAsia="宋体" w:hint="default"/>
          <w:b/>
          <w:bCs/>
          <w:w w:val="99"/>
          <w:sz w:val="24"/>
          <w:szCs w:val="24"/>
        </w:rPr>
        <w:t> </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、重要承诺事项</w:t>
      </w:r>
      <w:r>
        <w:rPr>
          <w:rFonts w:ascii="宋体" w:hAnsi="宋体" w:cs="宋体" w:eastAsia="宋体" w:hint="default"/>
          <w:sz w:val="21"/>
          <w:szCs w:val="21"/>
        </w:rPr>
      </w:r>
    </w:p>
    <w:p>
      <w:pPr>
        <w:pStyle w:val="BodyText"/>
        <w:spacing w:line="240" w:lineRule="auto" w:before="108"/>
        <w:ind w:right="0"/>
        <w:jc w:val="left"/>
      </w:pPr>
      <w:r>
        <w:rPr/>
        <w:t>资产负债表日存在的重要承诺</w:t>
      </w:r>
    </w:p>
    <w:p>
      <w:pPr>
        <w:pStyle w:val="BodyText"/>
        <w:spacing w:line="240" w:lineRule="auto" w:before="116"/>
        <w:ind w:right="0"/>
        <w:jc w:val="left"/>
      </w:pPr>
      <w:r>
        <w:rPr/>
        <w:t>（1）未结清的保函</w:t>
      </w:r>
    </w:p>
    <w:p>
      <w:pPr>
        <w:pStyle w:val="BodyText"/>
        <w:spacing w:line="300" w:lineRule="auto" w:before="116"/>
        <w:ind w:right="0"/>
        <w:jc w:val="left"/>
      </w:pPr>
      <w:r>
        <w:rPr/>
        <w:t>报告期末，公司在境内已开立但尚未结清的银行保函金额为人民币</w:t>
      </w:r>
      <w:r>
        <w:rPr>
          <w:rFonts w:ascii="Times New Roman" w:hAnsi="Times New Roman" w:cs="Times New Roman" w:eastAsia="Times New Roman" w:hint="default"/>
        </w:rPr>
        <w:t>5,302,425.00</w:t>
      </w:r>
      <w:r>
        <w:rPr/>
        <w:t>元，</w:t>
      </w:r>
      <w:r>
        <w:rPr>
          <w:rFonts w:ascii="Times New Roman" w:hAnsi="Times New Roman" w:cs="Times New Roman" w:eastAsia="Times New Roman" w:hint="default"/>
        </w:rPr>
        <w:t>31,567.29</w:t>
      </w:r>
      <w:r>
        <w:rPr/>
        <w:t>美元，对应的保证金金额为人</w:t>
      </w:r>
      <w:r>
        <w:rPr>
          <w:spacing w:val="-55"/>
        </w:rPr>
        <w:t> </w:t>
      </w:r>
      <w:r>
        <w:rPr>
          <w:spacing w:val="-55"/>
        </w:rPr>
      </w:r>
      <w:r>
        <w:rPr/>
        <w:t>民币</w:t>
      </w:r>
      <w:r>
        <w:rPr>
          <w:rFonts w:ascii="Times New Roman" w:hAnsi="Times New Roman" w:cs="Times New Roman" w:eastAsia="Times New Roman" w:hint="default"/>
        </w:rPr>
        <w:t>3,028,555.32</w:t>
      </w:r>
      <w:r>
        <w:rPr/>
        <w:t>元；在境外已开立但尚未结清的银行保函金额为</w:t>
      </w:r>
      <w:r>
        <w:rPr>
          <w:rFonts w:ascii="Times New Roman" w:hAnsi="Times New Roman" w:cs="Times New Roman" w:eastAsia="Times New Roman" w:hint="default"/>
        </w:rPr>
        <w:t>288,413.07</w:t>
      </w:r>
      <w:r>
        <w:rPr/>
        <w:t>美元，对应的保证金金额为</w:t>
      </w:r>
      <w:r>
        <w:rPr>
          <w:rFonts w:ascii="Times New Roman" w:hAnsi="Times New Roman" w:cs="Times New Roman" w:eastAsia="Times New Roman" w:hint="default"/>
        </w:rPr>
        <w:t>288,413.07</w:t>
      </w:r>
      <w:r>
        <w:rPr/>
        <w:t>美元。</w:t>
      </w:r>
    </w:p>
    <w:p>
      <w:pPr>
        <w:pStyle w:val="BodyText"/>
        <w:spacing w:line="360" w:lineRule="auto" w:before="53"/>
        <w:ind w:right="5307"/>
        <w:jc w:val="left"/>
      </w:pPr>
      <w:r>
        <w:rPr/>
        <w:t>（2）未结清的信用证 报告期末，公司已开立但尚未结清的信用证金额为</w:t>
      </w:r>
      <w:r>
        <w:rPr>
          <w:rFonts w:ascii="Times New Roman" w:hAnsi="Times New Roman" w:cs="Times New Roman" w:eastAsia="Times New Roman" w:hint="default"/>
        </w:rPr>
        <w:t>1,684,498.01</w:t>
      </w:r>
      <w:r>
        <w:rPr/>
        <w:t>美元。</w:t>
      </w:r>
    </w:p>
    <w:p>
      <w:pPr>
        <w:spacing w:after="0" w:line="360" w:lineRule="auto"/>
        <w:jc w:val="left"/>
        <w:sectPr>
          <w:pgSz w:w="11910" w:h="16840"/>
          <w:pgMar w:header="906" w:footer="1018" w:top="1100" w:bottom="1200" w:left="1020" w:right="0"/>
        </w:sectPr>
      </w:pPr>
    </w:p>
    <w:p>
      <w:pPr>
        <w:spacing w:line="240" w:lineRule="auto" w:before="9"/>
        <w:rPr>
          <w:rFonts w:ascii="宋体" w:hAnsi="宋体" w:cs="宋体" w:eastAsia="宋体" w:hint="default"/>
          <w:sz w:val="21"/>
          <w:szCs w:val="21"/>
        </w:rPr>
      </w:pPr>
    </w:p>
    <w:p>
      <w:pPr>
        <w:pStyle w:val="Heading3"/>
        <w:spacing w:line="240" w:lineRule="auto" w:before="35"/>
        <w:ind w:right="0"/>
        <w:jc w:val="left"/>
        <w:rPr>
          <w:b w:val="0"/>
          <w:bCs w:val="0"/>
        </w:rPr>
      </w:pPr>
      <w:r>
        <w:rPr>
          <w:rFonts w:ascii="Times New Roman" w:hAnsi="Times New Roman" w:cs="Times New Roman" w:eastAsia="Times New Roman" w:hint="default"/>
        </w:rPr>
        <w:t>2</w:t>
      </w:r>
      <w:r>
        <w:rPr/>
        <w:t>、或有事项</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t>（</w:t>
      </w:r>
      <w:r>
        <w:rPr>
          <w:rFonts w:ascii="Times New Roman" w:hAnsi="Times New Roman" w:cs="Times New Roman" w:eastAsia="Times New Roman" w:hint="default"/>
        </w:rPr>
        <w:t>1</w:t>
      </w:r>
      <w:r>
        <w:rPr/>
        <w:t>）资产负债表日存在的重要或有事项</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t>（</w:t>
      </w:r>
      <w:r>
        <w:rPr>
          <w:rFonts w:ascii="Times New Roman" w:hAnsi="Times New Roman" w:cs="Times New Roman" w:eastAsia="Times New Roman" w:hint="default"/>
        </w:rPr>
        <w:t>2</w:t>
      </w:r>
      <w:r>
        <w:rPr/>
        <w:t>）公司没有需要披露的重要或有事项，也应予以说明</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公司不存在需要披露的重要或有事项。</w:t>
      </w:r>
    </w:p>
    <w:p>
      <w:pPr>
        <w:spacing w:line="240" w:lineRule="auto" w:before="12"/>
        <w:rPr>
          <w:rFonts w:ascii="宋体" w:hAnsi="宋体" w:cs="宋体" w:eastAsia="宋体" w:hint="default"/>
          <w:sz w:val="26"/>
          <w:szCs w:val="26"/>
        </w:rPr>
      </w:pPr>
    </w:p>
    <w:p>
      <w:pPr>
        <w:spacing w:line="487" w:lineRule="auto" w:before="0"/>
        <w:ind w:left="113" w:right="7861"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、其他</w:t>
      </w:r>
      <w:r>
        <w:rPr>
          <w:rFonts w:ascii="宋体" w:hAnsi="宋体" w:cs="宋体" w:eastAsia="宋体" w:hint="default"/>
          <w:b/>
          <w:bCs/>
          <w:w w:val="99"/>
          <w:sz w:val="21"/>
          <w:szCs w:val="21"/>
        </w:rPr>
        <w:t> </w:t>
      </w:r>
      <w:r>
        <w:rPr>
          <w:rFonts w:ascii="宋体" w:hAnsi="宋体" w:cs="宋体" w:eastAsia="宋体" w:hint="default"/>
          <w:b/>
          <w:bCs/>
          <w:sz w:val="24"/>
          <w:szCs w:val="24"/>
        </w:rPr>
        <w:t>十五、资产负债表日后事项</w:t>
      </w:r>
      <w:r>
        <w:rPr>
          <w:rFonts w:ascii="宋体" w:hAnsi="宋体" w:cs="宋体" w:eastAsia="宋体" w:hint="default"/>
          <w:b/>
          <w:bCs/>
          <w:w w:val="99"/>
          <w:sz w:val="24"/>
          <w:szCs w:val="24"/>
        </w:rPr>
        <w:t> </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、重要的非调整事项</w:t>
      </w:r>
      <w:r>
        <w:rPr>
          <w:rFonts w:ascii="宋体" w:hAnsi="宋体" w:cs="宋体" w:eastAsia="宋体" w:hint="default"/>
          <w:sz w:val="21"/>
          <w:szCs w:val="21"/>
        </w:rPr>
      </w:r>
    </w:p>
    <w:p>
      <w:pPr>
        <w:pStyle w:val="BodyText"/>
        <w:spacing w:line="240" w:lineRule="auto" w:before="106"/>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493"/>
        <w:gridCol w:w="2295"/>
        <w:gridCol w:w="2390"/>
        <w:gridCol w:w="2390"/>
      </w:tblGrid>
      <w:tr>
        <w:trPr>
          <w:trHeight w:val="714" w:hRule="exact"/>
        </w:trPr>
        <w:tc>
          <w:tcPr>
            <w:tcW w:w="24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2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内容</w:t>
            </w:r>
          </w:p>
        </w:tc>
        <w:tc>
          <w:tcPr>
            <w:tcW w:w="23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009" w:right="108" w:hanging="900"/>
              <w:jc w:val="left"/>
              <w:rPr>
                <w:rFonts w:ascii="宋体" w:hAnsi="宋体" w:cs="宋体" w:eastAsia="宋体" w:hint="default"/>
                <w:sz w:val="18"/>
                <w:szCs w:val="18"/>
              </w:rPr>
            </w:pPr>
            <w:r>
              <w:rPr>
                <w:rFonts w:ascii="宋体" w:hAnsi="宋体" w:cs="宋体" w:eastAsia="宋体" w:hint="default"/>
                <w:sz w:val="18"/>
                <w:szCs w:val="18"/>
              </w:rPr>
              <w:t>对财务状况和经营成果的影 响数</w:t>
            </w:r>
          </w:p>
        </w:tc>
        <w:tc>
          <w:tcPr>
            <w:tcW w:w="23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89" w:right="0"/>
              <w:jc w:val="left"/>
              <w:rPr>
                <w:rFonts w:ascii="宋体" w:hAnsi="宋体" w:cs="宋体" w:eastAsia="宋体" w:hint="default"/>
                <w:sz w:val="18"/>
                <w:szCs w:val="18"/>
              </w:rPr>
            </w:pPr>
            <w:r>
              <w:rPr>
                <w:rFonts w:ascii="宋体" w:hAnsi="宋体" w:cs="宋体" w:eastAsia="宋体" w:hint="default"/>
                <w:sz w:val="18"/>
                <w:szCs w:val="18"/>
              </w:rPr>
              <w:t>无法估计影响数的原因</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r>
        <w:rPr>
          <w:rFonts w:ascii="Times New Roman" w:hAnsi="Times New Roman" w:cs="Times New Roman" w:eastAsia="Times New Roman" w:hint="default"/>
        </w:rPr>
        <w:t>2</w:t>
      </w:r>
      <w:r>
        <w:rPr/>
        <w:t>、利润分配情况</w:t>
      </w:r>
      <w:r>
        <w:rPr>
          <w:b w:val="0"/>
          <w:bCs w:val="0"/>
        </w:rPr>
      </w:r>
    </w:p>
    <w:p>
      <w:pPr>
        <w:spacing w:line="240" w:lineRule="auto" w:before="2"/>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24"/>
          <w:szCs w:val="24"/>
        </w:rPr>
      </w:pPr>
    </w:p>
    <w:p>
      <w:pPr>
        <w:pStyle w:val="Heading3"/>
        <w:spacing w:line="240" w:lineRule="auto" w:before="35"/>
        <w:ind w:right="0"/>
        <w:jc w:val="left"/>
        <w:rPr>
          <w:b w:val="0"/>
          <w:bCs w:val="0"/>
        </w:rPr>
      </w:pPr>
      <w:r>
        <w:rPr>
          <w:rFonts w:ascii="Times New Roman" w:hAnsi="Times New Roman" w:cs="Times New Roman" w:eastAsia="Times New Roman" w:hint="default"/>
        </w:rPr>
        <w:t>3</w:t>
      </w:r>
      <w:r>
        <w:rPr/>
        <w:t>、销售退回</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rFonts w:ascii="Times New Roman" w:hAnsi="Times New Roman" w:cs="Times New Roman" w:eastAsia="Times New Roman" w:hint="default"/>
        </w:rPr>
        <w:t>4</w:t>
      </w:r>
      <w:r>
        <w:rPr/>
        <w:t>、其他资产负债表日后事项说明</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（1）对新型冠状病毒肺炎疫情的影响评估</w:t>
      </w:r>
    </w:p>
    <w:p>
      <w:pPr>
        <w:pStyle w:val="BodyText"/>
        <w:spacing w:line="300" w:lineRule="auto" w:before="116"/>
        <w:ind w:right="0"/>
        <w:jc w:val="left"/>
      </w:pPr>
      <w:r>
        <w:rPr/>
        <w:t>新型冠状病毒的传染疫情（以下简称</w:t>
      </w:r>
      <w:r>
        <w:rPr>
          <w:rFonts w:ascii="Times New Roman" w:hAnsi="Times New Roman" w:cs="Times New Roman" w:eastAsia="Times New Roman" w:hint="default"/>
        </w:rPr>
        <w:t>“</w:t>
      </w:r>
      <w:r>
        <w:rPr/>
        <w:t>新冠疫情</w:t>
      </w:r>
      <w:r>
        <w:rPr>
          <w:rFonts w:ascii="Times New Roman" w:hAnsi="Times New Roman" w:cs="Times New Roman" w:eastAsia="Times New Roman" w:hint="default"/>
        </w:rPr>
        <w:t>”</w:t>
      </w:r>
      <w:r>
        <w:rPr/>
        <w:t>）自</w:t>
      </w:r>
      <w:r>
        <w:rPr>
          <w:rFonts w:ascii="Times New Roman" w:hAnsi="Times New Roman" w:cs="Times New Roman" w:eastAsia="Times New Roman" w:hint="default"/>
        </w:rPr>
        <w:t>2020</w:t>
      </w:r>
      <w:r>
        <w:rPr/>
        <w:t>年</w:t>
      </w:r>
      <w:r>
        <w:rPr>
          <w:rFonts w:ascii="Times New Roman" w:hAnsi="Times New Roman" w:cs="Times New Roman" w:eastAsia="Times New Roman" w:hint="default"/>
        </w:rPr>
        <w:t>1</w:t>
      </w:r>
      <w:r>
        <w:rPr/>
        <w:t>月起在全国爆发以来，对新冠疫情的防控工作正在全国范围内</w:t>
      </w:r>
      <w:r>
        <w:rPr>
          <w:spacing w:val="-68"/>
        </w:rPr>
        <w:t> </w:t>
      </w:r>
      <w:r>
        <w:rPr>
          <w:spacing w:val="-68"/>
        </w:rPr>
      </w:r>
      <w:r>
        <w:rPr/>
        <w:t>持续进行。公司积极响应并严格执行党和国家各级政府对新冠疫情防控的各项规定和要求，强化对疫情防控工作的支持。</w:t>
      </w:r>
    </w:p>
    <w:p>
      <w:pPr>
        <w:pStyle w:val="BodyText"/>
        <w:spacing w:line="338" w:lineRule="auto" w:before="71"/>
        <w:ind w:right="0"/>
        <w:jc w:val="left"/>
      </w:pPr>
      <w:r>
        <w:rPr/>
        <w:t>本次新冠疫情对公司整体经济运行影响的程度取决于疫情防控的进展情况、持续时间以及各地防控政策的实施情况。 </w:t>
      </w:r>
      <w:r>
        <w:rPr>
          <w:spacing w:val="-2"/>
        </w:rPr>
        <w:t>公司将持续密切关注新冠疫情的发展情况，并评估和积极应对其对公司财务状况、经营成果等方面的影响。截至本报告报出</w:t>
      </w:r>
      <w:r>
        <w:rPr>
          <w:spacing w:val="-67"/>
        </w:rPr>
        <w:t> </w:t>
      </w:r>
      <w:r>
        <w:rPr>
          <w:spacing w:val="-67"/>
        </w:rPr>
      </w:r>
      <w:r>
        <w:rPr/>
        <w:t>日，尚未发现重大不利影响。</w:t>
      </w:r>
    </w:p>
    <w:p>
      <w:pPr>
        <w:spacing w:line="240" w:lineRule="auto" w:before="0"/>
        <w:rPr>
          <w:rFonts w:ascii="宋体" w:hAnsi="宋体" w:cs="宋体" w:eastAsia="宋体" w:hint="default"/>
          <w:sz w:val="18"/>
          <w:szCs w:val="18"/>
        </w:rPr>
      </w:pPr>
    </w:p>
    <w:p>
      <w:pPr>
        <w:pStyle w:val="BodyText"/>
        <w:spacing w:line="240" w:lineRule="auto" w:before="159"/>
        <w:ind w:right="0"/>
        <w:jc w:val="left"/>
      </w:pPr>
      <w:r>
        <w:rPr/>
        <w:t>（</w:t>
      </w:r>
      <w:r>
        <w:rPr>
          <w:rFonts w:ascii="Times New Roman" w:hAnsi="Times New Roman" w:cs="Times New Roman" w:eastAsia="Times New Roman" w:hint="default"/>
        </w:rPr>
        <w:t>2</w:t>
      </w:r>
      <w:r>
        <w:rPr/>
        <w:t>）公司拟以自有资金</w:t>
      </w:r>
      <w:r>
        <w:rPr>
          <w:rFonts w:ascii="Times New Roman" w:hAnsi="Times New Roman" w:cs="Times New Roman" w:eastAsia="Times New Roman" w:hint="default"/>
        </w:rPr>
        <w:t>1000</w:t>
      </w:r>
      <w:r>
        <w:rPr/>
        <w:t>万元人民币在海南省投资设立子公司</w:t>
      </w:r>
      <w:r>
        <w:rPr>
          <w:rFonts w:ascii="Times New Roman" w:hAnsi="Times New Roman" w:cs="Times New Roman" w:eastAsia="Times New Roman" w:hint="default"/>
        </w:rPr>
        <w:t>“</w:t>
      </w:r>
      <w:r>
        <w:rPr/>
        <w:t>海南省恒宝数字科技有限公司</w:t>
      </w:r>
      <w:r>
        <w:rPr>
          <w:rFonts w:ascii="Times New Roman" w:hAnsi="Times New Roman" w:cs="Times New Roman" w:eastAsia="Times New Roman" w:hint="default"/>
        </w:rPr>
        <w:t>”</w:t>
      </w:r>
      <w:r>
        <w:rPr/>
        <w:t>，公司持股比例</w:t>
      </w:r>
      <w:r>
        <w:rPr>
          <w:rFonts w:ascii="Times New Roman" w:hAnsi="Times New Roman" w:cs="Times New Roman" w:eastAsia="Times New Roman" w:hint="default"/>
        </w:rPr>
        <w:t>100%</w:t>
      </w:r>
      <w:r>
        <w:rPr/>
        <w:t>。于</w:t>
      </w:r>
    </w:p>
    <w:p>
      <w:pPr>
        <w:pStyle w:val="BodyText"/>
        <w:spacing w:line="240" w:lineRule="auto" w:before="62"/>
        <w:ind w:right="0"/>
        <w:jc w:val="left"/>
      </w:pPr>
      <w:r>
        <w:rPr>
          <w:rFonts w:ascii="Times New Roman" w:hAnsi="Times New Roman" w:cs="Times New Roman" w:eastAsia="Times New Roman" w:hint="default"/>
        </w:rPr>
        <w:t>2020</w:t>
      </w:r>
      <w:r>
        <w:rPr/>
        <w:t>年</w:t>
      </w:r>
      <w:r>
        <w:rPr>
          <w:rFonts w:ascii="Times New Roman" w:hAnsi="Times New Roman" w:cs="Times New Roman" w:eastAsia="Times New Roman" w:hint="default"/>
        </w:rPr>
        <w:t>4</w:t>
      </w:r>
      <w:r>
        <w:rPr/>
        <w:t>月完成工商注册登记。</w:t>
      </w:r>
    </w:p>
    <w:p>
      <w:pPr>
        <w:spacing w:after="0" w:line="240" w:lineRule="auto"/>
        <w:jc w:val="left"/>
        <w:sectPr>
          <w:pgSz w:w="11910" w:h="16840"/>
          <w:pgMar w:header="906" w:footer="1018" w:top="1100" w:bottom="1200" w:left="1020" w:right="0"/>
        </w:sectPr>
      </w:pPr>
    </w:p>
    <w:p>
      <w:pPr>
        <w:spacing w:line="240" w:lineRule="auto" w:before="8"/>
        <w:rPr>
          <w:rFonts w:ascii="宋体" w:hAnsi="宋体" w:cs="宋体" w:eastAsia="宋体" w:hint="default"/>
          <w:sz w:val="20"/>
          <w:szCs w:val="20"/>
        </w:rPr>
      </w:pPr>
    </w:p>
    <w:p>
      <w:pPr>
        <w:pStyle w:val="Heading2"/>
        <w:spacing w:line="240" w:lineRule="auto" w:before="26"/>
        <w:ind w:right="0"/>
        <w:jc w:val="left"/>
        <w:rPr>
          <w:b w:val="0"/>
          <w:bCs w:val="0"/>
        </w:rPr>
      </w:pPr>
      <w:r>
        <w:rPr/>
        <w:t>十六、其他重要事项</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r>
        <w:rPr>
          <w:rFonts w:ascii="Times New Roman" w:hAnsi="Times New Roman" w:cs="Times New Roman" w:eastAsia="Times New Roman" w:hint="default"/>
        </w:rPr>
        <w:t>1</w:t>
      </w:r>
      <w:r>
        <w:rPr/>
        <w:t>、前期会计差错更正</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t>（</w:t>
      </w:r>
      <w:r>
        <w:rPr>
          <w:rFonts w:ascii="Times New Roman" w:hAnsi="Times New Roman" w:cs="Times New Roman" w:eastAsia="Times New Roman" w:hint="default"/>
        </w:rPr>
        <w:t>1</w:t>
      </w:r>
      <w:r>
        <w:rPr/>
        <w:t>）追溯重述法</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493"/>
        <w:gridCol w:w="2295"/>
        <w:gridCol w:w="2390"/>
        <w:gridCol w:w="2390"/>
      </w:tblGrid>
      <w:tr>
        <w:trPr>
          <w:trHeight w:val="713" w:hRule="exact"/>
        </w:trPr>
        <w:tc>
          <w:tcPr>
            <w:tcW w:w="24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30" w:right="0"/>
              <w:jc w:val="left"/>
              <w:rPr>
                <w:rFonts w:ascii="宋体" w:hAnsi="宋体" w:cs="宋体" w:eastAsia="宋体" w:hint="default"/>
                <w:sz w:val="18"/>
                <w:szCs w:val="18"/>
              </w:rPr>
            </w:pPr>
            <w:r>
              <w:rPr>
                <w:rFonts w:ascii="宋体" w:hAnsi="宋体" w:cs="宋体" w:eastAsia="宋体" w:hint="default"/>
                <w:sz w:val="18"/>
                <w:szCs w:val="18"/>
              </w:rPr>
              <w:t>会计差错更正的内容</w:t>
            </w:r>
          </w:p>
        </w:tc>
        <w:tc>
          <w:tcPr>
            <w:tcW w:w="22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处理程序</w:t>
            </w:r>
          </w:p>
        </w:tc>
        <w:tc>
          <w:tcPr>
            <w:tcW w:w="23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829" w:right="108" w:hanging="720"/>
              <w:jc w:val="left"/>
              <w:rPr>
                <w:rFonts w:ascii="宋体" w:hAnsi="宋体" w:cs="宋体" w:eastAsia="宋体" w:hint="default"/>
                <w:sz w:val="18"/>
                <w:szCs w:val="18"/>
              </w:rPr>
            </w:pPr>
            <w:r>
              <w:rPr>
                <w:rFonts w:ascii="宋体" w:hAnsi="宋体" w:cs="宋体" w:eastAsia="宋体" w:hint="default"/>
                <w:sz w:val="18"/>
                <w:szCs w:val="18"/>
              </w:rPr>
              <w:t>受影响的各个比较期间报表 项目名称</w:t>
            </w:r>
          </w:p>
        </w:tc>
        <w:tc>
          <w:tcPr>
            <w:tcW w:w="23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739" w:right="0"/>
              <w:jc w:val="left"/>
              <w:rPr>
                <w:rFonts w:ascii="宋体" w:hAnsi="宋体" w:cs="宋体" w:eastAsia="宋体" w:hint="default"/>
                <w:sz w:val="18"/>
                <w:szCs w:val="18"/>
              </w:rPr>
            </w:pPr>
            <w:r>
              <w:rPr>
                <w:rFonts w:ascii="宋体" w:hAnsi="宋体" w:cs="宋体" w:eastAsia="宋体" w:hint="default"/>
                <w:sz w:val="18"/>
                <w:szCs w:val="18"/>
              </w:rPr>
              <w:t>累积影响数</w:t>
            </w:r>
          </w:p>
        </w:tc>
      </w:tr>
    </w:tbl>
    <w:p>
      <w:pPr>
        <w:spacing w:line="240" w:lineRule="auto" w:before="1"/>
        <w:rPr>
          <w:rFonts w:ascii="宋体" w:hAnsi="宋体" w:cs="宋体" w:eastAsia="宋体" w:hint="default"/>
          <w:sz w:val="19"/>
          <w:szCs w:val="19"/>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2</w:t>
      </w:r>
      <w:r>
        <w:rPr/>
        <w:t>）未来适用法</w:t>
      </w:r>
      <w:r>
        <w:rPr>
          <w:b w:val="0"/>
          <w:bCs w:val="0"/>
        </w:rPr>
      </w:r>
    </w:p>
    <w:p>
      <w:pPr>
        <w:spacing w:line="240" w:lineRule="auto" w:before="11"/>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3324"/>
        <w:gridCol w:w="3059"/>
        <w:gridCol w:w="3186"/>
      </w:tblGrid>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846" w:right="0"/>
              <w:jc w:val="left"/>
              <w:rPr>
                <w:rFonts w:ascii="宋体" w:hAnsi="宋体" w:cs="宋体" w:eastAsia="宋体" w:hint="default"/>
                <w:sz w:val="18"/>
                <w:szCs w:val="18"/>
              </w:rPr>
            </w:pPr>
            <w:r>
              <w:rPr>
                <w:rFonts w:ascii="宋体" w:hAnsi="宋体" w:cs="宋体" w:eastAsia="宋体" w:hint="default"/>
                <w:sz w:val="18"/>
                <w:szCs w:val="18"/>
              </w:rPr>
              <w:t>会计差错更正的内容</w:t>
            </w:r>
          </w:p>
        </w:tc>
        <w:tc>
          <w:tcPr>
            <w:tcW w:w="305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批准程序</w:t>
            </w:r>
          </w:p>
        </w:tc>
        <w:tc>
          <w:tcPr>
            <w:tcW w:w="318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688" w:right="0"/>
              <w:jc w:val="left"/>
              <w:rPr>
                <w:rFonts w:ascii="宋体" w:hAnsi="宋体" w:cs="宋体" w:eastAsia="宋体" w:hint="default"/>
                <w:sz w:val="18"/>
                <w:szCs w:val="18"/>
              </w:rPr>
            </w:pPr>
            <w:r>
              <w:rPr>
                <w:rFonts w:ascii="宋体" w:hAnsi="宋体" w:cs="宋体" w:eastAsia="宋体" w:hint="default"/>
                <w:sz w:val="18"/>
                <w:szCs w:val="18"/>
              </w:rPr>
              <w:t>采用未来适用法的原因</w:t>
            </w:r>
          </w:p>
        </w:tc>
      </w:tr>
    </w:tbl>
    <w:p>
      <w:pPr>
        <w:spacing w:line="240" w:lineRule="auto" w:before="2"/>
        <w:rPr>
          <w:rFonts w:ascii="宋体" w:hAnsi="宋体" w:cs="宋体" w:eastAsia="宋体" w:hint="default"/>
          <w:b/>
          <w:bCs/>
          <w:sz w:val="19"/>
          <w:szCs w:val="19"/>
        </w:rPr>
      </w:pPr>
    </w:p>
    <w:p>
      <w:pPr>
        <w:pStyle w:val="Heading3"/>
        <w:spacing w:line="240" w:lineRule="auto" w:before="35"/>
        <w:ind w:right="0"/>
        <w:jc w:val="left"/>
        <w:rPr>
          <w:b w:val="0"/>
          <w:bCs w:val="0"/>
        </w:rPr>
      </w:pPr>
      <w:r>
        <w:rPr>
          <w:rFonts w:ascii="Times New Roman" w:hAnsi="Times New Roman" w:cs="Times New Roman" w:eastAsia="Times New Roman" w:hint="default"/>
        </w:rPr>
        <w:t>2</w:t>
      </w:r>
      <w:r>
        <w:rPr/>
        <w:t>、债务重组</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rFonts w:ascii="Times New Roman" w:hAnsi="Times New Roman" w:cs="Times New Roman" w:eastAsia="Times New Roman" w:hint="default"/>
        </w:rPr>
        <w:t>3</w:t>
      </w:r>
      <w:r>
        <w:rPr/>
        <w:t>、资产置换</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t>（</w:t>
      </w:r>
      <w:r>
        <w:rPr>
          <w:rFonts w:ascii="Times New Roman" w:hAnsi="Times New Roman" w:cs="Times New Roman" w:eastAsia="Times New Roman" w:hint="default"/>
        </w:rPr>
        <w:t>1</w:t>
      </w:r>
      <w:r>
        <w:rPr/>
        <w:t>）非货币性资产交换</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r>
        <w:rPr/>
        <w:t>（</w:t>
      </w:r>
      <w:r>
        <w:rPr>
          <w:rFonts w:ascii="Times New Roman" w:hAnsi="Times New Roman" w:cs="Times New Roman" w:eastAsia="Times New Roman" w:hint="default"/>
        </w:rPr>
        <w:t>2</w:t>
      </w:r>
      <w:r>
        <w:rPr/>
        <w:t>）其他资产置换</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rFonts w:ascii="Times New Roman" w:hAnsi="Times New Roman" w:cs="Times New Roman" w:eastAsia="Times New Roman" w:hint="default"/>
        </w:rPr>
        <w:t>4</w:t>
      </w:r>
      <w:r>
        <w:rPr/>
        <w:t>、年金计划</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rFonts w:ascii="Times New Roman" w:hAnsi="Times New Roman" w:cs="Times New Roman" w:eastAsia="Times New Roman" w:hint="default"/>
        </w:rPr>
        <w:t>5</w:t>
      </w:r>
      <w:r>
        <w:rPr/>
        <w:t>、终止经营</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8"/>
        <w:gridCol w:w="1368"/>
        <w:gridCol w:w="1367"/>
        <w:gridCol w:w="1367"/>
        <w:gridCol w:w="1367"/>
        <w:gridCol w:w="1367"/>
        <w:gridCol w:w="1367"/>
      </w:tblGrid>
      <w:tr>
        <w:trPr>
          <w:trHeight w:val="355" w:hRule="exact"/>
        </w:trPr>
        <w:tc>
          <w:tcPr>
            <w:tcW w:w="1368" w:type="dxa"/>
            <w:tcBorders>
              <w:top w:val="single" w:sz="4" w:space="0" w:color="000000"/>
              <w:left w:val="single" w:sz="4" w:space="0" w:color="000000"/>
              <w:bottom w:val="nil" w:sz="6" w:space="0" w:color="auto"/>
              <w:right w:val="single" w:sz="4" w:space="0" w:color="000000"/>
            </w:tcBorders>
            <w:shd w:val="clear" w:color="auto" w:fill="D3D3D3"/>
          </w:tcPr>
          <w:p>
            <w:pPr/>
          </w:p>
        </w:tc>
        <w:tc>
          <w:tcPr>
            <w:tcW w:w="1368" w:type="dxa"/>
            <w:tcBorders>
              <w:top w:val="single" w:sz="4" w:space="0" w:color="000000"/>
              <w:left w:val="single" w:sz="4" w:space="0" w:color="000000"/>
              <w:bottom w:val="nil" w:sz="6" w:space="0" w:color="auto"/>
              <w:right w:val="single" w:sz="4" w:space="0" w:color="000000"/>
            </w:tcBorders>
            <w:shd w:val="clear" w:color="auto" w:fill="D3D3D3"/>
          </w:tcPr>
          <w:p>
            <w:pPr/>
          </w:p>
        </w:tc>
        <w:tc>
          <w:tcPr>
            <w:tcW w:w="1367" w:type="dxa"/>
            <w:tcBorders>
              <w:top w:val="single" w:sz="4" w:space="0" w:color="000000"/>
              <w:left w:val="single" w:sz="4" w:space="0" w:color="000000"/>
              <w:bottom w:val="nil" w:sz="6" w:space="0" w:color="auto"/>
              <w:right w:val="single" w:sz="4" w:space="0" w:color="000000"/>
            </w:tcBorders>
            <w:shd w:val="clear" w:color="auto" w:fill="D3D3D3"/>
          </w:tcPr>
          <w:p>
            <w:pPr/>
          </w:p>
        </w:tc>
        <w:tc>
          <w:tcPr>
            <w:tcW w:w="1367" w:type="dxa"/>
            <w:tcBorders>
              <w:top w:val="single" w:sz="4" w:space="0" w:color="000000"/>
              <w:left w:val="single" w:sz="4" w:space="0" w:color="000000"/>
              <w:bottom w:val="nil" w:sz="6" w:space="0" w:color="auto"/>
              <w:right w:val="single" w:sz="4" w:space="0" w:color="000000"/>
            </w:tcBorders>
            <w:shd w:val="clear" w:color="auto" w:fill="D3D3D3"/>
          </w:tcPr>
          <w:p>
            <w:pPr/>
          </w:p>
        </w:tc>
        <w:tc>
          <w:tcPr>
            <w:tcW w:w="1367" w:type="dxa"/>
            <w:tcBorders>
              <w:top w:val="single" w:sz="4" w:space="0" w:color="000000"/>
              <w:left w:val="single" w:sz="4" w:space="0" w:color="000000"/>
              <w:bottom w:val="nil" w:sz="6" w:space="0" w:color="auto"/>
              <w:right w:val="single" w:sz="4" w:space="0" w:color="000000"/>
            </w:tcBorders>
            <w:shd w:val="clear" w:color="auto" w:fill="D3D3D3"/>
          </w:tcPr>
          <w:p>
            <w:pPr/>
          </w:p>
        </w:tc>
        <w:tc>
          <w:tcPr>
            <w:tcW w:w="1367" w:type="dxa"/>
            <w:tcBorders>
              <w:top w:val="single" w:sz="4" w:space="0" w:color="000000"/>
              <w:left w:val="single" w:sz="4" w:space="0" w:color="000000"/>
              <w:bottom w:val="nil" w:sz="6" w:space="0" w:color="auto"/>
              <w:right w:val="single" w:sz="4" w:space="0" w:color="000000"/>
            </w:tcBorders>
            <w:shd w:val="clear" w:color="auto" w:fill="D3D3D3"/>
          </w:tcPr>
          <w:p>
            <w:pPr/>
          </w:p>
        </w:tc>
        <w:tc>
          <w:tcPr>
            <w:tcW w:w="1367" w:type="dxa"/>
            <w:tcBorders>
              <w:top w:val="single" w:sz="4" w:space="0" w:color="000000"/>
              <w:left w:val="single" w:sz="4" w:space="0" w:color="000000"/>
              <w:bottom w:val="nil" w:sz="6" w:space="0" w:color="auto"/>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归属于母公司</w:t>
            </w:r>
          </w:p>
        </w:tc>
      </w:tr>
      <w:tr>
        <w:trPr>
          <w:trHeight w:val="312" w:hRule="exact"/>
        </w:trPr>
        <w:tc>
          <w:tcPr>
            <w:tcW w:w="1368"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368"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收入</w:t>
            </w:r>
          </w:p>
        </w:tc>
        <w:tc>
          <w:tcPr>
            <w:tcW w:w="1367"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费用</w:t>
            </w:r>
          </w:p>
        </w:tc>
        <w:tc>
          <w:tcPr>
            <w:tcW w:w="1367"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10"/>
              <w:ind w:left="318"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1367"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10"/>
              <w:ind w:left="228"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1367"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10"/>
              <w:ind w:left="408"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367"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所有者的终止</w:t>
            </w:r>
          </w:p>
        </w:tc>
      </w:tr>
      <w:tr>
        <w:trPr>
          <w:trHeight w:val="358" w:hRule="exact"/>
        </w:trPr>
        <w:tc>
          <w:tcPr>
            <w:tcW w:w="1368" w:type="dxa"/>
            <w:tcBorders>
              <w:top w:val="nil" w:sz="6" w:space="0" w:color="auto"/>
              <w:left w:val="single" w:sz="4" w:space="0" w:color="000000"/>
              <w:bottom w:val="single" w:sz="4" w:space="0" w:color="000000"/>
              <w:right w:val="single" w:sz="4" w:space="0" w:color="000000"/>
            </w:tcBorders>
            <w:shd w:val="clear" w:color="auto" w:fill="D3D3D3"/>
          </w:tcPr>
          <w:p>
            <w:pPr/>
          </w:p>
        </w:tc>
        <w:tc>
          <w:tcPr>
            <w:tcW w:w="1368" w:type="dxa"/>
            <w:tcBorders>
              <w:top w:val="nil" w:sz="6" w:space="0" w:color="auto"/>
              <w:left w:val="single" w:sz="4" w:space="0" w:color="000000"/>
              <w:bottom w:val="single" w:sz="4" w:space="0" w:color="000000"/>
              <w:right w:val="single" w:sz="4" w:space="0" w:color="000000"/>
            </w:tcBorders>
            <w:shd w:val="clear" w:color="auto" w:fill="D3D3D3"/>
          </w:tcPr>
          <w:p>
            <w:pPr/>
          </w:p>
        </w:tc>
        <w:tc>
          <w:tcPr>
            <w:tcW w:w="1367" w:type="dxa"/>
            <w:tcBorders>
              <w:top w:val="nil" w:sz="6" w:space="0" w:color="auto"/>
              <w:left w:val="single" w:sz="4" w:space="0" w:color="000000"/>
              <w:bottom w:val="single" w:sz="4" w:space="0" w:color="000000"/>
              <w:right w:val="single" w:sz="4" w:space="0" w:color="000000"/>
            </w:tcBorders>
            <w:shd w:val="clear" w:color="auto" w:fill="D3D3D3"/>
          </w:tcPr>
          <w:p>
            <w:pPr/>
          </w:p>
        </w:tc>
        <w:tc>
          <w:tcPr>
            <w:tcW w:w="1367" w:type="dxa"/>
            <w:tcBorders>
              <w:top w:val="nil" w:sz="6" w:space="0" w:color="auto"/>
              <w:left w:val="single" w:sz="4" w:space="0" w:color="000000"/>
              <w:bottom w:val="single" w:sz="4" w:space="0" w:color="000000"/>
              <w:right w:val="single" w:sz="4" w:space="0" w:color="000000"/>
            </w:tcBorders>
            <w:shd w:val="clear" w:color="auto" w:fill="D3D3D3"/>
          </w:tcPr>
          <w:p>
            <w:pPr/>
          </w:p>
        </w:tc>
        <w:tc>
          <w:tcPr>
            <w:tcW w:w="1367" w:type="dxa"/>
            <w:tcBorders>
              <w:top w:val="nil" w:sz="6" w:space="0" w:color="auto"/>
              <w:left w:val="single" w:sz="4" w:space="0" w:color="000000"/>
              <w:bottom w:val="single" w:sz="4" w:space="0" w:color="000000"/>
              <w:right w:val="single" w:sz="4" w:space="0" w:color="000000"/>
            </w:tcBorders>
            <w:shd w:val="clear" w:color="auto" w:fill="D3D3D3"/>
          </w:tcPr>
          <w:p>
            <w:pPr/>
          </w:p>
        </w:tc>
        <w:tc>
          <w:tcPr>
            <w:tcW w:w="1367" w:type="dxa"/>
            <w:tcBorders>
              <w:top w:val="nil" w:sz="6" w:space="0" w:color="auto"/>
              <w:left w:val="single" w:sz="4" w:space="0" w:color="000000"/>
              <w:bottom w:val="single" w:sz="4" w:space="0" w:color="000000"/>
              <w:right w:val="single" w:sz="4" w:space="0" w:color="000000"/>
            </w:tcBorders>
            <w:shd w:val="clear" w:color="auto" w:fill="D3D3D3"/>
          </w:tcPr>
          <w:p>
            <w:pPr/>
          </w:p>
        </w:tc>
        <w:tc>
          <w:tcPr>
            <w:tcW w:w="1367" w:type="dxa"/>
            <w:tcBorders>
              <w:top w:val="nil" w:sz="6" w:space="0" w:color="auto"/>
              <w:left w:val="single" w:sz="4" w:space="0" w:color="000000"/>
              <w:bottom w:val="single" w:sz="4" w:space="0" w:color="000000"/>
              <w:right w:val="single" w:sz="4" w:space="0" w:color="000000"/>
            </w:tcBorders>
            <w:shd w:val="clear" w:color="auto" w:fill="D3D3D3"/>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经营利润</w:t>
            </w:r>
          </w:p>
        </w:tc>
      </w:tr>
    </w:tbl>
    <w:p>
      <w:pPr>
        <w:pStyle w:val="BodyText"/>
        <w:spacing w:line="240" w:lineRule="auto" w:before="49"/>
        <w:ind w:right="0"/>
        <w:jc w:val="left"/>
      </w:pPr>
      <w:r>
        <w:rPr/>
        <w:t>其他说明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6</w:t>
      </w:r>
      <w:r>
        <w:rPr/>
        <w:t>、分部信息</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r>
        <w:rPr/>
        <w:t>（</w:t>
      </w:r>
      <w:r>
        <w:rPr>
          <w:rFonts w:ascii="Times New Roman" w:hAnsi="Times New Roman" w:cs="Times New Roman" w:eastAsia="Times New Roman" w:hint="default"/>
        </w:rPr>
        <w:t>1</w:t>
      </w:r>
      <w:r>
        <w:rPr/>
        <w:t>）报告分部的确定依据与会计政策</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t>（</w:t>
      </w:r>
      <w:r>
        <w:rPr>
          <w:rFonts w:ascii="Times New Roman" w:hAnsi="Times New Roman" w:cs="Times New Roman" w:eastAsia="Times New Roman" w:hint="default"/>
        </w:rPr>
        <w:t>2</w:t>
      </w:r>
      <w:r>
        <w:rPr/>
        <w:t>）报告分部的财务信息</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957"/>
        <w:gridCol w:w="957"/>
        <w:gridCol w:w="957"/>
        <w:gridCol w:w="957"/>
        <w:gridCol w:w="957"/>
        <w:gridCol w:w="957"/>
        <w:gridCol w:w="957"/>
        <w:gridCol w:w="957"/>
        <w:gridCol w:w="957"/>
        <w:gridCol w:w="957"/>
      </w:tblGrid>
      <w:tr>
        <w:trPr>
          <w:trHeight w:val="713" w:hRule="exact"/>
        </w:trPr>
        <w:tc>
          <w:tcPr>
            <w:tcW w:w="95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95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02" w:right="0"/>
              <w:jc w:val="left"/>
              <w:rPr>
                <w:rFonts w:ascii="宋体" w:hAnsi="宋体" w:cs="宋体" w:eastAsia="宋体" w:hint="default"/>
                <w:sz w:val="18"/>
                <w:szCs w:val="18"/>
              </w:rPr>
            </w:pPr>
            <w:r>
              <w:rPr>
                <w:rFonts w:ascii="宋体" w:hAnsi="宋体" w:cs="宋体" w:eastAsia="宋体" w:hint="default"/>
                <w:sz w:val="18"/>
                <w:szCs w:val="18"/>
              </w:rPr>
              <w:t>制卡类</w:t>
            </w:r>
          </w:p>
        </w:tc>
        <w:tc>
          <w:tcPr>
            <w:tcW w:w="95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49"/>
              <w:ind w:left="382" w:right="112" w:hanging="270"/>
              <w:jc w:val="left"/>
              <w:rPr>
                <w:rFonts w:ascii="宋体" w:hAnsi="宋体" w:cs="宋体" w:eastAsia="宋体" w:hint="default"/>
                <w:sz w:val="18"/>
                <w:szCs w:val="18"/>
              </w:rPr>
            </w:pPr>
            <w:r>
              <w:rPr>
                <w:rFonts w:ascii="宋体" w:hAnsi="宋体" w:cs="宋体" w:eastAsia="宋体" w:hint="default"/>
                <w:sz w:val="18"/>
                <w:szCs w:val="18"/>
              </w:rPr>
              <w:t>特种物联 网</w:t>
            </w:r>
          </w:p>
        </w:tc>
        <w:tc>
          <w:tcPr>
            <w:tcW w:w="95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02" w:right="0"/>
              <w:jc w:val="left"/>
              <w:rPr>
                <w:rFonts w:ascii="宋体" w:hAnsi="宋体" w:cs="宋体" w:eastAsia="宋体" w:hint="default"/>
                <w:sz w:val="18"/>
                <w:szCs w:val="18"/>
              </w:rPr>
            </w:pPr>
            <w:r>
              <w:rPr>
                <w:rFonts w:ascii="宋体" w:hAnsi="宋体" w:cs="宋体" w:eastAsia="宋体" w:hint="default"/>
                <w:sz w:val="18"/>
                <w:szCs w:val="18"/>
              </w:rPr>
              <w:t>模块类</w:t>
            </w:r>
          </w:p>
        </w:tc>
        <w:tc>
          <w:tcPr>
            <w:tcW w:w="95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49"/>
              <w:ind w:left="202" w:right="112" w:hanging="90"/>
              <w:jc w:val="left"/>
              <w:rPr>
                <w:rFonts w:ascii="宋体" w:hAnsi="宋体" w:cs="宋体" w:eastAsia="宋体" w:hint="default"/>
                <w:sz w:val="18"/>
                <w:szCs w:val="18"/>
              </w:rPr>
            </w:pPr>
            <w:r>
              <w:rPr>
                <w:rFonts w:ascii="宋体" w:hAnsi="宋体" w:cs="宋体" w:eastAsia="宋体" w:hint="default"/>
                <w:sz w:val="18"/>
                <w:szCs w:val="18"/>
              </w:rPr>
              <w:t>网络版会 员软件</w:t>
            </w:r>
          </w:p>
        </w:tc>
        <w:tc>
          <w:tcPr>
            <w:tcW w:w="95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49"/>
              <w:ind w:left="112" w:right="112"/>
              <w:jc w:val="left"/>
              <w:rPr>
                <w:rFonts w:ascii="宋体" w:hAnsi="宋体" w:cs="宋体" w:eastAsia="宋体" w:hint="default"/>
                <w:sz w:val="18"/>
                <w:szCs w:val="18"/>
              </w:rPr>
            </w:pPr>
            <w:r>
              <w:rPr>
                <w:rFonts w:ascii="宋体" w:hAnsi="宋体" w:cs="宋体" w:eastAsia="宋体" w:hint="default"/>
                <w:sz w:val="18"/>
                <w:szCs w:val="18"/>
              </w:rPr>
              <w:t>电子智能 支付设备</w:t>
            </w:r>
          </w:p>
        </w:tc>
        <w:tc>
          <w:tcPr>
            <w:tcW w:w="95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02" w:right="0"/>
              <w:jc w:val="left"/>
              <w:rPr>
                <w:rFonts w:ascii="宋体" w:hAnsi="宋体" w:cs="宋体" w:eastAsia="宋体" w:hint="default"/>
                <w:sz w:val="18"/>
                <w:szCs w:val="18"/>
              </w:rPr>
            </w:pPr>
            <w:r>
              <w:rPr>
                <w:rFonts w:ascii="宋体" w:hAnsi="宋体" w:cs="宋体" w:eastAsia="宋体" w:hint="default"/>
                <w:sz w:val="18"/>
                <w:szCs w:val="18"/>
              </w:rPr>
              <w:t>票证类</w:t>
            </w:r>
          </w:p>
        </w:tc>
        <w:tc>
          <w:tcPr>
            <w:tcW w:w="95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12"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95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49"/>
              <w:ind w:left="382" w:right="112" w:hanging="270"/>
              <w:jc w:val="left"/>
              <w:rPr>
                <w:rFonts w:ascii="宋体" w:hAnsi="宋体" w:cs="宋体" w:eastAsia="宋体" w:hint="default"/>
                <w:sz w:val="18"/>
                <w:szCs w:val="18"/>
              </w:rPr>
            </w:pPr>
            <w:r>
              <w:rPr>
                <w:rFonts w:ascii="宋体" w:hAnsi="宋体" w:cs="宋体" w:eastAsia="宋体" w:hint="default"/>
                <w:sz w:val="18"/>
                <w:szCs w:val="18"/>
              </w:rPr>
              <w:t>分部间抵 销</w:t>
            </w:r>
          </w:p>
        </w:tc>
        <w:tc>
          <w:tcPr>
            <w:tcW w:w="95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92" w:right="0"/>
              <w:jc w:val="left"/>
              <w:rPr>
                <w:rFonts w:ascii="宋体" w:hAnsi="宋体" w:cs="宋体" w:eastAsia="宋体" w:hint="default"/>
                <w:sz w:val="18"/>
                <w:szCs w:val="18"/>
              </w:rPr>
            </w:pPr>
            <w:r>
              <w:rPr>
                <w:rFonts w:ascii="宋体" w:hAnsi="宋体" w:cs="宋体" w:eastAsia="宋体" w:hint="default"/>
                <w:sz w:val="18"/>
                <w:szCs w:val="18"/>
              </w:rPr>
              <w:t>合计</w:t>
            </w:r>
          </w:p>
        </w:tc>
      </w:tr>
      <w:tr>
        <w:trPr>
          <w:trHeight w:val="714" w:hRule="exact"/>
        </w:trPr>
        <w:tc>
          <w:tcPr>
            <w:tcW w:w="95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0"/>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9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3" w:right="0"/>
              <w:jc w:val="left"/>
              <w:rPr>
                <w:rFonts w:ascii="Times New Roman" w:hAnsi="Times New Roman" w:cs="Times New Roman" w:eastAsia="Times New Roman" w:hint="default"/>
                <w:sz w:val="18"/>
                <w:szCs w:val="18"/>
              </w:rPr>
            </w:pPr>
            <w:r>
              <w:rPr>
                <w:rFonts w:ascii="Times New Roman"/>
                <w:sz w:val="18"/>
              </w:rPr>
              <w:t>904,981,5</w:t>
            </w:r>
          </w:p>
          <w:p>
            <w:pPr>
              <w:pStyle w:val="TableParagraph"/>
              <w:spacing w:line="240" w:lineRule="auto" w:before="105"/>
              <w:ind w:left="438" w:right="0"/>
              <w:jc w:val="left"/>
              <w:rPr>
                <w:rFonts w:ascii="Times New Roman" w:hAnsi="Times New Roman" w:cs="Times New Roman" w:eastAsia="Times New Roman" w:hint="default"/>
                <w:sz w:val="18"/>
                <w:szCs w:val="18"/>
              </w:rPr>
            </w:pPr>
            <w:r>
              <w:rPr>
                <w:rFonts w:ascii="Times New Roman"/>
                <w:sz w:val="18"/>
              </w:rPr>
              <w:t>67.64</w:t>
            </w:r>
          </w:p>
        </w:tc>
        <w:tc>
          <w:tcPr>
            <w:tcW w:w="9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3" w:right="0"/>
              <w:jc w:val="left"/>
              <w:rPr>
                <w:rFonts w:ascii="Times New Roman" w:hAnsi="Times New Roman" w:cs="Times New Roman" w:eastAsia="Times New Roman" w:hint="default"/>
                <w:sz w:val="18"/>
                <w:szCs w:val="18"/>
              </w:rPr>
            </w:pPr>
            <w:r>
              <w:rPr>
                <w:rFonts w:ascii="Times New Roman"/>
                <w:sz w:val="18"/>
              </w:rPr>
              <w:t>399,394,9</w:t>
            </w:r>
          </w:p>
          <w:p>
            <w:pPr>
              <w:pStyle w:val="TableParagraph"/>
              <w:spacing w:line="240" w:lineRule="auto" w:before="105"/>
              <w:ind w:left="438" w:right="0"/>
              <w:jc w:val="left"/>
              <w:rPr>
                <w:rFonts w:ascii="Times New Roman" w:hAnsi="Times New Roman" w:cs="Times New Roman" w:eastAsia="Times New Roman" w:hint="default"/>
                <w:sz w:val="18"/>
                <w:szCs w:val="18"/>
              </w:rPr>
            </w:pPr>
            <w:r>
              <w:rPr>
                <w:rFonts w:ascii="Times New Roman"/>
                <w:sz w:val="18"/>
              </w:rPr>
              <w:t>55.81</w:t>
            </w:r>
          </w:p>
        </w:tc>
        <w:tc>
          <w:tcPr>
            <w:tcW w:w="9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3" w:right="0"/>
              <w:jc w:val="left"/>
              <w:rPr>
                <w:rFonts w:ascii="Times New Roman" w:hAnsi="Times New Roman" w:cs="Times New Roman" w:eastAsia="Times New Roman" w:hint="default"/>
                <w:sz w:val="18"/>
                <w:szCs w:val="18"/>
              </w:rPr>
            </w:pPr>
            <w:r>
              <w:rPr>
                <w:rFonts w:ascii="Times New Roman"/>
                <w:sz w:val="18"/>
              </w:rPr>
              <w:t>146,100,9</w:t>
            </w:r>
          </w:p>
          <w:p>
            <w:pPr>
              <w:pStyle w:val="TableParagraph"/>
              <w:spacing w:line="240" w:lineRule="auto" w:before="105"/>
              <w:ind w:left="438" w:right="0"/>
              <w:jc w:val="left"/>
              <w:rPr>
                <w:rFonts w:ascii="Times New Roman" w:hAnsi="Times New Roman" w:cs="Times New Roman" w:eastAsia="Times New Roman" w:hint="default"/>
                <w:sz w:val="18"/>
                <w:szCs w:val="18"/>
              </w:rPr>
            </w:pPr>
            <w:r>
              <w:rPr>
                <w:rFonts w:ascii="Times New Roman"/>
                <w:sz w:val="18"/>
              </w:rPr>
              <w:t>83.75</w:t>
            </w:r>
          </w:p>
        </w:tc>
        <w:tc>
          <w:tcPr>
            <w:tcW w:w="9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3" w:right="0"/>
              <w:jc w:val="left"/>
              <w:rPr>
                <w:rFonts w:ascii="Times New Roman" w:hAnsi="Times New Roman" w:cs="Times New Roman" w:eastAsia="Times New Roman" w:hint="default"/>
                <w:sz w:val="18"/>
                <w:szCs w:val="18"/>
              </w:rPr>
            </w:pPr>
            <w:r>
              <w:rPr>
                <w:rFonts w:ascii="Times New Roman"/>
                <w:sz w:val="18"/>
              </w:rPr>
              <w:t>47,100,30</w:t>
            </w:r>
          </w:p>
          <w:p>
            <w:pPr>
              <w:pStyle w:val="TableParagraph"/>
              <w:spacing w:line="240" w:lineRule="auto" w:before="105"/>
              <w:ind w:left="528" w:right="0"/>
              <w:jc w:val="left"/>
              <w:rPr>
                <w:rFonts w:ascii="Times New Roman" w:hAnsi="Times New Roman" w:cs="Times New Roman" w:eastAsia="Times New Roman" w:hint="default"/>
                <w:sz w:val="18"/>
                <w:szCs w:val="18"/>
              </w:rPr>
            </w:pPr>
            <w:r>
              <w:rPr>
                <w:rFonts w:ascii="Times New Roman"/>
                <w:sz w:val="18"/>
              </w:rPr>
              <w:t>1.76</w:t>
            </w:r>
          </w:p>
        </w:tc>
        <w:tc>
          <w:tcPr>
            <w:tcW w:w="9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3" w:right="0"/>
              <w:jc w:val="left"/>
              <w:rPr>
                <w:rFonts w:ascii="Times New Roman" w:hAnsi="Times New Roman" w:cs="Times New Roman" w:eastAsia="Times New Roman" w:hint="default"/>
                <w:sz w:val="18"/>
                <w:szCs w:val="18"/>
              </w:rPr>
            </w:pPr>
            <w:r>
              <w:rPr>
                <w:rFonts w:ascii="Times New Roman"/>
                <w:sz w:val="18"/>
              </w:rPr>
              <w:t>28,425,68</w:t>
            </w:r>
          </w:p>
          <w:p>
            <w:pPr>
              <w:pStyle w:val="TableParagraph"/>
              <w:spacing w:line="240" w:lineRule="auto" w:before="105"/>
              <w:ind w:left="528" w:right="0"/>
              <w:jc w:val="left"/>
              <w:rPr>
                <w:rFonts w:ascii="Times New Roman" w:hAnsi="Times New Roman" w:cs="Times New Roman" w:eastAsia="Times New Roman" w:hint="default"/>
                <w:sz w:val="18"/>
                <w:szCs w:val="18"/>
              </w:rPr>
            </w:pPr>
            <w:r>
              <w:rPr>
                <w:rFonts w:ascii="Times New Roman"/>
                <w:sz w:val="18"/>
              </w:rPr>
              <w:t>8.81</w:t>
            </w:r>
          </w:p>
        </w:tc>
        <w:tc>
          <w:tcPr>
            <w:tcW w:w="9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3" w:right="0"/>
              <w:jc w:val="left"/>
              <w:rPr>
                <w:rFonts w:ascii="Times New Roman" w:hAnsi="Times New Roman" w:cs="Times New Roman" w:eastAsia="Times New Roman" w:hint="default"/>
                <w:sz w:val="18"/>
                <w:szCs w:val="18"/>
              </w:rPr>
            </w:pPr>
            <w:r>
              <w:rPr>
                <w:rFonts w:ascii="Times New Roman"/>
                <w:sz w:val="18"/>
              </w:rPr>
              <w:t>5,799,914</w:t>
            </w:r>
          </w:p>
          <w:p>
            <w:pPr>
              <w:pStyle w:val="TableParagraph"/>
              <w:spacing w:line="240" w:lineRule="auto" w:before="105"/>
              <w:ind w:left="618" w:right="0"/>
              <w:jc w:val="left"/>
              <w:rPr>
                <w:rFonts w:ascii="Times New Roman" w:hAnsi="Times New Roman" w:cs="Times New Roman" w:eastAsia="Times New Roman" w:hint="default"/>
                <w:sz w:val="18"/>
                <w:szCs w:val="18"/>
              </w:rPr>
            </w:pPr>
            <w:r>
              <w:rPr>
                <w:rFonts w:ascii="Times New Roman"/>
                <w:sz w:val="18"/>
              </w:rPr>
              <w:t>.52</w:t>
            </w:r>
          </w:p>
        </w:tc>
        <w:tc>
          <w:tcPr>
            <w:tcW w:w="9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3" w:right="0"/>
              <w:jc w:val="left"/>
              <w:rPr>
                <w:rFonts w:ascii="Times New Roman" w:hAnsi="Times New Roman" w:cs="Times New Roman" w:eastAsia="Times New Roman" w:hint="default"/>
                <w:sz w:val="18"/>
                <w:szCs w:val="18"/>
              </w:rPr>
            </w:pPr>
            <w:r>
              <w:rPr>
                <w:rFonts w:ascii="Times New Roman"/>
                <w:sz w:val="18"/>
              </w:rPr>
              <w:t>3,663,843</w:t>
            </w:r>
          </w:p>
          <w:p>
            <w:pPr>
              <w:pStyle w:val="TableParagraph"/>
              <w:spacing w:line="240" w:lineRule="auto" w:before="105"/>
              <w:ind w:left="618" w:right="0"/>
              <w:jc w:val="left"/>
              <w:rPr>
                <w:rFonts w:ascii="Times New Roman" w:hAnsi="Times New Roman" w:cs="Times New Roman" w:eastAsia="Times New Roman" w:hint="default"/>
                <w:sz w:val="18"/>
                <w:szCs w:val="18"/>
              </w:rPr>
            </w:pPr>
            <w:r>
              <w:rPr>
                <w:rFonts w:ascii="Times New Roman"/>
                <w:sz w:val="18"/>
              </w:rPr>
              <w:t>.06</w:t>
            </w:r>
          </w:p>
        </w:tc>
        <w:tc>
          <w:tcPr>
            <w:tcW w:w="957" w:type="dxa"/>
            <w:tcBorders>
              <w:top w:val="single" w:sz="4" w:space="0" w:color="000000"/>
              <w:left w:val="single" w:sz="4" w:space="0" w:color="000000"/>
              <w:bottom w:val="single" w:sz="4" w:space="0" w:color="000000"/>
              <w:right w:val="single" w:sz="4" w:space="0" w:color="000000"/>
            </w:tcBorders>
          </w:tcPr>
          <w:p>
            <w:pPr/>
          </w:p>
        </w:tc>
        <w:tc>
          <w:tcPr>
            <w:tcW w:w="9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9" w:right="0"/>
              <w:jc w:val="center"/>
              <w:rPr>
                <w:rFonts w:ascii="Times New Roman" w:hAnsi="Times New Roman" w:cs="Times New Roman" w:eastAsia="Times New Roman" w:hint="default"/>
                <w:sz w:val="18"/>
                <w:szCs w:val="18"/>
              </w:rPr>
            </w:pPr>
            <w:r>
              <w:rPr>
                <w:rFonts w:ascii="Times New Roman"/>
                <w:sz w:val="18"/>
              </w:rPr>
              <w:t>1,535,467</w:t>
            </w:r>
          </w:p>
          <w:p>
            <w:pPr>
              <w:pStyle w:val="TableParagraph"/>
              <w:spacing w:line="240" w:lineRule="auto" w:before="105"/>
              <w:ind w:left="199" w:right="0"/>
              <w:jc w:val="center"/>
              <w:rPr>
                <w:rFonts w:ascii="Times New Roman" w:hAnsi="Times New Roman" w:cs="Times New Roman" w:eastAsia="Times New Roman" w:hint="default"/>
                <w:sz w:val="18"/>
                <w:szCs w:val="18"/>
              </w:rPr>
            </w:pPr>
            <w:r>
              <w:rPr>
                <w:rFonts w:ascii="Times New Roman"/>
                <w:sz w:val="18"/>
              </w:rPr>
              <w:t>,255.35</w:t>
            </w:r>
          </w:p>
        </w:tc>
      </w:tr>
    </w:tbl>
    <w:p>
      <w:pPr>
        <w:spacing w:after="0" w:line="240" w:lineRule="auto"/>
        <w:jc w:val="center"/>
        <w:rPr>
          <w:rFonts w:ascii="Times New Roman" w:hAnsi="Times New Roman" w:cs="Times New Roman" w:eastAsia="Times New Roman" w:hint="default"/>
          <w:sz w:val="18"/>
          <w:szCs w:val="18"/>
        </w:rPr>
        <w:sectPr>
          <w:headerReference w:type="default" r:id="rId22"/>
          <w:pgSz w:w="11910" w:h="16840"/>
          <w:pgMar w:header="906" w:footer="1018" w:top="1100" w:bottom="1200" w:left="1020" w:right="0"/>
        </w:sectPr>
      </w:pPr>
    </w:p>
    <w:p>
      <w:pPr>
        <w:spacing w:line="240" w:lineRule="auto" w:before="7"/>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957"/>
        <w:gridCol w:w="957"/>
        <w:gridCol w:w="957"/>
        <w:gridCol w:w="957"/>
        <w:gridCol w:w="957"/>
        <w:gridCol w:w="957"/>
        <w:gridCol w:w="957"/>
        <w:gridCol w:w="957"/>
        <w:gridCol w:w="957"/>
        <w:gridCol w:w="957"/>
      </w:tblGrid>
      <w:tr>
        <w:trPr>
          <w:trHeight w:val="714" w:hRule="exact"/>
        </w:trPr>
        <w:tc>
          <w:tcPr>
            <w:tcW w:w="95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9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3" w:right="0"/>
              <w:jc w:val="left"/>
              <w:rPr>
                <w:rFonts w:ascii="Times New Roman" w:hAnsi="Times New Roman" w:cs="Times New Roman" w:eastAsia="Times New Roman" w:hint="default"/>
                <w:sz w:val="18"/>
                <w:szCs w:val="18"/>
              </w:rPr>
            </w:pPr>
            <w:r>
              <w:rPr>
                <w:rFonts w:ascii="Times New Roman"/>
                <w:sz w:val="18"/>
              </w:rPr>
              <w:t>648,936,0</w:t>
            </w:r>
          </w:p>
          <w:p>
            <w:pPr>
              <w:pStyle w:val="TableParagraph"/>
              <w:spacing w:line="240" w:lineRule="auto" w:before="105"/>
              <w:ind w:left="438" w:right="0"/>
              <w:jc w:val="left"/>
              <w:rPr>
                <w:rFonts w:ascii="Times New Roman" w:hAnsi="Times New Roman" w:cs="Times New Roman" w:eastAsia="Times New Roman" w:hint="default"/>
                <w:sz w:val="18"/>
                <w:szCs w:val="18"/>
              </w:rPr>
            </w:pPr>
            <w:r>
              <w:rPr>
                <w:rFonts w:ascii="Times New Roman"/>
                <w:sz w:val="18"/>
              </w:rPr>
              <w:t>65.39</w:t>
            </w:r>
          </w:p>
        </w:tc>
        <w:tc>
          <w:tcPr>
            <w:tcW w:w="9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3" w:right="0"/>
              <w:jc w:val="left"/>
              <w:rPr>
                <w:rFonts w:ascii="Times New Roman" w:hAnsi="Times New Roman" w:cs="Times New Roman" w:eastAsia="Times New Roman" w:hint="default"/>
                <w:sz w:val="18"/>
                <w:szCs w:val="18"/>
              </w:rPr>
            </w:pPr>
            <w:r>
              <w:rPr>
                <w:rFonts w:ascii="Times New Roman"/>
                <w:sz w:val="18"/>
              </w:rPr>
              <w:t>351,429,8</w:t>
            </w:r>
          </w:p>
          <w:p>
            <w:pPr>
              <w:pStyle w:val="TableParagraph"/>
              <w:spacing w:line="240" w:lineRule="auto" w:before="105"/>
              <w:ind w:left="438" w:right="0"/>
              <w:jc w:val="left"/>
              <w:rPr>
                <w:rFonts w:ascii="Times New Roman" w:hAnsi="Times New Roman" w:cs="Times New Roman" w:eastAsia="Times New Roman" w:hint="default"/>
                <w:sz w:val="18"/>
                <w:szCs w:val="18"/>
              </w:rPr>
            </w:pPr>
            <w:r>
              <w:rPr>
                <w:rFonts w:ascii="Times New Roman"/>
                <w:sz w:val="18"/>
              </w:rPr>
              <w:t>23.08</w:t>
            </w:r>
          </w:p>
        </w:tc>
        <w:tc>
          <w:tcPr>
            <w:tcW w:w="9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3" w:right="0"/>
              <w:jc w:val="left"/>
              <w:rPr>
                <w:rFonts w:ascii="Times New Roman" w:hAnsi="Times New Roman" w:cs="Times New Roman" w:eastAsia="Times New Roman" w:hint="default"/>
                <w:sz w:val="18"/>
                <w:szCs w:val="18"/>
              </w:rPr>
            </w:pPr>
            <w:r>
              <w:rPr>
                <w:rFonts w:ascii="Times New Roman"/>
                <w:sz w:val="18"/>
              </w:rPr>
              <w:t>129,066,0</w:t>
            </w:r>
          </w:p>
          <w:p>
            <w:pPr>
              <w:pStyle w:val="TableParagraph"/>
              <w:spacing w:line="240" w:lineRule="auto" w:before="105"/>
              <w:ind w:left="438" w:right="0"/>
              <w:jc w:val="left"/>
              <w:rPr>
                <w:rFonts w:ascii="Times New Roman" w:hAnsi="Times New Roman" w:cs="Times New Roman" w:eastAsia="Times New Roman" w:hint="default"/>
                <w:sz w:val="18"/>
                <w:szCs w:val="18"/>
              </w:rPr>
            </w:pPr>
            <w:r>
              <w:rPr>
                <w:rFonts w:ascii="Times New Roman"/>
                <w:sz w:val="18"/>
              </w:rPr>
              <w:t>71.39</w:t>
            </w:r>
          </w:p>
        </w:tc>
        <w:tc>
          <w:tcPr>
            <w:tcW w:w="9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3" w:right="0"/>
              <w:jc w:val="left"/>
              <w:rPr>
                <w:rFonts w:ascii="Times New Roman" w:hAnsi="Times New Roman" w:cs="Times New Roman" w:eastAsia="Times New Roman" w:hint="default"/>
                <w:sz w:val="18"/>
                <w:szCs w:val="18"/>
              </w:rPr>
            </w:pPr>
            <w:r>
              <w:rPr>
                <w:rFonts w:ascii="Times New Roman"/>
                <w:sz w:val="18"/>
              </w:rPr>
              <w:t>7,361,978</w:t>
            </w:r>
          </w:p>
          <w:p>
            <w:pPr>
              <w:pStyle w:val="TableParagraph"/>
              <w:spacing w:line="240" w:lineRule="auto" w:before="105"/>
              <w:ind w:left="618" w:right="0"/>
              <w:jc w:val="left"/>
              <w:rPr>
                <w:rFonts w:ascii="Times New Roman" w:hAnsi="Times New Roman" w:cs="Times New Roman" w:eastAsia="Times New Roman" w:hint="default"/>
                <w:sz w:val="18"/>
                <w:szCs w:val="18"/>
              </w:rPr>
            </w:pPr>
            <w:r>
              <w:rPr>
                <w:rFonts w:ascii="Times New Roman"/>
                <w:sz w:val="18"/>
              </w:rPr>
              <w:t>.21</w:t>
            </w:r>
          </w:p>
        </w:tc>
        <w:tc>
          <w:tcPr>
            <w:tcW w:w="9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3" w:right="0"/>
              <w:jc w:val="left"/>
              <w:rPr>
                <w:rFonts w:ascii="Times New Roman" w:hAnsi="Times New Roman" w:cs="Times New Roman" w:eastAsia="Times New Roman" w:hint="default"/>
                <w:sz w:val="18"/>
                <w:szCs w:val="18"/>
              </w:rPr>
            </w:pPr>
            <w:r>
              <w:rPr>
                <w:rFonts w:ascii="Times New Roman"/>
                <w:sz w:val="18"/>
              </w:rPr>
              <w:t>25,612,69</w:t>
            </w:r>
          </w:p>
          <w:p>
            <w:pPr>
              <w:pStyle w:val="TableParagraph"/>
              <w:spacing w:line="240" w:lineRule="auto" w:before="105"/>
              <w:ind w:left="528" w:right="0"/>
              <w:jc w:val="left"/>
              <w:rPr>
                <w:rFonts w:ascii="Times New Roman" w:hAnsi="Times New Roman" w:cs="Times New Roman" w:eastAsia="Times New Roman" w:hint="default"/>
                <w:sz w:val="18"/>
                <w:szCs w:val="18"/>
              </w:rPr>
            </w:pPr>
            <w:r>
              <w:rPr>
                <w:rFonts w:ascii="Times New Roman"/>
                <w:sz w:val="18"/>
              </w:rPr>
              <w:t>4.53</w:t>
            </w:r>
          </w:p>
        </w:tc>
        <w:tc>
          <w:tcPr>
            <w:tcW w:w="9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3" w:right="0"/>
              <w:jc w:val="left"/>
              <w:rPr>
                <w:rFonts w:ascii="Times New Roman" w:hAnsi="Times New Roman" w:cs="Times New Roman" w:eastAsia="Times New Roman" w:hint="default"/>
                <w:sz w:val="18"/>
                <w:szCs w:val="18"/>
              </w:rPr>
            </w:pPr>
            <w:r>
              <w:rPr>
                <w:rFonts w:ascii="Times New Roman"/>
                <w:sz w:val="18"/>
              </w:rPr>
              <w:t>3,942,277</w:t>
            </w:r>
          </w:p>
          <w:p>
            <w:pPr>
              <w:pStyle w:val="TableParagraph"/>
              <w:spacing w:line="240" w:lineRule="auto" w:before="105"/>
              <w:ind w:left="618" w:right="0"/>
              <w:jc w:val="left"/>
              <w:rPr>
                <w:rFonts w:ascii="Times New Roman" w:hAnsi="Times New Roman" w:cs="Times New Roman" w:eastAsia="Times New Roman" w:hint="default"/>
                <w:sz w:val="18"/>
                <w:szCs w:val="18"/>
              </w:rPr>
            </w:pPr>
            <w:r>
              <w:rPr>
                <w:rFonts w:ascii="Times New Roman"/>
                <w:sz w:val="18"/>
              </w:rPr>
              <w:t>.50</w:t>
            </w:r>
          </w:p>
        </w:tc>
        <w:tc>
          <w:tcPr>
            <w:tcW w:w="9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3" w:right="0"/>
              <w:jc w:val="left"/>
              <w:rPr>
                <w:rFonts w:ascii="Times New Roman" w:hAnsi="Times New Roman" w:cs="Times New Roman" w:eastAsia="Times New Roman" w:hint="default"/>
                <w:sz w:val="18"/>
                <w:szCs w:val="18"/>
              </w:rPr>
            </w:pPr>
            <w:r>
              <w:rPr>
                <w:rFonts w:ascii="Times New Roman"/>
                <w:sz w:val="18"/>
              </w:rPr>
              <w:t>3,060,497</w:t>
            </w:r>
          </w:p>
          <w:p>
            <w:pPr>
              <w:pStyle w:val="TableParagraph"/>
              <w:spacing w:line="240" w:lineRule="auto" w:before="105"/>
              <w:ind w:left="618" w:right="0"/>
              <w:jc w:val="left"/>
              <w:rPr>
                <w:rFonts w:ascii="Times New Roman" w:hAnsi="Times New Roman" w:cs="Times New Roman" w:eastAsia="Times New Roman" w:hint="default"/>
                <w:sz w:val="18"/>
                <w:szCs w:val="18"/>
              </w:rPr>
            </w:pPr>
            <w:r>
              <w:rPr>
                <w:rFonts w:ascii="Times New Roman"/>
                <w:sz w:val="18"/>
              </w:rPr>
              <w:t>.71</w:t>
            </w:r>
          </w:p>
        </w:tc>
        <w:tc>
          <w:tcPr>
            <w:tcW w:w="957" w:type="dxa"/>
            <w:tcBorders>
              <w:top w:val="single" w:sz="4" w:space="0" w:color="000000"/>
              <w:left w:val="single" w:sz="4" w:space="0" w:color="000000"/>
              <w:bottom w:val="single" w:sz="4" w:space="0" w:color="000000"/>
              <w:right w:val="single" w:sz="4" w:space="0" w:color="000000"/>
            </w:tcBorders>
          </w:tcPr>
          <w:p>
            <w:pPr/>
          </w:p>
        </w:tc>
        <w:tc>
          <w:tcPr>
            <w:tcW w:w="9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9" w:right="0"/>
              <w:jc w:val="center"/>
              <w:rPr>
                <w:rFonts w:ascii="Times New Roman" w:hAnsi="Times New Roman" w:cs="Times New Roman" w:eastAsia="Times New Roman" w:hint="default"/>
                <w:sz w:val="18"/>
                <w:szCs w:val="18"/>
              </w:rPr>
            </w:pPr>
            <w:r>
              <w:rPr>
                <w:rFonts w:ascii="Times New Roman"/>
                <w:sz w:val="18"/>
              </w:rPr>
              <w:t>1,169,409</w:t>
            </w:r>
          </w:p>
          <w:p>
            <w:pPr>
              <w:pStyle w:val="TableParagraph"/>
              <w:spacing w:line="240" w:lineRule="auto" w:before="105"/>
              <w:ind w:left="199" w:right="0"/>
              <w:jc w:val="center"/>
              <w:rPr>
                <w:rFonts w:ascii="Times New Roman" w:hAnsi="Times New Roman" w:cs="Times New Roman" w:eastAsia="Times New Roman" w:hint="default"/>
                <w:sz w:val="18"/>
                <w:szCs w:val="18"/>
              </w:rPr>
            </w:pPr>
            <w:r>
              <w:rPr>
                <w:rFonts w:ascii="Times New Roman"/>
                <w:sz w:val="18"/>
              </w:rPr>
              <w:t>,407.81</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3</w:t>
      </w:r>
      <w:r>
        <w:rPr/>
        <w:t>）公司无报告分部的，或者不能披露各报告分部的资产总额和负债总额的，应说明原因</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t>（</w:t>
      </w:r>
      <w:r>
        <w:rPr>
          <w:rFonts w:ascii="Times New Roman" w:hAnsi="Times New Roman" w:cs="Times New Roman" w:eastAsia="Times New Roman" w:hint="default"/>
        </w:rPr>
        <w:t>4</w:t>
      </w:r>
      <w:r>
        <w:rPr/>
        <w:t>）其他说明</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rFonts w:ascii="Times New Roman" w:hAnsi="Times New Roman" w:cs="Times New Roman" w:eastAsia="Times New Roman" w:hint="default"/>
        </w:rPr>
        <w:t>7</w:t>
      </w:r>
      <w:r>
        <w:rPr/>
        <w:t>、其他对投资者决策有影响的重要交易和事项</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rFonts w:ascii="Times New Roman" w:hAnsi="Times New Roman" w:cs="Times New Roman" w:eastAsia="Times New Roman" w:hint="default"/>
        </w:rPr>
        <w:t>8</w:t>
      </w:r>
      <w:r>
        <w:rPr/>
        <w:t>、其他</w:t>
      </w:r>
      <w:r>
        <w:rPr>
          <w:b w:val="0"/>
          <w:bCs w:val="0"/>
        </w:rPr>
      </w:r>
    </w:p>
    <w:p>
      <w:pPr>
        <w:spacing w:line="240" w:lineRule="auto" w:before="7"/>
        <w:rPr>
          <w:rFonts w:ascii="宋体" w:hAnsi="宋体" w:cs="宋体" w:eastAsia="宋体" w:hint="default"/>
          <w:b/>
          <w:bCs/>
          <w:sz w:val="26"/>
          <w:szCs w:val="26"/>
        </w:rPr>
      </w:pPr>
    </w:p>
    <w:p>
      <w:pPr>
        <w:pStyle w:val="BodyText"/>
        <w:spacing w:line="300" w:lineRule="auto"/>
        <w:ind w:right="0"/>
        <w:jc w:val="left"/>
      </w:pPr>
      <w:r>
        <w:rPr>
          <w:spacing w:val="-2"/>
        </w:rPr>
        <w:t>（</w:t>
      </w:r>
      <w:r>
        <w:rPr>
          <w:rFonts w:ascii="Times New Roman" w:hAnsi="Times New Roman" w:cs="Times New Roman" w:eastAsia="Times New Roman" w:hint="default"/>
          <w:spacing w:val="-2"/>
        </w:rPr>
        <w:t>1</w:t>
      </w:r>
      <w:r>
        <w:rPr>
          <w:spacing w:val="-2"/>
        </w:rPr>
        <w:t>）公司以其所有的座落于北京西城区金融大街的不动产为抵押，向中国农业银行股份有限公司丹阳支行取得</w:t>
      </w:r>
      <w:r>
        <w:rPr>
          <w:rFonts w:ascii="Times New Roman" w:hAnsi="Times New Roman" w:cs="Times New Roman" w:eastAsia="Times New Roman" w:hint="default"/>
          <w:spacing w:val="-2"/>
        </w:rPr>
        <w:t>2</w:t>
      </w:r>
      <w:r>
        <w:rPr>
          <w:spacing w:val="-2"/>
        </w:rPr>
        <w:t>亿元人民币</w:t>
      </w:r>
      <w:r>
        <w:rPr>
          <w:spacing w:val="-62"/>
        </w:rPr>
        <w:t> </w:t>
      </w:r>
      <w:r>
        <w:rPr/>
        <w:t>授信。截至期末，上述抵押物账面原值为人民币 </w:t>
      </w:r>
      <w:r>
        <w:rPr>
          <w:rFonts w:ascii="Times New Roman" w:hAnsi="Times New Roman" w:cs="Times New Roman" w:eastAsia="Times New Roman" w:hint="default"/>
        </w:rPr>
        <w:t>43,690,478.23 </w:t>
      </w:r>
      <w:r>
        <w:rPr/>
        <w:t>元，账面价值为人民币</w:t>
      </w:r>
      <w:r>
        <w:rPr>
          <w:rFonts w:ascii="Times New Roman" w:hAnsi="Times New Roman" w:cs="Times New Roman" w:eastAsia="Times New Roman" w:hint="default"/>
        </w:rPr>
        <w:t>32,951,248.87</w:t>
      </w:r>
      <w:r>
        <w:rPr/>
        <w:t>元。 授信额度用于开具信用证及保函。截至期末，已使用授信额度人民币</w:t>
      </w:r>
      <w:r>
        <w:rPr>
          <w:rFonts w:ascii="Times New Roman" w:hAnsi="Times New Roman" w:cs="Times New Roman" w:eastAsia="Times New Roman" w:hint="default"/>
        </w:rPr>
        <w:t>7,660,481.58</w:t>
      </w:r>
      <w:r>
        <w:rPr/>
        <w:t>元。</w:t>
      </w:r>
    </w:p>
    <w:p>
      <w:pPr>
        <w:pStyle w:val="BodyText"/>
        <w:spacing w:line="300" w:lineRule="auto" w:before="52"/>
        <w:ind w:right="1128"/>
        <w:jc w:val="both"/>
      </w:pPr>
      <w:r>
        <w:rPr/>
        <w:t>（</w:t>
      </w:r>
      <w:r>
        <w:rPr>
          <w:rFonts w:ascii="Times New Roman" w:hAnsi="Times New Roman" w:cs="Times New Roman" w:eastAsia="Times New Roman" w:hint="default"/>
        </w:rPr>
        <w:t>2</w:t>
      </w:r>
      <w:r>
        <w:rPr/>
        <w:t>）公司以其所有的座落于丹阳市云阳镇横塘化工路、横塘工业园、云阳镇东马场的不动产为抵押物、保证金的质押及钱</w:t>
      </w:r>
      <w:r>
        <w:rPr>
          <w:spacing w:val="-85"/>
        </w:rPr>
        <w:t> </w:t>
      </w:r>
      <w:r>
        <w:rPr>
          <w:spacing w:val="-85"/>
        </w:rPr>
      </w:r>
      <w:r>
        <w:rPr>
          <w:spacing w:val="10"/>
        </w:rPr>
        <w:t>京的个人保证，向中国银行股份有限公司丹阳支行取得</w:t>
      </w:r>
      <w:r>
        <w:rPr>
          <w:rFonts w:ascii="Times New Roman" w:hAnsi="Times New Roman" w:cs="Times New Roman" w:eastAsia="Times New Roman" w:hint="default"/>
          <w:spacing w:val="10"/>
        </w:rPr>
        <w:t>2</w:t>
      </w:r>
      <w:r>
        <w:rPr>
          <w:spacing w:val="10"/>
        </w:rPr>
        <w:t>亿元人民币授信。截至期末，上述抵押物账面原值为人民币</w:t>
      </w:r>
      <w:r>
        <w:rPr>
          <w:spacing w:val="-86"/>
        </w:rPr>
        <w:t> </w:t>
      </w:r>
      <w:r>
        <w:rPr>
          <w:spacing w:val="-86"/>
        </w:rPr>
      </w:r>
      <w:r>
        <w:rPr>
          <w:rFonts w:ascii="Times New Roman" w:hAnsi="Times New Roman" w:cs="Times New Roman" w:eastAsia="Times New Roman" w:hint="default"/>
        </w:rPr>
        <w:t>136,016,080.63</w:t>
      </w:r>
      <w:r>
        <w:rPr/>
        <w:t>元，账面价值为人民币</w:t>
      </w:r>
      <w:r>
        <w:rPr>
          <w:rFonts w:ascii="Times New Roman" w:hAnsi="Times New Roman" w:cs="Times New Roman" w:eastAsia="Times New Roman" w:hint="default"/>
        </w:rPr>
        <w:t>60,120,622.60</w:t>
      </w:r>
      <w:r>
        <w:rPr/>
        <w:t>元。</w:t>
      </w:r>
    </w:p>
    <w:p>
      <w:pPr>
        <w:pStyle w:val="BodyText"/>
        <w:spacing w:line="240" w:lineRule="auto" w:before="53"/>
        <w:ind w:right="0"/>
        <w:jc w:val="left"/>
      </w:pPr>
      <w:r>
        <w:rPr/>
        <w:t>授信额度用于开具信用证及保函。截至期末，已使用授信额度人民币</w:t>
      </w:r>
      <w:r>
        <w:rPr>
          <w:rFonts w:ascii="Times New Roman" w:hAnsi="Times New Roman" w:cs="Times New Roman" w:eastAsia="Times New Roman" w:hint="default"/>
        </w:rPr>
        <w:t>6,585,002.84</w:t>
      </w:r>
      <w:r>
        <w:rPr/>
        <w:t>元。</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20"/>
          <w:szCs w:val="20"/>
        </w:rPr>
      </w:pPr>
    </w:p>
    <w:p>
      <w:pPr>
        <w:pStyle w:val="Heading2"/>
        <w:spacing w:line="240" w:lineRule="auto"/>
        <w:ind w:right="0"/>
        <w:jc w:val="left"/>
        <w:rPr>
          <w:b w:val="0"/>
          <w:bCs w:val="0"/>
        </w:rPr>
      </w:pPr>
      <w:r>
        <w:rPr/>
        <w:t>十七、母公司财务报表主要项目注释</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r>
        <w:rPr>
          <w:rFonts w:ascii="Times New Roman" w:hAnsi="Times New Roman" w:cs="Times New Roman" w:eastAsia="Times New Roman" w:hint="default"/>
        </w:rPr>
        <w:t>1</w:t>
      </w:r>
      <w:r>
        <w:rPr/>
        <w:t>、应收账款</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t>（</w:t>
      </w:r>
      <w:r>
        <w:rPr>
          <w:rFonts w:ascii="Times New Roman" w:hAnsi="Times New Roman" w:cs="Times New Roman" w:eastAsia="Times New Roman" w:hint="default"/>
        </w:rPr>
        <w:t>1</w:t>
      </w:r>
      <w:r>
        <w:rPr/>
        <w:t>）应收账款分类披露</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635"/>
        <w:gridCol w:w="763"/>
        <w:gridCol w:w="762"/>
        <w:gridCol w:w="762"/>
        <w:gridCol w:w="763"/>
        <w:gridCol w:w="789"/>
        <w:gridCol w:w="776"/>
        <w:gridCol w:w="797"/>
        <w:gridCol w:w="798"/>
        <w:gridCol w:w="790"/>
        <w:gridCol w:w="932"/>
      </w:tblGrid>
      <w:tr>
        <w:trPr>
          <w:trHeight w:val="402" w:hRule="exact"/>
        </w:trPr>
        <w:tc>
          <w:tcPr>
            <w:tcW w:w="1635"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6"/>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3839" w:type="dxa"/>
            <w:gridSpan w:val="5"/>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3" w:type="dxa"/>
            <w:gridSpan w:val="5"/>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635" w:type="dxa"/>
            <w:vMerge/>
            <w:tcBorders>
              <w:left w:val="single" w:sz="4" w:space="0" w:color="000000"/>
              <w:right w:val="single" w:sz="4" w:space="0" w:color="000000"/>
            </w:tcBorders>
            <w:shd w:val="clear" w:color="auto" w:fill="D3D3D3"/>
          </w:tcPr>
          <w:p>
            <w:pPr/>
          </w:p>
        </w:tc>
        <w:tc>
          <w:tcPr>
            <w:tcW w:w="1525"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396"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5"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39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89"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2"/>
              <w:ind w:right="0"/>
              <w:jc w:val="left"/>
              <w:rPr>
                <w:rFonts w:ascii="宋体" w:hAnsi="宋体" w:cs="宋体" w:eastAsia="宋体" w:hint="default"/>
                <w:sz w:val="19"/>
                <w:szCs w:val="19"/>
              </w:rPr>
            </w:pPr>
          </w:p>
          <w:p>
            <w:pPr>
              <w:pStyle w:val="TableParagraph"/>
              <w:spacing w:line="319" w:lineRule="auto"/>
              <w:ind w:left="298" w:right="118" w:hanging="180"/>
              <w:jc w:val="left"/>
              <w:rPr>
                <w:rFonts w:ascii="宋体" w:hAnsi="宋体" w:cs="宋体" w:eastAsia="宋体" w:hint="default"/>
                <w:sz w:val="18"/>
                <w:szCs w:val="18"/>
              </w:rPr>
            </w:pPr>
            <w:r>
              <w:rPr>
                <w:rFonts w:ascii="宋体" w:hAnsi="宋体" w:cs="宋体" w:eastAsia="宋体" w:hint="default"/>
                <w:sz w:val="18"/>
                <w:szCs w:val="18"/>
              </w:rPr>
              <w:t>账面价 值</w:t>
            </w:r>
          </w:p>
        </w:tc>
        <w:tc>
          <w:tcPr>
            <w:tcW w:w="1573"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2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88"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29"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2"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2"/>
              <w:ind w:right="0"/>
              <w:jc w:val="left"/>
              <w:rPr>
                <w:rFonts w:ascii="宋体" w:hAnsi="宋体" w:cs="宋体" w:eastAsia="宋体" w:hint="default"/>
                <w:sz w:val="19"/>
                <w:szCs w:val="19"/>
              </w:rPr>
            </w:pPr>
          </w:p>
          <w:p>
            <w:pPr>
              <w:pStyle w:val="TableParagraph"/>
              <w:spacing w:line="319" w:lineRule="auto"/>
              <w:ind w:left="371" w:right="189" w:hanging="180"/>
              <w:jc w:val="left"/>
              <w:rPr>
                <w:rFonts w:ascii="宋体" w:hAnsi="宋体" w:cs="宋体" w:eastAsia="宋体" w:hint="default"/>
                <w:sz w:val="18"/>
                <w:szCs w:val="18"/>
              </w:rPr>
            </w:pPr>
            <w:r>
              <w:rPr>
                <w:rFonts w:ascii="宋体" w:hAnsi="宋体" w:cs="宋体" w:eastAsia="宋体" w:hint="default"/>
                <w:sz w:val="18"/>
                <w:szCs w:val="18"/>
              </w:rPr>
              <w:t>账面价 值</w:t>
            </w:r>
          </w:p>
        </w:tc>
      </w:tr>
      <w:tr>
        <w:trPr>
          <w:trHeight w:val="714" w:hRule="exact"/>
        </w:trPr>
        <w:tc>
          <w:tcPr>
            <w:tcW w:w="1635" w:type="dxa"/>
            <w:vMerge/>
            <w:tcBorders>
              <w:left w:val="single" w:sz="4" w:space="0" w:color="000000"/>
              <w:bottom w:val="single" w:sz="4" w:space="0" w:color="000000"/>
              <w:right w:val="single" w:sz="4" w:space="0" w:color="000000"/>
            </w:tcBorders>
            <w:shd w:val="clear" w:color="auto" w:fill="D3D3D3"/>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286" w:right="105"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89" w:type="dxa"/>
            <w:vMerge/>
            <w:tcBorders>
              <w:left w:val="single" w:sz="4" w:space="0" w:color="000000"/>
              <w:bottom w:val="single" w:sz="4" w:space="0" w:color="000000"/>
              <w:right w:val="single" w:sz="4" w:space="0" w:color="000000"/>
            </w:tcBorders>
            <w:shd w:val="clear" w:color="auto" w:fill="D3D3D3"/>
          </w:tcPr>
          <w:p>
            <w:pPr/>
          </w:p>
        </w:tc>
        <w:tc>
          <w:tcPr>
            <w:tcW w:w="77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02"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9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13"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1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300" w:right="117"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932" w:type="dxa"/>
            <w:vMerge/>
            <w:tcBorders>
              <w:left w:val="single" w:sz="4" w:space="0" w:color="000000"/>
              <w:bottom w:val="single" w:sz="4" w:space="0" w:color="000000"/>
              <w:right w:val="single" w:sz="4" w:space="0" w:color="000000"/>
            </w:tcBorders>
            <w:shd w:val="clear" w:color="auto" w:fill="D3D3D3"/>
          </w:tcPr>
          <w:p>
            <w:pPr/>
          </w:p>
        </w:tc>
      </w:tr>
      <w:tr>
        <w:trPr>
          <w:trHeight w:val="402" w:hRule="exact"/>
        </w:trPr>
        <w:tc>
          <w:tcPr>
            <w:tcW w:w="16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763"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62"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62"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89"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76"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90"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932"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1026" w:hRule="exact"/>
        </w:trPr>
        <w:tc>
          <w:tcPr>
            <w:tcW w:w="16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102" w:right="260"/>
              <w:jc w:val="left"/>
              <w:rPr>
                <w:rFonts w:ascii="宋体" w:hAnsi="宋体" w:cs="宋体" w:eastAsia="宋体" w:hint="default"/>
                <w:sz w:val="18"/>
                <w:szCs w:val="18"/>
              </w:rPr>
            </w:pPr>
            <w:r>
              <w:rPr>
                <w:rFonts w:ascii="宋体" w:hAnsi="宋体" w:cs="宋体" w:eastAsia="宋体" w:hint="default"/>
                <w:sz w:val="18"/>
                <w:szCs w:val="18"/>
              </w:rPr>
              <w:t>按组合计提坏账 准备的应收账款</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136,60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5,310.4</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7</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4"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left="50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16" w:right="0"/>
              <w:jc w:val="left"/>
              <w:rPr>
                <w:rFonts w:ascii="Times New Roman" w:hAnsi="Times New Roman" w:cs="Times New Roman" w:eastAsia="Times New Roman" w:hint="default"/>
                <w:sz w:val="18"/>
                <w:szCs w:val="18"/>
              </w:rPr>
            </w:pPr>
            <w:r>
              <w:rPr>
                <w:rFonts w:ascii="Times New Roman"/>
                <w:sz w:val="18"/>
              </w:rPr>
              <w:t>11,827,</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562.99</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8.66%</w:t>
            </w:r>
            <w:r>
              <w:rPr>
                <w:rFonts w:ascii="Times New Roman"/>
                <w:sz w:val="18"/>
              </w:rPr>
            </w:r>
          </w:p>
        </w:tc>
        <w:tc>
          <w:tcPr>
            <w:tcW w:w="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124,77</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7,747.4</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8</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23" w:right="0"/>
              <w:jc w:val="left"/>
              <w:rPr>
                <w:rFonts w:ascii="Times New Roman" w:hAnsi="Times New Roman" w:cs="Times New Roman" w:eastAsia="Times New Roman" w:hint="default"/>
                <w:sz w:val="18"/>
                <w:szCs w:val="18"/>
              </w:rPr>
            </w:pPr>
            <w:r>
              <w:rPr>
                <w:rFonts w:ascii="Times New Roman"/>
                <w:sz w:val="18"/>
              </w:rPr>
              <w:t>99,822,</w:t>
            </w:r>
          </w:p>
          <w:p>
            <w:pPr>
              <w:pStyle w:val="TableParagraph"/>
              <w:spacing w:line="240" w:lineRule="auto" w:before="105"/>
              <w:ind w:left="168" w:right="0"/>
              <w:jc w:val="left"/>
              <w:rPr>
                <w:rFonts w:ascii="Times New Roman" w:hAnsi="Times New Roman" w:cs="Times New Roman" w:eastAsia="Times New Roman" w:hint="default"/>
                <w:sz w:val="18"/>
                <w:szCs w:val="18"/>
              </w:rPr>
            </w:pPr>
            <w:r>
              <w:rPr>
                <w:rFonts w:ascii="Times New Roman"/>
                <w:sz w:val="18"/>
              </w:rPr>
              <w:t>529.53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4" w:right="0"/>
              <w:jc w:val="left"/>
              <w:rPr>
                <w:rFonts w:ascii="Times New Roman" w:hAnsi="Times New Roman" w:cs="Times New Roman" w:eastAsia="Times New Roman" w:hint="default"/>
                <w:sz w:val="18"/>
                <w:szCs w:val="18"/>
              </w:rPr>
            </w:pPr>
            <w:r>
              <w:rPr>
                <w:rFonts w:ascii="Times New Roman"/>
                <w:sz w:val="18"/>
              </w:rPr>
              <w:t>12,187,</w:t>
            </w:r>
          </w:p>
          <w:p>
            <w:pPr>
              <w:pStyle w:val="TableParagraph"/>
              <w:spacing w:line="240" w:lineRule="auto" w:before="105"/>
              <w:ind w:left="189" w:right="0"/>
              <w:jc w:val="left"/>
              <w:rPr>
                <w:rFonts w:ascii="Times New Roman" w:hAnsi="Times New Roman" w:cs="Times New Roman" w:eastAsia="Times New Roman" w:hint="default"/>
                <w:sz w:val="18"/>
                <w:szCs w:val="18"/>
              </w:rPr>
            </w:pPr>
            <w:r>
              <w:rPr>
                <w:rFonts w:ascii="Times New Roman"/>
                <w:sz w:val="18"/>
              </w:rPr>
              <w:t>244.65</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12.21%</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89" w:right="0"/>
              <w:jc w:val="left"/>
              <w:rPr>
                <w:rFonts w:ascii="Times New Roman" w:hAnsi="Times New Roman" w:cs="Times New Roman" w:eastAsia="Times New Roman" w:hint="default"/>
                <w:sz w:val="18"/>
                <w:szCs w:val="18"/>
              </w:rPr>
            </w:pPr>
            <w:r>
              <w:rPr>
                <w:rFonts w:ascii="Times New Roman"/>
                <w:sz w:val="18"/>
              </w:rPr>
              <w:t>87,635,2</w:t>
            </w:r>
          </w:p>
          <w:p>
            <w:pPr>
              <w:pStyle w:val="TableParagraph"/>
              <w:spacing w:line="240" w:lineRule="auto" w:before="105"/>
              <w:ind w:left="414" w:right="0"/>
              <w:jc w:val="left"/>
              <w:rPr>
                <w:rFonts w:ascii="Times New Roman" w:hAnsi="Times New Roman" w:cs="Times New Roman" w:eastAsia="Times New Roman" w:hint="default"/>
                <w:sz w:val="18"/>
                <w:szCs w:val="18"/>
              </w:rPr>
            </w:pPr>
            <w:r>
              <w:rPr>
                <w:rFonts w:ascii="Times New Roman"/>
                <w:sz w:val="18"/>
              </w:rPr>
              <w:t>84.88</w:t>
            </w:r>
          </w:p>
        </w:tc>
      </w:tr>
      <w:tr>
        <w:trPr>
          <w:trHeight w:val="402" w:hRule="exact"/>
        </w:trPr>
        <w:tc>
          <w:tcPr>
            <w:tcW w:w="16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763"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62"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62"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89"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76"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790"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932"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1026" w:hRule="exact"/>
        </w:trPr>
        <w:tc>
          <w:tcPr>
            <w:tcW w:w="16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136,60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5,310.4</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7</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4"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left="50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16" w:right="0"/>
              <w:jc w:val="left"/>
              <w:rPr>
                <w:rFonts w:ascii="Times New Roman" w:hAnsi="Times New Roman" w:cs="Times New Roman" w:eastAsia="Times New Roman" w:hint="default"/>
                <w:sz w:val="18"/>
                <w:szCs w:val="18"/>
              </w:rPr>
            </w:pPr>
            <w:r>
              <w:rPr>
                <w:rFonts w:ascii="Times New Roman"/>
                <w:sz w:val="18"/>
              </w:rPr>
              <w:t>11,827,</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562.99</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8.66%</w:t>
            </w:r>
            <w:r>
              <w:rPr>
                <w:rFonts w:ascii="Times New Roman"/>
                <w:sz w:val="18"/>
              </w:rPr>
            </w:r>
          </w:p>
        </w:tc>
        <w:tc>
          <w:tcPr>
            <w:tcW w:w="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124,77</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7,747.4</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8</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23" w:right="0"/>
              <w:jc w:val="left"/>
              <w:rPr>
                <w:rFonts w:ascii="Times New Roman" w:hAnsi="Times New Roman" w:cs="Times New Roman" w:eastAsia="Times New Roman" w:hint="default"/>
                <w:sz w:val="18"/>
                <w:szCs w:val="18"/>
              </w:rPr>
            </w:pPr>
            <w:r>
              <w:rPr>
                <w:rFonts w:ascii="Times New Roman"/>
                <w:sz w:val="18"/>
              </w:rPr>
              <w:t>99,822,</w:t>
            </w:r>
          </w:p>
          <w:p>
            <w:pPr>
              <w:pStyle w:val="TableParagraph"/>
              <w:spacing w:line="240" w:lineRule="auto" w:before="105"/>
              <w:ind w:left="168" w:right="0"/>
              <w:jc w:val="left"/>
              <w:rPr>
                <w:rFonts w:ascii="Times New Roman" w:hAnsi="Times New Roman" w:cs="Times New Roman" w:eastAsia="Times New Roman" w:hint="default"/>
                <w:sz w:val="18"/>
                <w:szCs w:val="18"/>
              </w:rPr>
            </w:pPr>
            <w:r>
              <w:rPr>
                <w:rFonts w:ascii="Times New Roman"/>
                <w:sz w:val="18"/>
              </w:rPr>
              <w:t>529.53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4" w:right="0"/>
              <w:jc w:val="left"/>
              <w:rPr>
                <w:rFonts w:ascii="Times New Roman" w:hAnsi="Times New Roman" w:cs="Times New Roman" w:eastAsia="Times New Roman" w:hint="default"/>
                <w:sz w:val="18"/>
                <w:szCs w:val="18"/>
              </w:rPr>
            </w:pPr>
            <w:r>
              <w:rPr>
                <w:rFonts w:ascii="Times New Roman"/>
                <w:sz w:val="18"/>
              </w:rPr>
              <w:t>12,187,</w:t>
            </w:r>
          </w:p>
          <w:p>
            <w:pPr>
              <w:pStyle w:val="TableParagraph"/>
              <w:spacing w:line="240" w:lineRule="auto" w:before="105"/>
              <w:ind w:left="189" w:right="0"/>
              <w:jc w:val="left"/>
              <w:rPr>
                <w:rFonts w:ascii="Times New Roman" w:hAnsi="Times New Roman" w:cs="Times New Roman" w:eastAsia="Times New Roman" w:hint="default"/>
                <w:sz w:val="18"/>
                <w:szCs w:val="18"/>
              </w:rPr>
            </w:pPr>
            <w:r>
              <w:rPr>
                <w:rFonts w:ascii="Times New Roman"/>
                <w:sz w:val="18"/>
              </w:rPr>
              <w:t>244.65</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12.21%</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89" w:right="0"/>
              <w:jc w:val="left"/>
              <w:rPr>
                <w:rFonts w:ascii="Times New Roman" w:hAnsi="Times New Roman" w:cs="Times New Roman" w:eastAsia="Times New Roman" w:hint="default"/>
                <w:sz w:val="18"/>
                <w:szCs w:val="18"/>
              </w:rPr>
            </w:pPr>
            <w:r>
              <w:rPr>
                <w:rFonts w:ascii="Times New Roman"/>
                <w:sz w:val="18"/>
              </w:rPr>
              <w:t>87,635,2</w:t>
            </w:r>
          </w:p>
          <w:p>
            <w:pPr>
              <w:pStyle w:val="TableParagraph"/>
              <w:spacing w:line="240" w:lineRule="auto" w:before="105"/>
              <w:ind w:left="414" w:right="0"/>
              <w:jc w:val="left"/>
              <w:rPr>
                <w:rFonts w:ascii="Times New Roman" w:hAnsi="Times New Roman" w:cs="Times New Roman" w:eastAsia="Times New Roman" w:hint="default"/>
                <w:sz w:val="18"/>
                <w:szCs w:val="18"/>
              </w:rPr>
            </w:pPr>
            <w:r>
              <w:rPr>
                <w:rFonts w:ascii="Times New Roman"/>
                <w:sz w:val="18"/>
              </w:rPr>
              <w:t>84.88</w:t>
            </w:r>
          </w:p>
        </w:tc>
      </w:tr>
    </w:tbl>
    <w:p>
      <w:pPr>
        <w:pStyle w:val="BodyText"/>
        <w:spacing w:line="240" w:lineRule="auto" w:before="49"/>
        <w:ind w:right="0"/>
        <w:jc w:val="left"/>
      </w:pPr>
      <w:r>
        <w:rPr/>
        <w:t>按单项计提坏账准备：</w:t>
      </w:r>
    </w:p>
    <w:p>
      <w:pPr>
        <w:pStyle w:val="BodyText"/>
        <w:spacing w:line="240" w:lineRule="auto" w:before="116"/>
        <w:ind w:left="0" w:right="1131"/>
        <w:jc w:val="right"/>
      </w:pPr>
      <w:r>
        <w:rPr/>
        <w:t>单位：</w:t>
      </w:r>
      <w:r>
        <w:rPr>
          <w:spacing w:val="-1"/>
        </w:rPr>
        <w:t> </w:t>
      </w:r>
      <w:r>
        <w:rPr/>
        <w:t>元</w:t>
      </w:r>
    </w:p>
    <w:p>
      <w:pPr>
        <w:spacing w:after="0" w:line="240" w:lineRule="auto"/>
        <w:jc w:val="right"/>
        <w:sectPr>
          <w:pgSz w:w="11910" w:h="16840"/>
          <w:pgMar w:header="906" w:footer="1018" w:top="1100" w:bottom="1200" w:left="1020" w:right="0"/>
        </w:sectPr>
      </w:pPr>
    </w:p>
    <w:p>
      <w:pPr>
        <w:spacing w:line="240" w:lineRule="auto" w:before="7"/>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913"/>
        <w:gridCol w:w="1915"/>
        <w:gridCol w:w="1914"/>
        <w:gridCol w:w="1914"/>
        <w:gridCol w:w="1914"/>
      </w:tblGrid>
      <w:tr>
        <w:trPr>
          <w:trHeight w:val="402" w:hRule="exact"/>
        </w:trPr>
        <w:tc>
          <w:tcPr>
            <w:tcW w:w="1913"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名称</w:t>
            </w:r>
          </w:p>
        </w:tc>
        <w:tc>
          <w:tcPr>
            <w:tcW w:w="7657" w:type="dxa"/>
            <w:gridSpan w:val="4"/>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913" w:type="dxa"/>
            <w:vMerge/>
            <w:tcBorders>
              <w:left w:val="single" w:sz="4" w:space="0" w:color="000000"/>
              <w:bottom w:val="single" w:sz="4" w:space="0" w:color="000000"/>
              <w:right w:val="single" w:sz="4" w:space="0" w:color="000000"/>
            </w:tcBorders>
            <w:shd w:val="clear" w:color="auto" w:fill="D3D3D3"/>
          </w:tcPr>
          <w:p>
            <w:pPr/>
          </w:p>
        </w:tc>
        <w:tc>
          <w:tcPr>
            <w:tcW w:w="191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59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59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59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591" w:right="0"/>
              <w:jc w:val="left"/>
              <w:rPr>
                <w:rFonts w:ascii="宋体" w:hAnsi="宋体" w:cs="宋体" w:eastAsia="宋体" w:hint="default"/>
                <w:sz w:val="18"/>
                <w:szCs w:val="18"/>
              </w:rPr>
            </w:pPr>
            <w:r>
              <w:rPr>
                <w:rFonts w:ascii="宋体" w:hAnsi="宋体" w:cs="宋体" w:eastAsia="宋体" w:hint="default"/>
                <w:sz w:val="18"/>
                <w:szCs w:val="18"/>
              </w:rPr>
              <w:t>计提理由</w:t>
            </w:r>
          </w:p>
        </w:tc>
      </w:tr>
    </w:tbl>
    <w:p>
      <w:pPr>
        <w:pStyle w:val="BodyText"/>
        <w:spacing w:line="240" w:lineRule="auto" w:before="50"/>
        <w:ind w:right="0"/>
        <w:jc w:val="left"/>
      </w:pPr>
      <w:r>
        <w:rPr/>
        <w:t>按组合计提坏账准备：</w:t>
      </w:r>
    </w:p>
    <w:p>
      <w:pPr>
        <w:pStyle w:val="BodyText"/>
        <w:spacing w:line="240" w:lineRule="auto" w:before="116"/>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92"/>
        <w:gridCol w:w="2392"/>
        <w:gridCol w:w="2392"/>
        <w:gridCol w:w="2392"/>
      </w:tblGrid>
      <w:tr>
        <w:trPr>
          <w:trHeight w:val="402" w:hRule="exact"/>
        </w:trPr>
        <w:tc>
          <w:tcPr>
            <w:tcW w:w="2392"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7176" w:type="dxa"/>
            <w:gridSpan w:val="3"/>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2392" w:type="dxa"/>
            <w:vMerge/>
            <w:tcBorders>
              <w:left w:val="single" w:sz="4" w:space="0" w:color="000000"/>
              <w:bottom w:val="single" w:sz="4" w:space="0" w:color="000000"/>
              <w:right w:val="single" w:sz="4" w:space="0" w:color="000000"/>
            </w:tcBorders>
            <w:shd w:val="clear" w:color="auto" w:fill="D3D3D3"/>
          </w:tcPr>
          <w:p>
            <w:pP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金融卡客户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I</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12,982,314.19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1,678,178.47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5"/>
                <w:sz w:val="18"/>
              </w:rPr>
              <w:t>12.93%</w:t>
            </w:r>
            <w:r>
              <w:rPr>
                <w:rFonts w:ascii="Times New Roman"/>
                <w:sz w:val="18"/>
              </w:rPr>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金融卡客户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II</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26,610,767.45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2"/>
                <w:sz w:val="18"/>
              </w:rPr>
              <w:t>5,111,859.28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5"/>
                <w:sz w:val="18"/>
              </w:rPr>
              <w:t>19.21%</w:t>
            </w:r>
            <w:r>
              <w:rPr>
                <w:rFonts w:ascii="Times New Roman"/>
                <w:sz w:val="18"/>
              </w:rPr>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通信卡客户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I</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12,670,057.24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513,891.48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5"/>
                <w:sz w:val="18"/>
              </w:rPr>
              <w:t>4.06%</w:t>
            </w:r>
            <w:r>
              <w:rPr>
                <w:rFonts w:ascii="Times New Roman"/>
                <w:sz w:val="18"/>
              </w:rPr>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通信卡客户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II</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3,088,458.09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797,960.17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5"/>
                <w:sz w:val="18"/>
              </w:rPr>
              <w:t>25.84%</w:t>
            </w:r>
            <w:r>
              <w:rPr>
                <w:rFonts w:ascii="Times New Roman"/>
                <w:sz w:val="18"/>
              </w:rPr>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模块封装客户</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53,924,872.60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557,446.69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5"/>
                <w:sz w:val="18"/>
              </w:rPr>
              <w:t>1.03%</w:t>
            </w:r>
            <w:r>
              <w:rPr>
                <w:rFonts w:ascii="Times New Roman"/>
                <w:sz w:val="18"/>
              </w:rPr>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9,119,764.50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3,168,226.90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5"/>
                <w:sz w:val="18"/>
              </w:rPr>
              <w:t>34.74%</w:t>
            </w:r>
            <w:r>
              <w:rPr>
                <w:rFonts w:ascii="Times New Roman"/>
                <w:sz w:val="18"/>
              </w:rPr>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118,396,234.07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11,827,562.99</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pgSz w:w="11910" w:h="16840"/>
          <w:pgMar w:header="906" w:footer="1018" w:top="1100" w:bottom="1200" w:left="1020" w:right="0"/>
        </w:sectPr>
      </w:pPr>
    </w:p>
    <w:p>
      <w:pPr>
        <w:pStyle w:val="BodyText"/>
        <w:spacing w:line="357" w:lineRule="auto" w:before="50"/>
        <w:ind w:right="-10"/>
        <w:jc w:val="left"/>
      </w:pPr>
      <w:r>
        <w:rPr>
          <w:spacing w:val="-1"/>
        </w:rPr>
        <w:t>确定该组合依据的说明：</w:t>
      </w:r>
      <w:r>
        <w:rPr>
          <w:spacing w:val="-80"/>
        </w:rPr>
        <w:t> </w:t>
      </w:r>
      <w:r>
        <w:rPr>
          <w:spacing w:val="-80"/>
        </w:rPr>
      </w:r>
      <w:r>
        <w:rPr/>
        <w:t>按组合计提坏账准备：</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21"/>
          <w:szCs w:val="21"/>
        </w:rPr>
      </w:pPr>
    </w:p>
    <w:p>
      <w:pPr>
        <w:pStyle w:val="BodyText"/>
        <w:spacing w:line="240" w:lineRule="auto"/>
        <w:ind w:right="0"/>
        <w:jc w:val="left"/>
      </w:pPr>
      <w:r>
        <w:rPr/>
        <w:t>单位：</w:t>
      </w:r>
      <w:r>
        <w:rPr>
          <w:spacing w:val="-1"/>
        </w:rPr>
        <w:t> </w:t>
      </w:r>
      <w:r>
        <w:rPr/>
        <w:t>元</w:t>
      </w:r>
    </w:p>
    <w:p>
      <w:pPr>
        <w:spacing w:after="0" w:line="240" w:lineRule="auto"/>
        <w:jc w:val="left"/>
        <w:sectPr>
          <w:type w:val="continuous"/>
          <w:pgSz w:w="11910" w:h="16840"/>
          <w:pgMar w:top="1100" w:bottom="1200" w:left="1020" w:right="0"/>
          <w:cols w:num="2" w:equalWidth="0">
            <w:col w:w="2093" w:space="6735"/>
            <w:col w:w="2062"/>
          </w:cols>
        </w:sectPr>
      </w:pP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92"/>
        <w:gridCol w:w="2392"/>
        <w:gridCol w:w="2392"/>
        <w:gridCol w:w="2392"/>
      </w:tblGrid>
      <w:tr>
        <w:trPr>
          <w:trHeight w:val="402" w:hRule="exact"/>
        </w:trPr>
        <w:tc>
          <w:tcPr>
            <w:tcW w:w="2392"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7176" w:type="dxa"/>
            <w:gridSpan w:val="3"/>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2392" w:type="dxa"/>
            <w:vMerge/>
            <w:tcBorders>
              <w:left w:val="single" w:sz="4" w:space="0" w:color="000000"/>
              <w:bottom w:val="single" w:sz="4" w:space="0" w:color="000000"/>
              <w:right w:val="single" w:sz="4" w:space="0" w:color="000000"/>
            </w:tcBorders>
            <w:shd w:val="clear" w:color="auto" w:fill="D3D3D3"/>
          </w:tcPr>
          <w:p>
            <w:pP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计提比例</w:t>
            </w:r>
          </w:p>
        </w:tc>
      </w:tr>
    </w:tbl>
    <w:p>
      <w:pPr>
        <w:pStyle w:val="BodyText"/>
        <w:spacing w:line="360" w:lineRule="auto" w:before="50"/>
        <w:ind w:right="1752"/>
        <w:jc w:val="left"/>
      </w:pPr>
      <w:r>
        <w:rPr/>
        <w:t>确定该组合依据的说明： 如是按照预期信用损失一般模型计提应收账款坏账准备，请参照其他应收款的披露方式披露坏账准备的相关信息：</w:t>
      </w:r>
    </w:p>
    <w:p>
      <w:pPr>
        <w:pStyle w:val="BodyText"/>
        <w:spacing w:line="360" w:lineRule="auto" w:before="26"/>
        <w:ind w:right="9222"/>
        <w:jc w:val="left"/>
      </w:pPr>
      <w:r>
        <w:rPr/>
        <w:t>□ 适用 √ 不适用 按账龄披露</w:t>
      </w:r>
    </w:p>
    <w:p>
      <w:pPr>
        <w:pStyle w:val="BodyText"/>
        <w:spacing w:line="240" w:lineRule="auto" w:before="26"/>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4784"/>
        <w:gridCol w:w="4784"/>
      </w:tblGrid>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123,819,841.67</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年</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2,038,987.85</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年</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2,934,167.36</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 </w:t>
            </w:r>
            <w:r>
              <w:rPr>
                <w:rFonts w:ascii="宋体" w:hAnsi="宋体" w:cs="宋体" w:eastAsia="宋体" w:hint="default"/>
                <w:sz w:val="18"/>
                <w:szCs w:val="18"/>
              </w:rPr>
              <w:t>年以上</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7,812,313.59</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2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年</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7,812,313.59</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136,605,310.47</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2</w:t>
      </w:r>
      <w:r>
        <w:rPr/>
        <w:t>）本期计提、收回或转回的坏账准备情况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0"/>
        <w:jc w:val="left"/>
      </w:pPr>
      <w:r>
        <w:rPr/>
        <w:t>本期计提坏账准备情况：</w:t>
      </w:r>
    </w:p>
    <w:p>
      <w:pPr>
        <w:pStyle w:val="BodyText"/>
        <w:spacing w:line="240" w:lineRule="auto" w:before="116"/>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9"/>
        <w:gridCol w:w="1367"/>
        <w:gridCol w:w="5468"/>
        <w:gridCol w:w="1367"/>
      </w:tblGrid>
      <w:tr>
        <w:trPr>
          <w:trHeight w:val="401" w:hRule="exact"/>
        </w:trPr>
        <w:tc>
          <w:tcPr>
            <w:tcW w:w="136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318"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54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本期变动金额</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318" w:right="0"/>
              <w:jc w:val="left"/>
              <w:rPr>
                <w:rFonts w:ascii="宋体" w:hAnsi="宋体" w:cs="宋体" w:eastAsia="宋体" w:hint="default"/>
                <w:sz w:val="18"/>
                <w:szCs w:val="18"/>
              </w:rPr>
            </w:pPr>
            <w:r>
              <w:rPr>
                <w:rFonts w:ascii="宋体" w:hAnsi="宋体" w:cs="宋体" w:eastAsia="宋体" w:hint="default"/>
                <w:sz w:val="18"/>
                <w:szCs w:val="18"/>
              </w:rPr>
              <w:t>期末余额</w:t>
            </w:r>
          </w:p>
        </w:tc>
      </w:tr>
    </w:tbl>
    <w:p>
      <w:pPr>
        <w:spacing w:after="0" w:line="240" w:lineRule="auto"/>
        <w:jc w:val="left"/>
        <w:rPr>
          <w:rFonts w:ascii="宋体" w:hAnsi="宋体" w:cs="宋体" w:eastAsia="宋体" w:hint="default"/>
          <w:sz w:val="18"/>
          <w:szCs w:val="18"/>
        </w:rPr>
        <w:sectPr>
          <w:type w:val="continuous"/>
          <w:pgSz w:w="11910" w:h="16840"/>
          <w:pgMar w:top="1100" w:bottom="1200" w:left="1020" w:right="0"/>
        </w:sectPr>
      </w:pPr>
    </w:p>
    <w:p>
      <w:pPr>
        <w:spacing w:line="240" w:lineRule="auto" w:before="7"/>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369"/>
        <w:gridCol w:w="1367"/>
        <w:gridCol w:w="1367"/>
        <w:gridCol w:w="1367"/>
        <w:gridCol w:w="1367"/>
        <w:gridCol w:w="1367"/>
        <w:gridCol w:w="1367"/>
      </w:tblGrid>
      <w:tr>
        <w:trPr>
          <w:trHeight w:val="402" w:hRule="exact"/>
        </w:trPr>
        <w:tc>
          <w:tcPr>
            <w:tcW w:w="1369"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计提</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228" w:right="0"/>
              <w:jc w:val="left"/>
              <w:rPr>
                <w:rFonts w:ascii="宋体" w:hAnsi="宋体" w:cs="宋体" w:eastAsia="宋体" w:hint="default"/>
                <w:sz w:val="18"/>
                <w:szCs w:val="18"/>
              </w:rPr>
            </w:pPr>
            <w:r>
              <w:rPr>
                <w:rFonts w:ascii="宋体" w:hAnsi="宋体" w:cs="宋体" w:eastAsia="宋体" w:hint="default"/>
                <w:sz w:val="18"/>
                <w:szCs w:val="18"/>
              </w:rPr>
              <w:t>收回或转回</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核销</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其他</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714"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2" w:right="174"/>
              <w:jc w:val="left"/>
              <w:rPr>
                <w:rFonts w:ascii="宋体" w:hAnsi="宋体" w:cs="宋体" w:eastAsia="宋体" w:hint="default"/>
                <w:sz w:val="18"/>
                <w:szCs w:val="18"/>
              </w:rPr>
            </w:pPr>
            <w:r>
              <w:rPr>
                <w:rFonts w:ascii="宋体" w:hAnsi="宋体" w:cs="宋体" w:eastAsia="宋体" w:hint="default"/>
                <w:sz w:val="18"/>
                <w:szCs w:val="18"/>
              </w:rPr>
              <w:t>按单项计提坏 账准备</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2" w:right="174"/>
              <w:jc w:val="left"/>
              <w:rPr>
                <w:rFonts w:ascii="宋体" w:hAnsi="宋体" w:cs="宋体" w:eastAsia="宋体" w:hint="default"/>
                <w:sz w:val="18"/>
                <w:szCs w:val="18"/>
              </w:rPr>
            </w:pPr>
            <w:r>
              <w:rPr>
                <w:rFonts w:ascii="宋体" w:hAnsi="宋体" w:cs="宋体" w:eastAsia="宋体" w:hint="default"/>
                <w:sz w:val="18"/>
                <w:szCs w:val="18"/>
              </w:rPr>
              <w:t>按组合计提坏 账准备</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12,187,244.65</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359,681.66</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11,827,562.99</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12,187,244.65</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359,681.66</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11,827,562.99</w:t>
            </w:r>
          </w:p>
        </w:tc>
      </w:tr>
    </w:tbl>
    <w:p>
      <w:pPr>
        <w:pStyle w:val="BodyText"/>
        <w:spacing w:line="240" w:lineRule="auto" w:before="50"/>
        <w:ind w:right="0"/>
        <w:jc w:val="left"/>
      </w:pPr>
      <w:r>
        <w:rPr/>
        <w:t>其中本期坏账准备收回或转回金额重要的：</w:t>
      </w:r>
    </w:p>
    <w:p>
      <w:pPr>
        <w:pStyle w:val="BodyText"/>
        <w:spacing w:line="240" w:lineRule="auto" w:before="116"/>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368"/>
        <w:gridCol w:w="3100"/>
        <w:gridCol w:w="3100"/>
      </w:tblGrid>
      <w:tr>
        <w:trPr>
          <w:trHeight w:val="402" w:hRule="exact"/>
        </w:trPr>
        <w:tc>
          <w:tcPr>
            <w:tcW w:w="3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10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915" w:right="0"/>
              <w:jc w:val="left"/>
              <w:rPr>
                <w:rFonts w:ascii="宋体" w:hAnsi="宋体" w:cs="宋体" w:eastAsia="宋体" w:hint="default"/>
                <w:sz w:val="18"/>
                <w:szCs w:val="18"/>
              </w:rPr>
            </w:pPr>
            <w:r>
              <w:rPr>
                <w:rFonts w:ascii="宋体" w:hAnsi="宋体" w:cs="宋体" w:eastAsia="宋体" w:hint="default"/>
                <w:sz w:val="18"/>
                <w:szCs w:val="18"/>
              </w:rPr>
              <w:t>收回或转回金额</w:t>
            </w:r>
          </w:p>
        </w:tc>
        <w:tc>
          <w:tcPr>
            <w:tcW w:w="310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收回方式</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3</w:t>
      </w:r>
      <w:r>
        <w:rPr/>
        <w:t>）本期实际核销的应收账款情况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10"/>
        <w:rPr>
          <w:rFonts w:ascii="宋体" w:hAnsi="宋体" w:cs="宋体" w:eastAsia="宋体" w:hint="default"/>
          <w:sz w:val="7"/>
          <w:szCs w:val="7"/>
        </w:rPr>
      </w:pPr>
    </w:p>
    <w:p>
      <w:pPr>
        <w:spacing w:line="416" w:lineRule="exact"/>
        <w:ind w:left="104"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9.35pt;height:20.85pt;mso-position-horizontal-relative:char;mso-position-vertical-relative:line" coordorigin="0,0" coordsize="9587,417">
            <v:group style="position:absolute;left:13;top:14;width:4974;height:393" coordorigin="13,14" coordsize="4974,393">
              <v:shape style="position:absolute;left:13;top:14;width:4974;height:393" coordorigin="13,14" coordsize="4974,393" path="m13,14l4987,14,4987,407,13,407,13,14xe" filled="true" fillcolor="#d3d3d3" stroked="false">
                <v:path arrowok="t"/>
                <v:fill type="solid"/>
              </v:shape>
            </v:group>
            <v:group style="position:absolute;left:4996;top:14;width:4577;height:393" coordorigin="4996,14" coordsize="4577,393">
              <v:shape style="position:absolute;left:4996;top:14;width:4577;height:393" coordorigin="4996,14" coordsize="4577,393" path="m4996,14l9572,14,9572,407,4996,407,4996,14xe" filled="true" fillcolor="#d3d3d3" stroked="false">
                <v:path arrowok="t"/>
                <v:fill type="solid"/>
              </v:shape>
            </v:group>
            <v:group style="position:absolute;left:5;top:10;width:9578;height:2" coordorigin="5,10" coordsize="9578,2">
              <v:shape style="position:absolute;left:5;top:10;width:9578;height:2" coordorigin="5,10" coordsize="9578,0" path="m5,10l9582,10e" filled="false" stroked="true" strokeweight=".48pt" strokecolor="#000000">
                <v:path arrowok="t"/>
              </v:shape>
            </v:group>
            <v:group style="position:absolute;left:5;top:412;width:9578;height:2" coordorigin="5,412" coordsize="9578,2">
              <v:shape style="position:absolute;left:5;top:412;width:9578;height:2" coordorigin="5,412" coordsize="9578,0" path="m5,412l9582,412e" filled="false" stroked="true" strokeweight=".48pt" strokecolor="#000000">
                <v:path arrowok="t"/>
              </v:shape>
            </v:group>
            <v:group style="position:absolute;left:10;top:5;width:2;height:402" coordorigin="10,5" coordsize="2,402">
              <v:shape style="position:absolute;left:10;top:5;width:2;height:402" coordorigin="10,5" coordsize="0,402" path="m10,5l10,407e" filled="false" stroked="true" strokeweight=".48pt" strokecolor="#000000">
                <v:path arrowok="t"/>
              </v:shape>
            </v:group>
            <v:group style="position:absolute;left:4993;top:5;width:2;height:402" coordorigin="4993,5" coordsize="2,402">
              <v:shape style="position:absolute;left:4993;top:5;width:2;height:402" coordorigin="4993,5" coordsize="0,402" path="m4993,5l4993,407e" filled="false" stroked="true" strokeweight=".48pt" strokecolor="#000000">
                <v:path arrowok="t"/>
              </v:shape>
            </v:group>
            <v:group style="position:absolute;left:9577;top:5;width:2;height:402" coordorigin="9577,5" coordsize="2,402">
              <v:shape style="position:absolute;left:9577;top:5;width:2;height:402" coordorigin="9577,5" coordsize="0,402" path="m9577,5l9577,407e" filled="false" stroked="true" strokeweight=".48pt" strokecolor="#000000">
                <v:path arrowok="t"/>
              </v:shape>
              <v:shape style="position:absolute;left:2320;top:120;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4993;top:10;width:4585;height:402" type="#_x0000_t202" filled="false" stroked="false">
                <v:textbox inset="0,0,0,0">
                  <w:txbxContent>
                    <w:p>
                      <w:pPr>
                        <w:spacing w:before="55"/>
                        <w:ind w:left="0" w:right="1" w:firstLine="0"/>
                        <w:jc w:val="center"/>
                        <w:rPr>
                          <w:rFonts w:ascii="宋体" w:hAnsi="宋体" w:cs="宋体" w:eastAsia="宋体" w:hint="default"/>
                          <w:sz w:val="18"/>
                          <w:szCs w:val="18"/>
                        </w:rPr>
                      </w:pPr>
                      <w:r>
                        <w:rPr>
                          <w:rFonts w:ascii="宋体" w:hAnsi="宋体" w:cs="宋体" w:eastAsia="宋体" w:hint="default"/>
                          <w:sz w:val="18"/>
                          <w:szCs w:val="18"/>
                        </w:rPr>
                        <w:t>核销金额</w:t>
                      </w:r>
                    </w:p>
                  </w:txbxContent>
                </v:textbox>
                <w10:wrap type="none"/>
              </v:shape>
            </v:group>
          </v:group>
        </w:pict>
      </w:r>
      <w:r>
        <w:rPr>
          <w:rFonts w:ascii="宋体" w:hAnsi="宋体" w:cs="宋体" w:eastAsia="宋体" w:hint="default"/>
          <w:position w:val="-7"/>
          <w:sz w:val="20"/>
          <w:szCs w:val="20"/>
        </w:rPr>
      </w:r>
    </w:p>
    <w:p>
      <w:pPr>
        <w:pStyle w:val="BodyText"/>
        <w:spacing w:line="240" w:lineRule="auto" w:before="50"/>
        <w:ind w:right="0"/>
        <w:jc w:val="left"/>
      </w:pPr>
      <w:r>
        <w:rPr/>
        <w:t>其中重要的应收账款核销情况：</w:t>
      </w:r>
    </w:p>
    <w:p>
      <w:pPr>
        <w:pStyle w:val="BodyText"/>
        <w:spacing w:line="240" w:lineRule="auto" w:before="116"/>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684"/>
        <w:gridCol w:w="1551"/>
        <w:gridCol w:w="1552"/>
        <w:gridCol w:w="1552"/>
        <w:gridCol w:w="1615"/>
        <w:gridCol w:w="1615"/>
      </w:tblGrid>
      <w:tr>
        <w:trPr>
          <w:trHeight w:val="714" w:hRule="exact"/>
        </w:trPr>
        <w:tc>
          <w:tcPr>
            <w:tcW w:w="16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77"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5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0" w:right="0"/>
              <w:jc w:val="left"/>
              <w:rPr>
                <w:rFonts w:ascii="宋体" w:hAnsi="宋体" w:cs="宋体" w:eastAsia="宋体" w:hint="default"/>
                <w:sz w:val="18"/>
                <w:szCs w:val="18"/>
              </w:rPr>
            </w:pPr>
            <w:r>
              <w:rPr>
                <w:rFonts w:ascii="宋体" w:hAnsi="宋体" w:cs="宋体" w:eastAsia="宋体" w:hint="default"/>
                <w:sz w:val="18"/>
                <w:szCs w:val="18"/>
              </w:rPr>
              <w:t>应收账款性质</w:t>
            </w:r>
          </w:p>
        </w:tc>
        <w:tc>
          <w:tcPr>
            <w:tcW w:w="155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11"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55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10"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161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71" w:right="0"/>
              <w:jc w:val="left"/>
              <w:rPr>
                <w:rFonts w:ascii="宋体" w:hAnsi="宋体" w:cs="宋体" w:eastAsia="宋体" w:hint="default"/>
                <w:sz w:val="18"/>
                <w:szCs w:val="18"/>
              </w:rPr>
            </w:pPr>
            <w:r>
              <w:rPr>
                <w:rFonts w:ascii="宋体" w:hAnsi="宋体" w:cs="宋体" w:eastAsia="宋体" w:hint="default"/>
                <w:sz w:val="18"/>
                <w:szCs w:val="18"/>
              </w:rPr>
              <w:t>履行的核销程序</w:t>
            </w:r>
          </w:p>
        </w:tc>
        <w:tc>
          <w:tcPr>
            <w:tcW w:w="161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49"/>
              <w:ind w:left="442" w:right="171" w:hanging="270"/>
              <w:jc w:val="left"/>
              <w:rPr>
                <w:rFonts w:ascii="宋体" w:hAnsi="宋体" w:cs="宋体" w:eastAsia="宋体" w:hint="default"/>
                <w:sz w:val="18"/>
                <w:szCs w:val="18"/>
              </w:rPr>
            </w:pPr>
            <w:r>
              <w:rPr>
                <w:rFonts w:ascii="宋体" w:hAnsi="宋体" w:cs="宋体" w:eastAsia="宋体" w:hint="default"/>
                <w:sz w:val="18"/>
                <w:szCs w:val="18"/>
              </w:rPr>
              <w:t>款项是否由关联 交易产生</w:t>
            </w:r>
          </w:p>
        </w:tc>
      </w:tr>
    </w:tbl>
    <w:p>
      <w:pPr>
        <w:pStyle w:val="BodyText"/>
        <w:spacing w:line="240" w:lineRule="auto" w:before="49"/>
        <w:ind w:right="0"/>
        <w:jc w:val="left"/>
      </w:pPr>
      <w:r>
        <w:rPr/>
        <w:t>应收账款核销说明：</w:t>
      </w:r>
    </w:p>
    <w:p>
      <w:pPr>
        <w:spacing w:line="240" w:lineRule="auto" w:before="13"/>
        <w:rPr>
          <w:rFonts w:ascii="宋体" w:hAnsi="宋体" w:cs="宋体" w:eastAsia="宋体" w:hint="default"/>
          <w:sz w:val="26"/>
          <w:szCs w:val="26"/>
        </w:rPr>
      </w:pPr>
    </w:p>
    <w:p>
      <w:pPr>
        <w:pStyle w:val="Heading3"/>
        <w:spacing w:line="240" w:lineRule="auto"/>
        <w:ind w:right="0"/>
        <w:jc w:val="left"/>
        <w:rPr>
          <w:b w:val="0"/>
          <w:bCs w:val="0"/>
        </w:rPr>
      </w:pPr>
      <w:r>
        <w:rPr/>
        <w:t>（</w:t>
      </w:r>
      <w:r>
        <w:rPr>
          <w:rFonts w:ascii="Times New Roman" w:hAnsi="Times New Roman" w:cs="Times New Roman" w:eastAsia="Times New Roman" w:hint="default"/>
        </w:rPr>
        <w:t>4</w:t>
      </w:r>
      <w:r>
        <w:rPr/>
        <w:t>）按欠款方归集的期末余额前五名的应收账款情况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92"/>
        <w:gridCol w:w="2392"/>
        <w:gridCol w:w="2392"/>
        <w:gridCol w:w="2392"/>
      </w:tblGrid>
      <w:tr>
        <w:trPr>
          <w:trHeight w:val="713" w:hRule="exact"/>
        </w:trPr>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71" w:right="0"/>
              <w:jc w:val="left"/>
              <w:rPr>
                <w:rFonts w:ascii="宋体" w:hAnsi="宋体" w:cs="宋体" w:eastAsia="宋体" w:hint="default"/>
                <w:sz w:val="18"/>
                <w:szCs w:val="18"/>
              </w:rPr>
            </w:pPr>
            <w:r>
              <w:rPr>
                <w:rFonts w:ascii="宋体" w:hAnsi="宋体" w:cs="宋体" w:eastAsia="宋体" w:hint="default"/>
                <w:sz w:val="18"/>
                <w:szCs w:val="18"/>
              </w:rPr>
              <w:t>应收账款期末余额</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921" w:right="109" w:hanging="810"/>
              <w:jc w:val="left"/>
              <w:rPr>
                <w:rFonts w:ascii="宋体" w:hAnsi="宋体" w:cs="宋体" w:eastAsia="宋体" w:hint="default"/>
                <w:sz w:val="18"/>
                <w:szCs w:val="18"/>
              </w:rPr>
            </w:pPr>
            <w:r>
              <w:rPr>
                <w:rFonts w:ascii="宋体" w:hAnsi="宋体" w:cs="宋体" w:eastAsia="宋体" w:hint="default"/>
                <w:sz w:val="18"/>
                <w:szCs w:val="18"/>
              </w:rPr>
              <w:t>占应收账款期末余额合计数 的比例</w:t>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71" w:right="0"/>
              <w:jc w:val="left"/>
              <w:rPr>
                <w:rFonts w:ascii="宋体" w:hAnsi="宋体" w:cs="宋体" w:eastAsia="宋体" w:hint="default"/>
                <w:sz w:val="18"/>
                <w:szCs w:val="18"/>
              </w:rPr>
            </w:pPr>
            <w:r>
              <w:rPr>
                <w:rFonts w:ascii="宋体" w:hAnsi="宋体" w:cs="宋体" w:eastAsia="宋体" w:hint="default"/>
                <w:sz w:val="18"/>
                <w:szCs w:val="18"/>
              </w:rPr>
              <w:t>坏账准备期末余额</w:t>
            </w:r>
          </w:p>
        </w:tc>
      </w:tr>
      <w:tr>
        <w:trPr>
          <w:trHeight w:val="403"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31,988,512.79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w w:val="95"/>
                <w:sz w:val="18"/>
              </w:rPr>
              <w:t>23.42%</w:t>
            </w:r>
            <w:r>
              <w:rPr>
                <w:rFonts w:ascii="Times New Roman"/>
                <w:sz w:val="18"/>
              </w:rPr>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319,885.13</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16,071,076.40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2"/>
                <w:sz w:val="18"/>
              </w:rPr>
              <w:t>11.76%</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10,507,482.72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w w:val="95"/>
                <w:sz w:val="18"/>
              </w:rPr>
              <w:t>7.69%</w:t>
            </w:r>
            <w:r>
              <w:rPr>
                <w:rFonts w:ascii="Times New Roman"/>
                <w:sz w:val="18"/>
              </w:rPr>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105,074.83</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7,927,410.24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w w:val="95"/>
                <w:sz w:val="18"/>
              </w:rPr>
              <w:t>5.80%</w:t>
            </w:r>
            <w:r>
              <w:rPr>
                <w:rFonts w:ascii="Times New Roman"/>
                <w:sz w:val="18"/>
              </w:rPr>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79,274.10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5,733,955.25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w w:val="95"/>
                <w:sz w:val="18"/>
              </w:rPr>
              <w:t>4.20%</w:t>
            </w:r>
            <w:r>
              <w:rPr>
                <w:rFonts w:ascii="Times New Roman"/>
                <w:sz w:val="18"/>
              </w:rPr>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57,339.55</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72,228,437.40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w w:val="95"/>
                <w:sz w:val="18"/>
              </w:rPr>
              <w:t>52.87%</w:t>
            </w:r>
            <w:r>
              <w:rPr>
                <w:rFonts w:ascii="Times New Roman"/>
                <w:sz w:val="18"/>
              </w:rPr>
            </w:r>
          </w:p>
        </w:tc>
        <w:tc>
          <w:tcPr>
            <w:tcW w:w="2392" w:type="dxa"/>
            <w:tcBorders>
              <w:top w:val="single" w:sz="4" w:space="0" w:color="000000"/>
              <w:left w:val="single" w:sz="4" w:space="0" w:color="000000"/>
              <w:bottom w:val="single" w:sz="4" w:space="0" w:color="000000"/>
              <w:right w:val="single" w:sz="4" w:space="0" w:color="000000"/>
            </w:tcBorders>
            <w:shd w:val="clear" w:color="auto" w:fill="D3D3D3"/>
          </w:tcPr>
          <w:p>
            <w:pPr/>
          </w:p>
        </w:tc>
      </w:tr>
    </w:tbl>
    <w:p>
      <w:pPr>
        <w:spacing w:line="240" w:lineRule="auto" w:before="1"/>
        <w:rPr>
          <w:rFonts w:ascii="宋体" w:hAnsi="宋体" w:cs="宋体" w:eastAsia="宋体" w:hint="default"/>
          <w:sz w:val="19"/>
          <w:szCs w:val="19"/>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5</w:t>
      </w:r>
      <w:r>
        <w:rPr/>
        <w:t>）因金融资产转移而终止确认的应收账款</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t>（</w:t>
      </w:r>
      <w:r>
        <w:rPr>
          <w:rFonts w:ascii="Times New Roman" w:hAnsi="Times New Roman" w:cs="Times New Roman" w:eastAsia="Times New Roman" w:hint="default"/>
        </w:rPr>
        <w:t>6</w:t>
      </w:r>
      <w:r>
        <w:rPr/>
        <w:t>）转移应收账款且继续涉入形成的资产、负债金额</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其他说明：</w:t>
      </w:r>
    </w:p>
    <w:p>
      <w:pPr>
        <w:spacing w:after="0" w:line="240" w:lineRule="auto"/>
        <w:jc w:val="left"/>
        <w:sectPr>
          <w:pgSz w:w="11910" w:h="16840"/>
          <w:pgMar w:header="906" w:footer="1018" w:top="1100" w:bottom="1200" w:left="1020" w:right="0"/>
        </w:sectPr>
      </w:pPr>
    </w:p>
    <w:p>
      <w:pPr>
        <w:spacing w:line="240" w:lineRule="auto" w:before="9"/>
        <w:rPr>
          <w:rFonts w:ascii="宋体" w:hAnsi="宋体" w:cs="宋体" w:eastAsia="宋体" w:hint="default"/>
          <w:sz w:val="21"/>
          <w:szCs w:val="21"/>
        </w:rPr>
      </w:pPr>
    </w:p>
    <w:p>
      <w:pPr>
        <w:pStyle w:val="Heading3"/>
        <w:spacing w:line="240" w:lineRule="auto" w:before="35"/>
        <w:ind w:right="0"/>
        <w:jc w:val="left"/>
        <w:rPr>
          <w:b w:val="0"/>
          <w:bCs w:val="0"/>
        </w:rPr>
      </w:pPr>
      <w:r>
        <w:rPr>
          <w:rFonts w:ascii="Times New Roman" w:hAnsi="Times New Roman" w:cs="Times New Roman" w:eastAsia="Times New Roman" w:hint="default"/>
        </w:rPr>
        <w:t>2</w:t>
      </w:r>
      <w:r>
        <w:rPr/>
        <w:t>、其他应收款</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140,023,871.55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7,367,704.72</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140,023,871.55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7,367,704.72</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1</w:t>
      </w:r>
      <w:r>
        <w:rPr/>
        <w:t>）应收利息</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rFonts w:ascii="Times New Roman" w:hAnsi="Times New Roman" w:cs="Times New Roman" w:eastAsia="Times New Roman" w:hint="default"/>
        </w:rPr>
        <w:t>1</w:t>
      </w:r>
      <w:r>
        <w:rPr/>
        <w:t>）应收利息分类</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89"/>
      </w:tblGrid>
      <w:tr>
        <w:trPr>
          <w:trHeight w:val="401"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r>
        <w:rPr>
          <w:rFonts w:ascii="Times New Roman" w:hAnsi="Times New Roman" w:cs="Times New Roman" w:eastAsia="Times New Roman" w:hint="default"/>
        </w:rPr>
        <w:t>2</w:t>
      </w:r>
      <w:r>
        <w:rPr/>
        <w:t>）重要逾期利息</w:t>
      </w:r>
      <w:r>
        <w:rPr>
          <w:b w:val="0"/>
          <w:bCs w:val="0"/>
        </w:rPr>
      </w:r>
    </w:p>
    <w:p>
      <w:pPr>
        <w:spacing w:line="240" w:lineRule="auto" w:before="10"/>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714" w:hRule="exact"/>
        </w:trPr>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借款单位</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逾期时间</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逾期原因</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0"/>
              <w:ind w:left="681" w:right="140" w:hanging="540"/>
              <w:jc w:val="left"/>
              <w:rPr>
                <w:rFonts w:ascii="宋体" w:hAnsi="宋体" w:cs="宋体" w:eastAsia="宋体" w:hint="default"/>
                <w:sz w:val="18"/>
                <w:szCs w:val="18"/>
              </w:rPr>
            </w:pPr>
            <w:r>
              <w:rPr>
                <w:rFonts w:ascii="宋体" w:hAnsi="宋体" w:cs="宋体" w:eastAsia="宋体" w:hint="default"/>
                <w:sz w:val="18"/>
                <w:szCs w:val="18"/>
              </w:rPr>
              <w:t>是否发生减值及其判 断依据</w:t>
            </w:r>
          </w:p>
        </w:tc>
      </w:tr>
    </w:tbl>
    <w:p>
      <w:pPr>
        <w:pStyle w:val="BodyText"/>
        <w:spacing w:line="240" w:lineRule="auto" w:before="50"/>
        <w:ind w:right="0"/>
        <w:jc w:val="left"/>
      </w:pPr>
      <w:r>
        <w:rPr/>
        <w:t>其他说明：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3</w:t>
      </w:r>
      <w:r>
        <w:rPr/>
        <w:t>）坏账准备计提情况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t>（</w:t>
      </w:r>
      <w:r>
        <w:rPr>
          <w:rFonts w:ascii="Times New Roman" w:hAnsi="Times New Roman" w:cs="Times New Roman" w:eastAsia="Times New Roman" w:hint="default"/>
        </w:rPr>
        <w:t>2</w:t>
      </w:r>
      <w:r>
        <w:rPr/>
        <w:t>）应收股利</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rFonts w:ascii="Times New Roman" w:hAnsi="Times New Roman" w:cs="Times New Roman" w:eastAsia="Times New Roman" w:hint="default"/>
        </w:rPr>
        <w:t>1</w:t>
      </w:r>
      <w:r>
        <w:rPr/>
        <w:t>）应收股利分类</w:t>
      </w:r>
      <w:r>
        <w:rPr>
          <w:b w:val="0"/>
          <w:bCs w:val="0"/>
        </w:rPr>
      </w:r>
    </w:p>
    <w:p>
      <w:pPr>
        <w:spacing w:line="240" w:lineRule="auto" w:before="2"/>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89"/>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81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项目</w:t>
            </w:r>
            <w:r>
              <w:rPr>
                <w:rFonts w:ascii="Times New Roman" w:hAnsi="Times New Roman" w:cs="Times New Roman" w:eastAsia="Times New Roman" w:hint="default"/>
                <w:sz w:val="18"/>
                <w:szCs w:val="18"/>
              </w:rPr>
              <w:t>(</w:t>
            </w:r>
            <w:r>
              <w:rPr>
                <w:rFonts w:ascii="宋体" w:hAnsi="宋体" w:cs="宋体" w:eastAsia="宋体" w:hint="default"/>
                <w:sz w:val="18"/>
                <w:szCs w:val="18"/>
              </w:rPr>
              <w:t>或被投资单位</w:t>
            </w:r>
            <w:r>
              <w:rPr>
                <w:rFonts w:ascii="Times New Roman" w:hAnsi="Times New Roman" w:cs="Times New Roman" w:eastAsia="Times New Roman" w:hint="default"/>
                <w:sz w:val="18"/>
                <w:szCs w:val="18"/>
              </w:rPr>
              <w:t>)</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r>
        <w:rPr>
          <w:rFonts w:ascii="Times New Roman" w:hAnsi="Times New Roman" w:cs="Times New Roman" w:eastAsia="Times New Roman" w:hint="default"/>
        </w:rPr>
        <w:t>2</w:t>
      </w:r>
      <w:r>
        <w:rPr/>
        <w:t>）重要的账龄超过</w:t>
      </w:r>
      <w:r>
        <w:rPr>
          <w:spacing w:val="-56"/>
        </w:rPr>
        <w:t> </w:t>
      </w:r>
      <w:r>
        <w:rPr>
          <w:rFonts w:ascii="Times New Roman" w:hAnsi="Times New Roman" w:cs="Times New Roman" w:eastAsia="Times New Roman" w:hint="default"/>
        </w:rPr>
        <w:t>1</w:t>
      </w:r>
      <w:r>
        <w:rPr>
          <w:rFonts w:ascii="Times New Roman" w:hAnsi="Times New Roman" w:cs="Times New Roman" w:eastAsia="Times New Roman" w:hint="default"/>
          <w:spacing w:val="-3"/>
        </w:rPr>
        <w:t> </w:t>
      </w:r>
      <w:r>
        <w:rPr/>
        <w:t>年的应收股利</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714" w:hRule="exact"/>
        </w:trPr>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7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项目</w:t>
            </w:r>
            <w:r>
              <w:rPr>
                <w:rFonts w:ascii="Times New Roman" w:hAnsi="Times New Roman" w:cs="Times New Roman" w:eastAsia="Times New Roman" w:hint="default"/>
                <w:sz w:val="18"/>
                <w:szCs w:val="18"/>
              </w:rPr>
              <w:t>(</w:t>
            </w:r>
            <w:r>
              <w:rPr>
                <w:rFonts w:ascii="宋体" w:hAnsi="宋体" w:cs="宋体" w:eastAsia="宋体" w:hint="default"/>
                <w:sz w:val="18"/>
                <w:szCs w:val="18"/>
              </w:rPr>
              <w:t>或被投资单位</w:t>
            </w:r>
            <w:r>
              <w:rPr>
                <w:rFonts w:ascii="Times New Roman" w:hAnsi="Times New Roman" w:cs="Times New Roman" w:eastAsia="Times New Roman" w:hint="default"/>
                <w:sz w:val="18"/>
                <w:szCs w:val="18"/>
              </w:rPr>
              <w:t>)</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411" w:right="0"/>
              <w:jc w:val="left"/>
              <w:rPr>
                <w:rFonts w:ascii="宋体" w:hAnsi="宋体" w:cs="宋体" w:eastAsia="宋体" w:hint="default"/>
                <w:sz w:val="18"/>
                <w:szCs w:val="18"/>
              </w:rPr>
            </w:pPr>
            <w:r>
              <w:rPr>
                <w:rFonts w:ascii="宋体" w:hAnsi="宋体" w:cs="宋体" w:eastAsia="宋体" w:hint="default"/>
                <w:sz w:val="18"/>
                <w:szCs w:val="18"/>
              </w:rPr>
              <w:t>未收回的原因</w:t>
            </w:r>
          </w:p>
        </w:tc>
        <w:tc>
          <w:tcPr>
            <w:tcW w:w="19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0"/>
              <w:ind w:left="681" w:right="140" w:hanging="540"/>
              <w:jc w:val="left"/>
              <w:rPr>
                <w:rFonts w:ascii="宋体" w:hAnsi="宋体" w:cs="宋体" w:eastAsia="宋体" w:hint="default"/>
                <w:sz w:val="18"/>
                <w:szCs w:val="18"/>
              </w:rPr>
            </w:pPr>
            <w:r>
              <w:rPr>
                <w:rFonts w:ascii="宋体" w:hAnsi="宋体" w:cs="宋体" w:eastAsia="宋体" w:hint="default"/>
                <w:sz w:val="18"/>
                <w:szCs w:val="18"/>
              </w:rPr>
              <w:t>是否发生减值及其判 断依据</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r>
        <w:rPr>
          <w:rFonts w:ascii="Times New Roman" w:hAnsi="Times New Roman" w:cs="Times New Roman" w:eastAsia="Times New Roman" w:hint="default"/>
        </w:rPr>
        <w:t>3</w:t>
      </w:r>
      <w:r>
        <w:rPr/>
        <w:t>）坏账准备计提情况</w:t>
      </w:r>
      <w:r>
        <w:rPr>
          <w:b w:val="0"/>
          <w:bCs w:val="0"/>
        </w:rPr>
      </w:r>
    </w:p>
    <w:p>
      <w:pPr>
        <w:spacing w:line="240" w:lineRule="auto" w:before="6"/>
        <w:rPr>
          <w:rFonts w:ascii="宋体" w:hAnsi="宋体" w:cs="宋体" w:eastAsia="宋体" w:hint="default"/>
          <w:b/>
          <w:bCs/>
          <w:sz w:val="26"/>
          <w:szCs w:val="26"/>
        </w:rPr>
      </w:pPr>
    </w:p>
    <w:p>
      <w:pPr>
        <w:pStyle w:val="BodyText"/>
        <w:spacing w:line="357" w:lineRule="auto"/>
        <w:ind w:right="9222"/>
        <w:jc w:val="left"/>
      </w:pPr>
      <w:r>
        <w:rPr/>
        <w:t>□ 适用 √ 不适用 其他说明：</w:t>
      </w:r>
    </w:p>
    <w:p>
      <w:pPr>
        <w:spacing w:after="0" w:line="357" w:lineRule="auto"/>
        <w:jc w:val="left"/>
        <w:sectPr>
          <w:pgSz w:w="11910" w:h="16840"/>
          <w:pgMar w:header="906" w:footer="1018" w:top="1100" w:bottom="1200" w:left="1020" w:right="0"/>
        </w:sectPr>
      </w:pPr>
    </w:p>
    <w:p>
      <w:pPr>
        <w:spacing w:line="240" w:lineRule="auto" w:before="9"/>
        <w:rPr>
          <w:rFonts w:ascii="宋体" w:hAnsi="宋体" w:cs="宋体" w:eastAsia="宋体" w:hint="default"/>
          <w:sz w:val="21"/>
          <w:szCs w:val="21"/>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3</w:t>
      </w:r>
      <w:r>
        <w:rPr/>
        <w:t>）其他应收款</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rFonts w:ascii="Times New Roman" w:hAnsi="Times New Roman" w:cs="Times New Roman" w:eastAsia="Times New Roman" w:hint="default"/>
        </w:rPr>
        <w:t>1</w:t>
      </w:r>
      <w:r>
        <w:rPr/>
        <w:t>）其他应收款按款项性质分类情况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1"/>
        <w:gridCol w:w="3191"/>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1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49"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1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49"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合并范围内公司款项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132,342,878.00</w:t>
            </w:r>
          </w:p>
        </w:tc>
        <w:tc>
          <w:tcPr>
            <w:tcW w:w="319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押金及保证金</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9,735,656.30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9,757,827.13</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备用金</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1,301,221.00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1,491,510.86</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代垫款</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364,891.13</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714,677.69</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143,744,646.43</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11,964,015.68</w:t>
            </w:r>
          </w:p>
        </w:tc>
      </w:tr>
    </w:tbl>
    <w:p>
      <w:pPr>
        <w:spacing w:line="240" w:lineRule="auto" w:before="1"/>
        <w:rPr>
          <w:rFonts w:ascii="宋体" w:hAnsi="宋体" w:cs="宋体" w:eastAsia="宋体" w:hint="default"/>
          <w:sz w:val="19"/>
          <w:szCs w:val="19"/>
        </w:rPr>
      </w:pPr>
    </w:p>
    <w:p>
      <w:pPr>
        <w:pStyle w:val="Heading3"/>
        <w:spacing w:line="240" w:lineRule="auto" w:before="35"/>
        <w:ind w:right="0"/>
        <w:jc w:val="left"/>
        <w:rPr>
          <w:b w:val="0"/>
          <w:bCs w:val="0"/>
        </w:rPr>
      </w:pPr>
      <w:r>
        <w:rPr>
          <w:rFonts w:ascii="Times New Roman" w:hAnsi="Times New Roman" w:cs="Times New Roman" w:eastAsia="Times New Roman" w:hint="default"/>
        </w:rPr>
        <w:t>2</w:t>
      </w:r>
      <w:r>
        <w:rPr/>
        <w:t>）坏账准备计提情况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6"/>
        <w:gridCol w:w="1650"/>
        <w:gridCol w:w="2099"/>
        <w:gridCol w:w="2099"/>
        <w:gridCol w:w="1804"/>
      </w:tblGrid>
      <w:tr>
        <w:trPr>
          <w:trHeight w:val="401" w:hRule="exact"/>
        </w:trPr>
        <w:tc>
          <w:tcPr>
            <w:tcW w:w="1916"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65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460" w:right="0"/>
              <w:jc w:val="left"/>
              <w:rPr>
                <w:rFonts w:ascii="宋体" w:hAnsi="宋体" w:cs="宋体" w:eastAsia="宋体" w:hint="default"/>
                <w:sz w:val="18"/>
                <w:szCs w:val="18"/>
              </w:rPr>
            </w:pPr>
            <w:r>
              <w:rPr>
                <w:rFonts w:ascii="宋体" w:hAnsi="宋体" w:cs="宋体" w:eastAsia="宋体" w:hint="default"/>
                <w:sz w:val="18"/>
                <w:szCs w:val="18"/>
              </w:rPr>
              <w:t>第一阶段</w:t>
            </w:r>
          </w:p>
        </w:tc>
        <w:tc>
          <w:tcPr>
            <w:tcW w:w="209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第二阶段</w:t>
            </w:r>
          </w:p>
        </w:tc>
        <w:tc>
          <w:tcPr>
            <w:tcW w:w="209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684" w:right="0"/>
              <w:jc w:val="left"/>
              <w:rPr>
                <w:rFonts w:ascii="宋体" w:hAnsi="宋体" w:cs="宋体" w:eastAsia="宋体" w:hint="default"/>
                <w:sz w:val="18"/>
                <w:szCs w:val="18"/>
              </w:rPr>
            </w:pPr>
            <w:r>
              <w:rPr>
                <w:rFonts w:ascii="宋体" w:hAnsi="宋体" w:cs="宋体" w:eastAsia="宋体" w:hint="default"/>
                <w:sz w:val="18"/>
                <w:szCs w:val="18"/>
              </w:rPr>
              <w:t>第三阶段</w:t>
            </w:r>
          </w:p>
        </w:tc>
        <w:tc>
          <w:tcPr>
            <w:tcW w:w="1804"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714" w:hRule="exact"/>
        </w:trPr>
        <w:tc>
          <w:tcPr>
            <w:tcW w:w="1916" w:type="dxa"/>
            <w:vMerge/>
            <w:tcBorders>
              <w:left w:val="single" w:sz="4" w:space="0" w:color="000000"/>
              <w:bottom w:val="single" w:sz="4" w:space="0" w:color="000000"/>
              <w:right w:val="single" w:sz="4" w:space="0" w:color="000000"/>
            </w:tcBorders>
            <w:shd w:val="clear" w:color="auto" w:fill="D3D3D3"/>
          </w:tcPr>
          <w:p>
            <w:pPr/>
          </w:p>
        </w:tc>
        <w:tc>
          <w:tcPr>
            <w:tcW w:w="165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49"/>
              <w:ind w:left="460" w:right="143" w:hanging="315"/>
              <w:jc w:val="left"/>
              <w:rPr>
                <w:rFonts w:ascii="宋体" w:hAnsi="宋体" w:cs="宋体" w:eastAsia="宋体" w:hint="default"/>
                <w:sz w:val="18"/>
                <w:szCs w:val="18"/>
              </w:rPr>
            </w:pPr>
            <w:r>
              <w:rPr>
                <w:rFonts w:ascii="宋体" w:hAnsi="宋体" w:cs="宋体" w:eastAsia="宋体" w:hint="default"/>
                <w:sz w:val="18"/>
                <w:szCs w:val="18"/>
              </w:rPr>
              <w:t>未来</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个月预期 信用损失</w:t>
            </w:r>
          </w:p>
        </w:tc>
        <w:tc>
          <w:tcPr>
            <w:tcW w:w="209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265" w:right="143" w:hanging="122"/>
              <w:jc w:val="left"/>
              <w:rPr>
                <w:rFonts w:ascii="Times New Roman" w:hAnsi="Times New Roman" w:cs="Times New Roman" w:eastAsia="Times New Roman" w:hint="default"/>
                <w:sz w:val="18"/>
                <w:szCs w:val="18"/>
              </w:rPr>
            </w:pPr>
            <w:r>
              <w:rPr>
                <w:rFonts w:ascii="宋体" w:hAnsi="宋体" w:cs="宋体" w:eastAsia="宋体" w:hint="default"/>
                <w:sz w:val="18"/>
                <w:szCs w:val="18"/>
              </w:rPr>
              <w:t>整个存续期预期信用损 失</w:t>
            </w:r>
            <w:r>
              <w:rPr>
                <w:rFonts w:ascii="Times New Roman" w:hAnsi="Times New Roman" w:cs="Times New Roman" w:eastAsia="Times New Roman" w:hint="default"/>
                <w:sz w:val="18"/>
                <w:szCs w:val="18"/>
              </w:rPr>
              <w:t>(</w:t>
            </w:r>
            <w:r>
              <w:rPr>
                <w:rFonts w:ascii="宋体" w:hAnsi="宋体" w:cs="宋体" w:eastAsia="宋体" w:hint="default"/>
                <w:sz w:val="18"/>
                <w:szCs w:val="18"/>
              </w:rPr>
              <w:t>未发生信用减值</w:t>
            </w:r>
            <w:r>
              <w:rPr>
                <w:rFonts w:ascii="Times New Roman" w:hAnsi="Times New Roman" w:cs="Times New Roman" w:eastAsia="Times New Roman" w:hint="default"/>
                <w:sz w:val="18"/>
                <w:szCs w:val="18"/>
              </w:rPr>
              <w:t>)</w:t>
            </w:r>
          </w:p>
        </w:tc>
        <w:tc>
          <w:tcPr>
            <w:tcW w:w="209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265" w:right="143" w:hanging="122"/>
              <w:jc w:val="left"/>
              <w:rPr>
                <w:rFonts w:ascii="Times New Roman" w:hAnsi="Times New Roman" w:cs="Times New Roman" w:eastAsia="Times New Roman" w:hint="default"/>
                <w:sz w:val="18"/>
                <w:szCs w:val="18"/>
              </w:rPr>
            </w:pPr>
            <w:r>
              <w:rPr>
                <w:rFonts w:ascii="宋体" w:hAnsi="宋体" w:cs="宋体" w:eastAsia="宋体" w:hint="default"/>
                <w:sz w:val="18"/>
                <w:szCs w:val="18"/>
              </w:rPr>
              <w:t>整个存续期预期信用损 失</w:t>
            </w:r>
            <w:r>
              <w:rPr>
                <w:rFonts w:ascii="Times New Roman" w:hAnsi="Times New Roman" w:cs="Times New Roman" w:eastAsia="Times New Roman" w:hint="default"/>
                <w:sz w:val="18"/>
                <w:szCs w:val="18"/>
              </w:rPr>
              <w:t>(</w:t>
            </w:r>
            <w:r>
              <w:rPr>
                <w:rFonts w:ascii="宋体" w:hAnsi="宋体" w:cs="宋体" w:eastAsia="宋体" w:hint="default"/>
                <w:sz w:val="18"/>
                <w:szCs w:val="18"/>
              </w:rPr>
              <w:t>已发生信用减值</w:t>
            </w:r>
            <w:r>
              <w:rPr>
                <w:rFonts w:ascii="Times New Roman" w:hAnsi="Times New Roman" w:cs="Times New Roman" w:eastAsia="Times New Roman" w:hint="default"/>
                <w:sz w:val="18"/>
                <w:szCs w:val="18"/>
              </w:rPr>
              <w:t>)</w:t>
            </w:r>
          </w:p>
        </w:tc>
        <w:tc>
          <w:tcPr>
            <w:tcW w:w="1804" w:type="dxa"/>
            <w:vMerge/>
            <w:tcBorders>
              <w:left w:val="single" w:sz="4" w:space="0" w:color="000000"/>
              <w:bottom w:val="single" w:sz="4" w:space="0" w:color="000000"/>
              <w:right w:val="single" w:sz="4" w:space="0" w:color="000000"/>
            </w:tcBorders>
            <w:shd w:val="clear" w:color="auto" w:fill="D3D3D3"/>
          </w:tcPr>
          <w:p>
            <w:pPr/>
          </w:p>
        </w:tc>
      </w:tr>
      <w:tr>
        <w:trPr>
          <w:trHeight w:val="403" w:hRule="exact"/>
        </w:trPr>
        <w:tc>
          <w:tcPr>
            <w:tcW w:w="1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日余额</w:t>
            </w: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1,167,920.90</w:t>
            </w:r>
          </w:p>
        </w:tc>
        <w:tc>
          <w:tcPr>
            <w:tcW w:w="2099" w:type="dxa"/>
            <w:tcBorders>
              <w:top w:val="single" w:sz="4" w:space="0" w:color="000000"/>
              <w:left w:val="single" w:sz="4" w:space="0" w:color="000000"/>
              <w:bottom w:val="single" w:sz="4" w:space="0" w:color="000000"/>
              <w:right w:val="single" w:sz="4" w:space="0" w:color="000000"/>
            </w:tcBorders>
          </w:tcPr>
          <w:p>
            <w:pPr/>
          </w:p>
        </w:tc>
        <w:tc>
          <w:tcPr>
            <w:tcW w:w="2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3,428,390.06</w:t>
            </w:r>
          </w:p>
        </w:tc>
        <w:tc>
          <w:tcPr>
            <w:tcW w:w="1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4,596,310.96</w:t>
            </w:r>
          </w:p>
        </w:tc>
      </w:tr>
      <w:tr>
        <w:trPr>
          <w:trHeight w:val="713" w:hRule="exact"/>
        </w:trPr>
        <w:tc>
          <w:tcPr>
            <w:tcW w:w="1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49"/>
              <w:ind w:left="102" w:right="136"/>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日余额 在本期</w:t>
            </w:r>
          </w:p>
        </w:tc>
        <w:tc>
          <w:tcPr>
            <w:tcW w:w="165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209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w:t>
            </w:r>
          </w:p>
        </w:tc>
        <w:tc>
          <w:tcPr>
            <w:tcW w:w="209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w:t>
            </w:r>
          </w:p>
        </w:tc>
        <w:tc>
          <w:tcPr>
            <w:tcW w:w="180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w:t>
            </w:r>
          </w:p>
        </w:tc>
      </w:tr>
      <w:tr>
        <w:trPr>
          <w:trHeight w:val="403" w:hRule="exact"/>
        </w:trPr>
        <w:tc>
          <w:tcPr>
            <w:tcW w:w="1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本期转回</w:t>
            </w: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551,184.13</w:t>
            </w:r>
          </w:p>
        </w:tc>
        <w:tc>
          <w:tcPr>
            <w:tcW w:w="2099" w:type="dxa"/>
            <w:tcBorders>
              <w:top w:val="single" w:sz="4" w:space="0" w:color="000000"/>
              <w:left w:val="single" w:sz="4" w:space="0" w:color="000000"/>
              <w:bottom w:val="single" w:sz="4" w:space="0" w:color="000000"/>
              <w:right w:val="single" w:sz="4" w:space="0" w:color="000000"/>
            </w:tcBorders>
          </w:tcPr>
          <w:p>
            <w:pPr/>
          </w:p>
        </w:tc>
        <w:tc>
          <w:tcPr>
            <w:tcW w:w="2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324,351.95</w:t>
            </w:r>
          </w:p>
        </w:tc>
        <w:tc>
          <w:tcPr>
            <w:tcW w:w="1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875,536.08</w:t>
            </w:r>
          </w:p>
        </w:tc>
      </w:tr>
      <w:tr>
        <w:trPr>
          <w:trHeight w:val="714" w:hRule="exact"/>
        </w:trPr>
        <w:tc>
          <w:tcPr>
            <w:tcW w:w="1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49"/>
              <w:ind w:left="102" w:right="136"/>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日余 额</w:t>
            </w: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616,736.77</w:t>
            </w:r>
          </w:p>
        </w:tc>
        <w:tc>
          <w:tcPr>
            <w:tcW w:w="2099" w:type="dxa"/>
            <w:tcBorders>
              <w:top w:val="single" w:sz="4" w:space="0" w:color="000000"/>
              <w:left w:val="single" w:sz="4" w:space="0" w:color="000000"/>
              <w:bottom w:val="single" w:sz="4" w:space="0" w:color="000000"/>
              <w:right w:val="single" w:sz="4" w:space="0" w:color="000000"/>
            </w:tcBorders>
          </w:tcPr>
          <w:p>
            <w:pPr/>
          </w:p>
        </w:tc>
        <w:tc>
          <w:tcPr>
            <w:tcW w:w="2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3,104,038.11</w:t>
            </w:r>
          </w:p>
        </w:tc>
        <w:tc>
          <w:tcPr>
            <w:tcW w:w="1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3,720,774.88</w:t>
            </w:r>
          </w:p>
        </w:tc>
      </w:tr>
    </w:tbl>
    <w:p>
      <w:pPr>
        <w:spacing w:after="0" w:line="240" w:lineRule="auto"/>
        <w:jc w:val="right"/>
        <w:rPr>
          <w:rFonts w:ascii="Times New Roman" w:hAnsi="Times New Roman" w:cs="Times New Roman" w:eastAsia="Times New Roman" w:hint="default"/>
          <w:sz w:val="18"/>
          <w:szCs w:val="18"/>
        </w:rPr>
        <w:sectPr>
          <w:pgSz w:w="11910" w:h="16840"/>
          <w:pgMar w:header="906" w:footer="1018" w:top="1100" w:bottom="1200" w:left="1020" w:right="0"/>
        </w:sectPr>
      </w:pPr>
    </w:p>
    <w:p>
      <w:pPr>
        <w:pStyle w:val="BodyText"/>
        <w:spacing w:line="240" w:lineRule="auto" w:before="49"/>
        <w:ind w:right="-20"/>
        <w:jc w:val="left"/>
      </w:pPr>
      <w:r>
        <w:rPr/>
        <w:t>损失准备本期变动金额重大的账面余额变动情况</w:t>
      </w:r>
    </w:p>
    <w:p>
      <w:pPr>
        <w:pStyle w:val="BodyText"/>
        <w:spacing w:line="357" w:lineRule="auto" w:before="116"/>
        <w:ind w:right="2230"/>
        <w:jc w:val="left"/>
      </w:pPr>
      <w:r>
        <w:rPr/>
        <w:t>□ 适用 √ 不适用 按账龄披露</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12"/>
          <w:szCs w:val="12"/>
        </w:rPr>
      </w:pPr>
    </w:p>
    <w:p>
      <w:pPr>
        <w:pStyle w:val="BodyText"/>
        <w:spacing w:line="240" w:lineRule="auto"/>
        <w:ind w:right="0"/>
        <w:jc w:val="left"/>
      </w:pPr>
      <w:r>
        <w:rPr/>
        <w:t>单位：</w:t>
      </w:r>
      <w:r>
        <w:rPr>
          <w:spacing w:val="-1"/>
        </w:rPr>
        <w:t> </w:t>
      </w:r>
      <w:r>
        <w:rPr/>
        <w:t>元</w:t>
      </w:r>
    </w:p>
    <w:p>
      <w:pPr>
        <w:spacing w:after="0" w:line="240" w:lineRule="auto"/>
        <w:jc w:val="left"/>
        <w:sectPr>
          <w:type w:val="continuous"/>
          <w:pgSz w:w="11910" w:h="16840"/>
          <w:pgMar w:top="1100" w:bottom="1200" w:left="1020" w:right="0"/>
          <w:cols w:num="2" w:equalWidth="0">
            <w:col w:w="3894" w:space="4934"/>
            <w:col w:w="2062"/>
          </w:cols>
        </w:sectPr>
      </w:pP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4784"/>
        <w:gridCol w:w="4784"/>
      </w:tblGrid>
      <w:tr>
        <w:trPr>
          <w:trHeight w:val="401"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136,697,911.79</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年</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433,505.73</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年</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3,509,190.80</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 </w:t>
            </w:r>
            <w:r>
              <w:rPr>
                <w:rFonts w:ascii="宋体" w:hAnsi="宋体" w:cs="宋体" w:eastAsia="宋体" w:hint="default"/>
                <w:sz w:val="18"/>
                <w:szCs w:val="18"/>
              </w:rPr>
              <w:t>年以上</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3,104,038.11</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2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年</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3,104,038.11</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143,744,646.43</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100" w:bottom="1200" w:left="1020" w:right="0"/>
        </w:sectPr>
      </w:pPr>
    </w:p>
    <w:p>
      <w:pPr>
        <w:spacing w:line="240" w:lineRule="auto" w:before="9"/>
        <w:rPr>
          <w:rFonts w:ascii="宋体" w:hAnsi="宋体" w:cs="宋体" w:eastAsia="宋体" w:hint="default"/>
          <w:sz w:val="21"/>
          <w:szCs w:val="21"/>
        </w:rPr>
      </w:pPr>
    </w:p>
    <w:p>
      <w:pPr>
        <w:pStyle w:val="Heading3"/>
        <w:spacing w:line="240" w:lineRule="auto" w:before="35"/>
        <w:ind w:right="0"/>
        <w:jc w:val="left"/>
        <w:rPr>
          <w:b w:val="0"/>
          <w:bCs w:val="0"/>
        </w:rPr>
      </w:pPr>
      <w:r>
        <w:rPr>
          <w:rFonts w:ascii="Times New Roman" w:hAnsi="Times New Roman" w:cs="Times New Roman" w:eastAsia="Times New Roman" w:hint="default"/>
        </w:rPr>
        <w:t>3</w:t>
      </w:r>
      <w:r>
        <w:rPr/>
        <w:t>）本期计提、收回或转回的坏账准备情况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0"/>
        <w:jc w:val="left"/>
      </w:pPr>
      <w:r>
        <w:rPr/>
        <w:t>本期计提坏账准备情况：</w:t>
      </w:r>
    </w:p>
    <w:p>
      <w:pPr>
        <w:pStyle w:val="BodyText"/>
        <w:spacing w:line="240" w:lineRule="auto" w:before="116"/>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579"/>
        <w:gridCol w:w="1087"/>
        <w:gridCol w:w="1332"/>
        <w:gridCol w:w="1330"/>
        <w:gridCol w:w="1089"/>
        <w:gridCol w:w="1577"/>
        <w:gridCol w:w="1575"/>
      </w:tblGrid>
      <w:tr>
        <w:trPr>
          <w:trHeight w:val="402" w:hRule="exact"/>
        </w:trPr>
        <w:tc>
          <w:tcPr>
            <w:tcW w:w="1579"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1087"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178"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5328" w:type="dxa"/>
            <w:gridSpan w:val="4"/>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本期变动金额</w:t>
            </w:r>
          </w:p>
        </w:tc>
        <w:tc>
          <w:tcPr>
            <w:tcW w:w="1575"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42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579" w:type="dxa"/>
            <w:vMerge/>
            <w:tcBorders>
              <w:left w:val="single" w:sz="4" w:space="0" w:color="000000"/>
              <w:bottom w:val="single" w:sz="4" w:space="0" w:color="000000"/>
              <w:right w:val="single" w:sz="4" w:space="0" w:color="000000"/>
            </w:tcBorders>
            <w:shd w:val="clear" w:color="auto" w:fill="D3D3D3"/>
          </w:tcPr>
          <w:p>
            <w:pPr/>
          </w:p>
        </w:tc>
        <w:tc>
          <w:tcPr>
            <w:tcW w:w="1087" w:type="dxa"/>
            <w:vMerge/>
            <w:tcBorders>
              <w:left w:val="single" w:sz="4" w:space="0" w:color="000000"/>
              <w:bottom w:val="single" w:sz="4" w:space="0" w:color="000000"/>
              <w:right w:val="single" w:sz="4" w:space="0" w:color="000000"/>
            </w:tcBorders>
            <w:shd w:val="clear" w:color="auto" w:fill="D3D3D3"/>
          </w:tcPr>
          <w:p>
            <w:pPr/>
          </w:p>
        </w:tc>
        <w:tc>
          <w:tcPr>
            <w:tcW w:w="133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计提</w:t>
            </w:r>
          </w:p>
        </w:tc>
        <w:tc>
          <w:tcPr>
            <w:tcW w:w="133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209" w:right="0"/>
              <w:jc w:val="left"/>
              <w:rPr>
                <w:rFonts w:ascii="宋体" w:hAnsi="宋体" w:cs="宋体" w:eastAsia="宋体" w:hint="default"/>
                <w:sz w:val="18"/>
                <w:szCs w:val="18"/>
              </w:rPr>
            </w:pPr>
            <w:r>
              <w:rPr>
                <w:rFonts w:ascii="宋体" w:hAnsi="宋体" w:cs="宋体" w:eastAsia="宋体" w:hint="default"/>
                <w:sz w:val="18"/>
                <w:szCs w:val="18"/>
              </w:rPr>
              <w:t>收回或转回</w:t>
            </w:r>
          </w:p>
        </w:tc>
        <w:tc>
          <w:tcPr>
            <w:tcW w:w="108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358" w:right="0"/>
              <w:jc w:val="left"/>
              <w:rPr>
                <w:rFonts w:ascii="宋体" w:hAnsi="宋体" w:cs="宋体" w:eastAsia="宋体" w:hint="default"/>
                <w:sz w:val="18"/>
                <w:szCs w:val="18"/>
              </w:rPr>
            </w:pPr>
            <w:r>
              <w:rPr>
                <w:rFonts w:ascii="宋体" w:hAnsi="宋体" w:cs="宋体" w:eastAsia="宋体" w:hint="default"/>
                <w:sz w:val="18"/>
                <w:szCs w:val="18"/>
              </w:rPr>
              <w:t>核销</w:t>
            </w:r>
          </w:p>
        </w:tc>
        <w:tc>
          <w:tcPr>
            <w:tcW w:w="157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其他</w:t>
            </w:r>
          </w:p>
        </w:tc>
        <w:tc>
          <w:tcPr>
            <w:tcW w:w="1575" w:type="dxa"/>
            <w:vMerge/>
            <w:tcBorders>
              <w:left w:val="single" w:sz="4" w:space="0" w:color="000000"/>
              <w:bottom w:val="single" w:sz="4" w:space="0" w:color="000000"/>
              <w:right w:val="single" w:sz="4" w:space="0" w:color="000000"/>
            </w:tcBorders>
            <w:shd w:val="clear" w:color="auto" w:fill="D3D3D3"/>
          </w:tcPr>
          <w:p>
            <w:pPr/>
          </w:p>
        </w:tc>
      </w:tr>
      <w:tr>
        <w:trPr>
          <w:trHeight w:val="714" w:hRule="exact"/>
        </w:trPr>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2" w:right="204"/>
              <w:jc w:val="left"/>
              <w:rPr>
                <w:rFonts w:ascii="宋体" w:hAnsi="宋体" w:cs="宋体" w:eastAsia="宋体" w:hint="default"/>
                <w:sz w:val="18"/>
                <w:szCs w:val="18"/>
              </w:rPr>
            </w:pPr>
            <w:r>
              <w:rPr>
                <w:rFonts w:ascii="宋体" w:hAnsi="宋体" w:cs="宋体" w:eastAsia="宋体" w:hint="default"/>
                <w:sz w:val="18"/>
                <w:szCs w:val="18"/>
              </w:rPr>
              <w:t>其他应收款坏账 准备</w:t>
            </w:r>
            <w:r>
              <w:rPr>
                <w:rFonts w:ascii="Times New Roman" w:hAnsi="Times New Roman" w:cs="Times New Roman" w:eastAsia="Times New Roman" w:hint="default"/>
                <w:sz w:val="18"/>
                <w:szCs w:val="18"/>
              </w:rPr>
              <w:t>-</w:t>
            </w:r>
            <w:r>
              <w:rPr>
                <w:rFonts w:ascii="宋体" w:hAnsi="宋体" w:cs="宋体" w:eastAsia="宋体" w:hint="default"/>
                <w:sz w:val="18"/>
                <w:szCs w:val="18"/>
              </w:rPr>
              <w:t>第一阶段</w:t>
            </w:r>
          </w:p>
        </w:tc>
        <w:tc>
          <w:tcPr>
            <w:tcW w:w="1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1,167,920.9</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332" w:type="dxa"/>
            <w:tcBorders>
              <w:top w:val="single" w:sz="4" w:space="0" w:color="000000"/>
              <w:left w:val="single" w:sz="4" w:space="0" w:color="000000"/>
              <w:bottom w:val="single" w:sz="4" w:space="0" w:color="000000"/>
              <w:right w:val="single" w:sz="4" w:space="0" w:color="000000"/>
            </w:tcBorders>
          </w:tcPr>
          <w:p>
            <w:pP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551,184.13</w:t>
            </w:r>
          </w:p>
        </w:tc>
        <w:tc>
          <w:tcPr>
            <w:tcW w:w="1089" w:type="dxa"/>
            <w:tcBorders>
              <w:top w:val="single" w:sz="4" w:space="0" w:color="000000"/>
              <w:left w:val="single" w:sz="4" w:space="0" w:color="000000"/>
              <w:bottom w:val="single" w:sz="4" w:space="0" w:color="000000"/>
              <w:right w:val="single" w:sz="4" w:space="0" w:color="000000"/>
            </w:tcBorders>
          </w:tcPr>
          <w:p>
            <w:pPr/>
          </w:p>
        </w:tc>
        <w:tc>
          <w:tcPr>
            <w:tcW w:w="1577" w:type="dxa"/>
            <w:tcBorders>
              <w:top w:val="single" w:sz="4" w:space="0" w:color="000000"/>
              <w:left w:val="single" w:sz="4" w:space="0" w:color="000000"/>
              <w:bottom w:val="single" w:sz="4" w:space="0" w:color="000000"/>
              <w:right w:val="single" w:sz="4" w:space="0" w:color="000000"/>
            </w:tcBorders>
          </w:tcPr>
          <w:p>
            <w:pPr/>
          </w:p>
        </w:tc>
        <w:tc>
          <w:tcPr>
            <w:tcW w:w="15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616,736.77</w:t>
            </w:r>
          </w:p>
        </w:tc>
      </w:tr>
      <w:tr>
        <w:trPr>
          <w:trHeight w:val="714" w:hRule="exact"/>
        </w:trPr>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2" w:right="204"/>
              <w:jc w:val="left"/>
              <w:rPr>
                <w:rFonts w:ascii="宋体" w:hAnsi="宋体" w:cs="宋体" w:eastAsia="宋体" w:hint="default"/>
                <w:sz w:val="18"/>
                <w:szCs w:val="18"/>
              </w:rPr>
            </w:pPr>
            <w:r>
              <w:rPr>
                <w:rFonts w:ascii="宋体" w:hAnsi="宋体" w:cs="宋体" w:eastAsia="宋体" w:hint="default"/>
                <w:sz w:val="18"/>
                <w:szCs w:val="18"/>
              </w:rPr>
              <w:t>其他应收款坏账 准备</w:t>
            </w:r>
            <w:r>
              <w:rPr>
                <w:rFonts w:ascii="Times New Roman" w:hAnsi="Times New Roman" w:cs="Times New Roman" w:eastAsia="Times New Roman" w:hint="default"/>
                <w:sz w:val="18"/>
                <w:szCs w:val="18"/>
              </w:rPr>
              <w:t>-</w:t>
            </w:r>
            <w:r>
              <w:rPr>
                <w:rFonts w:ascii="宋体" w:hAnsi="宋体" w:cs="宋体" w:eastAsia="宋体" w:hint="default"/>
                <w:sz w:val="18"/>
                <w:szCs w:val="18"/>
              </w:rPr>
              <w:t>第二阶段</w:t>
            </w:r>
          </w:p>
        </w:tc>
        <w:tc>
          <w:tcPr>
            <w:tcW w:w="1087" w:type="dxa"/>
            <w:tcBorders>
              <w:top w:val="single" w:sz="4" w:space="0" w:color="000000"/>
              <w:left w:val="single" w:sz="4" w:space="0" w:color="000000"/>
              <w:bottom w:val="single" w:sz="4" w:space="0" w:color="000000"/>
              <w:right w:val="single" w:sz="4" w:space="0" w:color="000000"/>
            </w:tcBorders>
          </w:tcPr>
          <w:p>
            <w:pPr/>
          </w:p>
        </w:tc>
        <w:tc>
          <w:tcPr>
            <w:tcW w:w="1332" w:type="dxa"/>
            <w:tcBorders>
              <w:top w:val="single" w:sz="4" w:space="0" w:color="000000"/>
              <w:left w:val="single" w:sz="4" w:space="0" w:color="000000"/>
              <w:bottom w:val="single" w:sz="4" w:space="0" w:color="000000"/>
              <w:right w:val="single" w:sz="4" w:space="0" w:color="000000"/>
            </w:tcBorders>
          </w:tcPr>
          <w:p>
            <w:pPr/>
          </w:p>
        </w:tc>
        <w:tc>
          <w:tcPr>
            <w:tcW w:w="1330" w:type="dxa"/>
            <w:tcBorders>
              <w:top w:val="single" w:sz="4" w:space="0" w:color="000000"/>
              <w:left w:val="single" w:sz="4" w:space="0" w:color="000000"/>
              <w:bottom w:val="single" w:sz="4" w:space="0" w:color="000000"/>
              <w:right w:val="single" w:sz="4" w:space="0" w:color="000000"/>
            </w:tcBorders>
          </w:tcPr>
          <w:p>
            <w:pPr/>
          </w:p>
        </w:tc>
        <w:tc>
          <w:tcPr>
            <w:tcW w:w="1089" w:type="dxa"/>
            <w:tcBorders>
              <w:top w:val="single" w:sz="4" w:space="0" w:color="000000"/>
              <w:left w:val="single" w:sz="4" w:space="0" w:color="000000"/>
              <w:bottom w:val="single" w:sz="4" w:space="0" w:color="000000"/>
              <w:right w:val="single" w:sz="4" w:space="0" w:color="000000"/>
            </w:tcBorders>
          </w:tcPr>
          <w:p>
            <w:pPr/>
          </w:p>
        </w:tc>
        <w:tc>
          <w:tcPr>
            <w:tcW w:w="1577" w:type="dxa"/>
            <w:tcBorders>
              <w:top w:val="single" w:sz="4" w:space="0" w:color="000000"/>
              <w:left w:val="single" w:sz="4" w:space="0" w:color="000000"/>
              <w:bottom w:val="single" w:sz="4" w:space="0" w:color="000000"/>
              <w:right w:val="single" w:sz="4" w:space="0" w:color="000000"/>
            </w:tcBorders>
          </w:tcPr>
          <w:p>
            <w:pPr/>
          </w:p>
        </w:tc>
        <w:tc>
          <w:tcPr>
            <w:tcW w:w="157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0"/>
              <w:ind w:left="102" w:right="204"/>
              <w:jc w:val="left"/>
              <w:rPr>
                <w:rFonts w:ascii="宋体" w:hAnsi="宋体" w:cs="宋体" w:eastAsia="宋体" w:hint="default"/>
                <w:sz w:val="18"/>
                <w:szCs w:val="18"/>
              </w:rPr>
            </w:pPr>
            <w:r>
              <w:rPr>
                <w:rFonts w:ascii="宋体" w:hAnsi="宋体" w:cs="宋体" w:eastAsia="宋体" w:hint="default"/>
                <w:sz w:val="18"/>
                <w:szCs w:val="18"/>
              </w:rPr>
              <w:t>其他应收款坏账 准备</w:t>
            </w:r>
            <w:r>
              <w:rPr>
                <w:rFonts w:ascii="Times New Roman" w:hAnsi="Times New Roman" w:cs="Times New Roman" w:eastAsia="Times New Roman" w:hint="default"/>
                <w:sz w:val="18"/>
                <w:szCs w:val="18"/>
              </w:rPr>
              <w:t>-</w:t>
            </w:r>
            <w:r>
              <w:rPr>
                <w:rFonts w:ascii="宋体" w:hAnsi="宋体" w:cs="宋体" w:eastAsia="宋体" w:hint="default"/>
                <w:sz w:val="18"/>
                <w:szCs w:val="18"/>
              </w:rPr>
              <w:t>第三阶段</w:t>
            </w:r>
          </w:p>
        </w:tc>
        <w:tc>
          <w:tcPr>
            <w:tcW w:w="1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3,428,390.0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6</w:t>
            </w:r>
          </w:p>
        </w:tc>
        <w:tc>
          <w:tcPr>
            <w:tcW w:w="1332" w:type="dxa"/>
            <w:tcBorders>
              <w:top w:val="single" w:sz="4" w:space="0" w:color="000000"/>
              <w:left w:val="single" w:sz="4" w:space="0" w:color="000000"/>
              <w:bottom w:val="single" w:sz="4" w:space="0" w:color="000000"/>
              <w:right w:val="single" w:sz="4" w:space="0" w:color="000000"/>
            </w:tcBorders>
          </w:tcPr>
          <w:p>
            <w:pP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324,351.95</w:t>
            </w:r>
          </w:p>
        </w:tc>
        <w:tc>
          <w:tcPr>
            <w:tcW w:w="1089" w:type="dxa"/>
            <w:tcBorders>
              <w:top w:val="single" w:sz="4" w:space="0" w:color="000000"/>
              <w:left w:val="single" w:sz="4" w:space="0" w:color="000000"/>
              <w:bottom w:val="single" w:sz="4" w:space="0" w:color="000000"/>
              <w:right w:val="single" w:sz="4" w:space="0" w:color="000000"/>
            </w:tcBorders>
          </w:tcPr>
          <w:p>
            <w:pPr/>
          </w:p>
        </w:tc>
        <w:tc>
          <w:tcPr>
            <w:tcW w:w="1577" w:type="dxa"/>
            <w:tcBorders>
              <w:top w:val="single" w:sz="4" w:space="0" w:color="000000"/>
              <w:left w:val="single" w:sz="4" w:space="0" w:color="000000"/>
              <w:bottom w:val="single" w:sz="4" w:space="0" w:color="000000"/>
              <w:right w:val="single" w:sz="4" w:space="0" w:color="000000"/>
            </w:tcBorders>
          </w:tcPr>
          <w:p>
            <w:pPr/>
          </w:p>
        </w:tc>
        <w:tc>
          <w:tcPr>
            <w:tcW w:w="15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3,104,038.11</w:t>
            </w:r>
          </w:p>
        </w:tc>
      </w:tr>
      <w:tr>
        <w:trPr>
          <w:trHeight w:val="714" w:hRule="exact"/>
        </w:trPr>
        <w:tc>
          <w:tcPr>
            <w:tcW w:w="157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4,596,310.9</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6</w:t>
            </w:r>
          </w:p>
        </w:tc>
        <w:tc>
          <w:tcPr>
            <w:tcW w:w="1332" w:type="dxa"/>
            <w:tcBorders>
              <w:top w:val="single" w:sz="4" w:space="0" w:color="000000"/>
              <w:left w:val="single" w:sz="4" w:space="0" w:color="000000"/>
              <w:bottom w:val="single" w:sz="4" w:space="0" w:color="000000"/>
              <w:right w:val="single" w:sz="4" w:space="0" w:color="000000"/>
            </w:tcBorders>
          </w:tcPr>
          <w:p>
            <w:pP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875,536.08</w:t>
            </w:r>
          </w:p>
        </w:tc>
        <w:tc>
          <w:tcPr>
            <w:tcW w:w="1089" w:type="dxa"/>
            <w:tcBorders>
              <w:top w:val="single" w:sz="4" w:space="0" w:color="000000"/>
              <w:left w:val="single" w:sz="4" w:space="0" w:color="000000"/>
              <w:bottom w:val="single" w:sz="4" w:space="0" w:color="000000"/>
              <w:right w:val="single" w:sz="4" w:space="0" w:color="000000"/>
            </w:tcBorders>
          </w:tcPr>
          <w:p>
            <w:pPr/>
          </w:p>
        </w:tc>
        <w:tc>
          <w:tcPr>
            <w:tcW w:w="1577" w:type="dxa"/>
            <w:tcBorders>
              <w:top w:val="single" w:sz="4" w:space="0" w:color="000000"/>
              <w:left w:val="single" w:sz="4" w:space="0" w:color="000000"/>
              <w:bottom w:val="single" w:sz="4" w:space="0" w:color="000000"/>
              <w:right w:val="single" w:sz="4" w:space="0" w:color="000000"/>
            </w:tcBorders>
          </w:tcPr>
          <w:p>
            <w:pPr/>
          </w:p>
        </w:tc>
        <w:tc>
          <w:tcPr>
            <w:tcW w:w="15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3,720,774.88</w:t>
            </w:r>
          </w:p>
        </w:tc>
      </w:tr>
    </w:tbl>
    <w:p>
      <w:pPr>
        <w:pStyle w:val="BodyText"/>
        <w:spacing w:line="240" w:lineRule="auto" w:before="50"/>
        <w:ind w:right="0"/>
        <w:jc w:val="left"/>
      </w:pPr>
      <w:r>
        <w:rPr/>
        <w:t>其中本期坏账准备转回或收回金额重要的：</w:t>
      </w:r>
    </w:p>
    <w:p>
      <w:pPr>
        <w:pStyle w:val="BodyText"/>
        <w:spacing w:line="240" w:lineRule="auto" w:before="116"/>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1"/>
        <w:gridCol w:w="3191"/>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1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959" w:right="0"/>
              <w:jc w:val="left"/>
              <w:rPr>
                <w:rFonts w:ascii="宋体" w:hAnsi="宋体" w:cs="宋体" w:eastAsia="宋体" w:hint="default"/>
                <w:sz w:val="18"/>
                <w:szCs w:val="18"/>
              </w:rPr>
            </w:pPr>
            <w:r>
              <w:rPr>
                <w:rFonts w:ascii="宋体" w:hAnsi="宋体" w:cs="宋体" w:eastAsia="宋体" w:hint="default"/>
                <w:sz w:val="18"/>
                <w:szCs w:val="18"/>
              </w:rPr>
              <w:t>转回或收回金额</w:t>
            </w:r>
          </w:p>
        </w:tc>
        <w:tc>
          <w:tcPr>
            <w:tcW w:w="31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收回方式</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r>
        <w:rPr>
          <w:rFonts w:ascii="Times New Roman" w:hAnsi="Times New Roman" w:cs="Times New Roman" w:eastAsia="Times New Roman" w:hint="default"/>
        </w:rPr>
        <w:t>4</w:t>
      </w:r>
      <w:r>
        <w:rPr/>
        <w:t>）本期实际核销的其他应收款情况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11"/>
        <w:rPr>
          <w:rFonts w:ascii="宋体" w:hAnsi="宋体" w:cs="宋体" w:eastAsia="宋体" w:hint="default"/>
          <w:sz w:val="7"/>
          <w:szCs w:val="7"/>
        </w:rPr>
      </w:pPr>
    </w:p>
    <w:p>
      <w:pPr>
        <w:spacing w:line="416" w:lineRule="exact"/>
        <w:ind w:left="104"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9.35pt;height:20.85pt;mso-position-horizontal-relative:char;mso-position-vertical-relative:line" coordorigin="0,0" coordsize="9587,417">
            <v:group style="position:absolute;left:13;top:13;width:4772;height:393" coordorigin="13,13" coordsize="4772,393">
              <v:shape style="position:absolute;left:13;top:13;width:4772;height:393" coordorigin="13,13" coordsize="4772,393" path="m13,13l4784,13,4784,406,13,406,13,13xe" filled="true" fillcolor="#d3d3d3" stroked="false">
                <v:path arrowok="t"/>
                <v:fill type="solid"/>
              </v:shape>
            </v:group>
            <v:group style="position:absolute;left:4793;top:13;width:4779;height:393" coordorigin="4793,13" coordsize="4779,393">
              <v:shape style="position:absolute;left:4793;top:13;width:4779;height:393" coordorigin="4793,13" coordsize="4779,393" path="m4793,13l9572,13,9572,406,4793,406,4793,13xe" filled="true" fillcolor="#d3d3d3" stroked="false">
                <v:path arrowok="t"/>
                <v:fill type="solid"/>
              </v:shape>
            </v:group>
            <v:group style="position:absolute;left:5;top:10;width:9578;height:2" coordorigin="5,10" coordsize="9578,2">
              <v:shape style="position:absolute;left:5;top:10;width:9578;height:2" coordorigin="5,10" coordsize="9578,0" path="m5,10l9582,10e" filled="false" stroked="true" strokeweight=".48pt" strokecolor="#000000">
                <v:path arrowok="t"/>
              </v:shape>
            </v:group>
            <v:group style="position:absolute;left:5;top:412;width:9578;height:2" coordorigin="5,412" coordsize="9578,2">
              <v:shape style="position:absolute;left:5;top:412;width:9578;height:2" coordorigin="5,412" coordsize="9578,0" path="m5,412l9582,412e" filled="false" stroked="true" strokeweight=".48pt" strokecolor="#000000">
                <v:path arrowok="t"/>
              </v:shape>
            </v:group>
            <v:group style="position:absolute;left:10;top:5;width:2;height:402" coordorigin="10,5" coordsize="2,402">
              <v:shape style="position:absolute;left:10;top:5;width:2;height:402" coordorigin="10,5" coordsize="0,402" path="m10,5l10,407e" filled="false" stroked="true" strokeweight=".48pt" strokecolor="#000000">
                <v:path arrowok="t"/>
              </v:shape>
            </v:group>
            <v:group style="position:absolute;left:4789;top:5;width:2;height:402" coordorigin="4789,5" coordsize="2,402">
              <v:shape style="position:absolute;left:4789;top:5;width:2;height:402" coordorigin="4789,5" coordsize="0,402" path="m4789,5l4789,407e" filled="false" stroked="true" strokeweight=".48pt" strokecolor="#000000">
                <v:path arrowok="t"/>
              </v:shape>
            </v:group>
            <v:group style="position:absolute;left:9577;top:5;width:2;height:402" coordorigin="9577,5" coordsize="2,402">
              <v:shape style="position:absolute;left:9577;top:5;width:2;height:402" coordorigin="9577,5" coordsize="0,402" path="m9577,5l9577,407e" filled="false" stroked="true" strokeweight=".48pt" strokecolor="#000000">
                <v:path arrowok="t"/>
              </v:shape>
              <v:shape style="position:absolute;left:2219;top:11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4789;top:10;width:4788;height:402" type="#_x0000_t202" filled="false" stroked="false">
                <v:textbox inset="0,0,0,0">
                  <w:txbxContent>
                    <w:p>
                      <w:pPr>
                        <w:spacing w:before="53"/>
                        <w:ind w:left="0" w:right="0" w:firstLine="0"/>
                        <w:jc w:val="center"/>
                        <w:rPr>
                          <w:rFonts w:ascii="宋体" w:hAnsi="宋体" w:cs="宋体" w:eastAsia="宋体" w:hint="default"/>
                          <w:sz w:val="18"/>
                          <w:szCs w:val="18"/>
                        </w:rPr>
                      </w:pPr>
                      <w:r>
                        <w:rPr>
                          <w:rFonts w:ascii="宋体" w:hAnsi="宋体" w:cs="宋体" w:eastAsia="宋体" w:hint="default"/>
                          <w:sz w:val="18"/>
                          <w:szCs w:val="18"/>
                        </w:rPr>
                        <w:t>核销金额</w:t>
                      </w:r>
                    </w:p>
                  </w:txbxContent>
                </v:textbox>
                <w10:wrap type="none"/>
              </v:shape>
            </v:group>
          </v:group>
        </w:pict>
      </w:r>
      <w:r>
        <w:rPr>
          <w:rFonts w:ascii="宋体" w:hAnsi="宋体" w:cs="宋体" w:eastAsia="宋体" w:hint="default"/>
          <w:position w:val="-7"/>
          <w:sz w:val="20"/>
          <w:szCs w:val="20"/>
        </w:rPr>
      </w:r>
    </w:p>
    <w:p>
      <w:pPr>
        <w:pStyle w:val="BodyText"/>
        <w:spacing w:line="240" w:lineRule="auto" w:before="49"/>
        <w:ind w:right="0"/>
        <w:jc w:val="left"/>
      </w:pPr>
      <w:r>
        <w:rPr/>
        <w:t>其中重要的其他应收款核销情况：</w:t>
      </w:r>
    </w:p>
    <w:p>
      <w:pPr>
        <w:pStyle w:val="BodyText"/>
        <w:spacing w:line="240" w:lineRule="auto" w:before="116"/>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684"/>
        <w:gridCol w:w="1551"/>
        <w:gridCol w:w="1552"/>
        <w:gridCol w:w="1552"/>
        <w:gridCol w:w="1615"/>
        <w:gridCol w:w="1615"/>
      </w:tblGrid>
      <w:tr>
        <w:trPr>
          <w:trHeight w:val="714" w:hRule="exact"/>
        </w:trPr>
        <w:tc>
          <w:tcPr>
            <w:tcW w:w="16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77"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5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40" w:right="0"/>
              <w:jc w:val="left"/>
              <w:rPr>
                <w:rFonts w:ascii="宋体" w:hAnsi="宋体" w:cs="宋体" w:eastAsia="宋体" w:hint="default"/>
                <w:sz w:val="18"/>
                <w:szCs w:val="18"/>
              </w:rPr>
            </w:pPr>
            <w:r>
              <w:rPr>
                <w:rFonts w:ascii="宋体" w:hAnsi="宋体" w:cs="宋体" w:eastAsia="宋体" w:hint="default"/>
                <w:sz w:val="18"/>
                <w:szCs w:val="18"/>
              </w:rPr>
              <w:t>其他应收款性质</w:t>
            </w:r>
          </w:p>
        </w:tc>
        <w:tc>
          <w:tcPr>
            <w:tcW w:w="155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11"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55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10"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161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71" w:right="0"/>
              <w:jc w:val="left"/>
              <w:rPr>
                <w:rFonts w:ascii="宋体" w:hAnsi="宋体" w:cs="宋体" w:eastAsia="宋体" w:hint="default"/>
                <w:sz w:val="18"/>
                <w:szCs w:val="18"/>
              </w:rPr>
            </w:pPr>
            <w:r>
              <w:rPr>
                <w:rFonts w:ascii="宋体" w:hAnsi="宋体" w:cs="宋体" w:eastAsia="宋体" w:hint="default"/>
                <w:sz w:val="18"/>
                <w:szCs w:val="18"/>
              </w:rPr>
              <w:t>履行的核销程序</w:t>
            </w:r>
          </w:p>
        </w:tc>
        <w:tc>
          <w:tcPr>
            <w:tcW w:w="161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49"/>
              <w:ind w:left="442" w:right="171" w:hanging="270"/>
              <w:jc w:val="left"/>
              <w:rPr>
                <w:rFonts w:ascii="宋体" w:hAnsi="宋体" w:cs="宋体" w:eastAsia="宋体" w:hint="default"/>
                <w:sz w:val="18"/>
                <w:szCs w:val="18"/>
              </w:rPr>
            </w:pPr>
            <w:r>
              <w:rPr>
                <w:rFonts w:ascii="宋体" w:hAnsi="宋体" w:cs="宋体" w:eastAsia="宋体" w:hint="default"/>
                <w:sz w:val="18"/>
                <w:szCs w:val="18"/>
              </w:rPr>
              <w:t>款项是否由关联 交易产生</w:t>
            </w:r>
          </w:p>
        </w:tc>
      </w:tr>
    </w:tbl>
    <w:p>
      <w:pPr>
        <w:pStyle w:val="BodyText"/>
        <w:spacing w:line="240" w:lineRule="auto" w:before="49"/>
        <w:ind w:right="0"/>
        <w:jc w:val="left"/>
      </w:pPr>
      <w:r>
        <w:rPr/>
        <w:t>其他应收款核销说明：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5</w:t>
      </w:r>
      <w:r>
        <w:rPr/>
        <w:t>）按欠款方归集的期末余额前五名的其他应收款情况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684"/>
        <w:gridCol w:w="1551"/>
        <w:gridCol w:w="1552"/>
        <w:gridCol w:w="1552"/>
        <w:gridCol w:w="1615"/>
        <w:gridCol w:w="1615"/>
      </w:tblGrid>
      <w:tr>
        <w:trPr>
          <w:trHeight w:val="1025" w:hRule="exact"/>
        </w:trPr>
        <w:tc>
          <w:tcPr>
            <w:tcW w:w="16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477"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5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320"/>
              <w:jc w:val="right"/>
              <w:rPr>
                <w:rFonts w:ascii="宋体" w:hAnsi="宋体" w:cs="宋体" w:eastAsia="宋体" w:hint="default"/>
                <w:sz w:val="18"/>
                <w:szCs w:val="18"/>
              </w:rPr>
            </w:pPr>
            <w:r>
              <w:rPr>
                <w:rFonts w:ascii="宋体" w:hAnsi="宋体" w:cs="宋体" w:eastAsia="宋体" w:hint="default"/>
                <w:sz w:val="18"/>
                <w:szCs w:val="18"/>
              </w:rPr>
              <w:t>款项的性质</w:t>
            </w:r>
          </w:p>
        </w:tc>
        <w:tc>
          <w:tcPr>
            <w:tcW w:w="155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41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5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61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71" w:right="171"/>
              <w:jc w:val="center"/>
              <w:rPr>
                <w:rFonts w:ascii="宋体" w:hAnsi="宋体" w:cs="宋体" w:eastAsia="宋体" w:hint="default"/>
                <w:sz w:val="18"/>
                <w:szCs w:val="18"/>
              </w:rPr>
            </w:pPr>
            <w:r>
              <w:rPr>
                <w:rFonts w:ascii="宋体" w:hAnsi="宋体" w:cs="宋体" w:eastAsia="宋体" w:hint="default"/>
                <w:sz w:val="18"/>
                <w:szCs w:val="18"/>
              </w:rPr>
              <w:t>占其他应收款期 末余额合计数的 比例</w:t>
            </w:r>
          </w:p>
        </w:tc>
        <w:tc>
          <w:tcPr>
            <w:tcW w:w="161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712" w:right="171" w:hanging="540"/>
              <w:jc w:val="left"/>
              <w:rPr>
                <w:rFonts w:ascii="宋体" w:hAnsi="宋体" w:cs="宋体" w:eastAsia="宋体" w:hint="default"/>
                <w:sz w:val="18"/>
                <w:szCs w:val="18"/>
              </w:rPr>
            </w:pPr>
            <w:r>
              <w:rPr>
                <w:rFonts w:ascii="宋体" w:hAnsi="宋体" w:cs="宋体" w:eastAsia="宋体" w:hint="default"/>
                <w:sz w:val="18"/>
                <w:szCs w:val="18"/>
              </w:rPr>
              <w:t>坏账准备期末余 额</w:t>
            </w:r>
          </w:p>
        </w:tc>
      </w:tr>
      <w:tr>
        <w:trPr>
          <w:trHeight w:val="403"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56"/>
              <w:jc w:val="right"/>
              <w:rPr>
                <w:rFonts w:ascii="宋体" w:hAnsi="宋体" w:cs="宋体" w:eastAsia="宋体" w:hint="default"/>
                <w:sz w:val="18"/>
                <w:szCs w:val="18"/>
              </w:rPr>
            </w:pPr>
            <w:r>
              <w:rPr>
                <w:rFonts w:ascii="宋体" w:hAnsi="宋体" w:cs="宋体" w:eastAsia="宋体" w:hint="default"/>
                <w:sz w:val="18"/>
                <w:szCs w:val="18"/>
              </w:rPr>
              <w:t>押金及保证金</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3,000,000.00</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w w:val="95"/>
                <w:sz w:val="18"/>
              </w:rPr>
              <w:t>2.09%</w:t>
            </w:r>
            <w:r>
              <w:rPr>
                <w:rFonts w:ascii="Times New Roman"/>
                <w:sz w:val="18"/>
              </w:rPr>
            </w:r>
          </w:p>
        </w:tc>
        <w:tc>
          <w:tcPr>
            <w:tcW w:w="161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56"/>
              <w:jc w:val="right"/>
              <w:rPr>
                <w:rFonts w:ascii="宋体" w:hAnsi="宋体" w:cs="宋体" w:eastAsia="宋体" w:hint="default"/>
                <w:sz w:val="18"/>
                <w:szCs w:val="18"/>
              </w:rPr>
            </w:pPr>
            <w:r>
              <w:rPr>
                <w:rFonts w:ascii="宋体" w:hAnsi="宋体" w:cs="宋体" w:eastAsia="宋体" w:hint="default"/>
                <w:sz w:val="18"/>
                <w:szCs w:val="18"/>
              </w:rPr>
              <w:t>押金及保证金</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777,600.00</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 </w:t>
            </w:r>
            <w:r>
              <w:rPr>
                <w:rFonts w:ascii="宋体" w:hAnsi="宋体" w:cs="宋体" w:eastAsia="宋体" w:hint="default"/>
                <w:sz w:val="18"/>
                <w:szCs w:val="18"/>
              </w:rPr>
              <w:t>年以上</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w w:val="95"/>
                <w:sz w:val="18"/>
              </w:rPr>
              <w:t>0.54%</w:t>
            </w:r>
            <w:r>
              <w:rPr>
                <w:rFonts w:ascii="Times New Roman"/>
                <w:sz w:val="18"/>
              </w:rPr>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777,600.00</w:t>
            </w:r>
          </w:p>
        </w:tc>
      </w:tr>
      <w:tr>
        <w:trPr>
          <w:trHeight w:val="402"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56"/>
              <w:jc w:val="right"/>
              <w:rPr>
                <w:rFonts w:ascii="宋体" w:hAnsi="宋体" w:cs="宋体" w:eastAsia="宋体" w:hint="default"/>
                <w:sz w:val="18"/>
                <w:szCs w:val="18"/>
              </w:rPr>
            </w:pPr>
            <w:r>
              <w:rPr>
                <w:rFonts w:ascii="宋体" w:hAnsi="宋体" w:cs="宋体" w:eastAsia="宋体" w:hint="default"/>
                <w:sz w:val="18"/>
                <w:szCs w:val="18"/>
              </w:rPr>
              <w:t>押金及保证金</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450,000.00</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 </w:t>
            </w:r>
            <w:r>
              <w:rPr>
                <w:rFonts w:ascii="宋体" w:hAnsi="宋体" w:cs="宋体" w:eastAsia="宋体" w:hint="default"/>
                <w:sz w:val="18"/>
                <w:szCs w:val="18"/>
              </w:rPr>
              <w:t>年以上</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w w:val="95"/>
                <w:sz w:val="18"/>
              </w:rPr>
              <w:t>0.31%</w:t>
            </w:r>
            <w:r>
              <w:rPr>
                <w:rFonts w:ascii="Times New Roman"/>
                <w:sz w:val="18"/>
              </w:rPr>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450,000.00</w:t>
            </w:r>
          </w:p>
        </w:tc>
      </w:tr>
      <w:tr>
        <w:trPr>
          <w:trHeight w:val="713"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356"/>
              <w:jc w:val="right"/>
              <w:rPr>
                <w:rFonts w:ascii="宋体" w:hAnsi="宋体" w:cs="宋体" w:eastAsia="宋体" w:hint="default"/>
                <w:sz w:val="18"/>
                <w:szCs w:val="18"/>
              </w:rPr>
            </w:pPr>
            <w:r>
              <w:rPr>
                <w:rFonts w:ascii="宋体" w:hAnsi="宋体" w:cs="宋体" w:eastAsia="宋体" w:hint="default"/>
                <w:sz w:val="18"/>
                <w:szCs w:val="18"/>
              </w:rPr>
              <w:t>押金及保证金</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350,000.00</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103" w:right="101"/>
              <w:jc w:val="left"/>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pacing w:val="-3"/>
                <w:sz w:val="18"/>
                <w:szCs w:val="18"/>
              </w:rPr>
              <w:t>年以内、</w:t>
            </w:r>
            <w:r>
              <w:rPr>
                <w:rFonts w:ascii="Times New Roman" w:hAnsi="Times New Roman" w:cs="Times New Roman" w:eastAsia="Times New Roman" w:hint="default"/>
                <w:spacing w:val="-3"/>
                <w:sz w:val="18"/>
                <w:szCs w:val="18"/>
              </w:rPr>
              <w:t>3</w:t>
            </w:r>
            <w:r>
              <w:rPr>
                <w:rFonts w:ascii="Times New Roman" w:hAnsi="Times New Roman" w:cs="Times New Roman" w:eastAsia="Times New Roman" w:hint="default"/>
                <w:sz w:val="18"/>
                <w:szCs w:val="18"/>
              </w:rPr>
              <w:t> </w:t>
            </w:r>
            <w:r>
              <w:rPr>
                <w:rFonts w:ascii="宋体" w:hAnsi="宋体" w:cs="宋体" w:eastAsia="宋体" w:hint="default"/>
                <w:sz w:val="18"/>
                <w:szCs w:val="18"/>
              </w:rPr>
              <w:t>年以 上</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0.24%</w:t>
            </w:r>
            <w:r>
              <w:rPr>
                <w:rFonts w:ascii="Times New Roman"/>
                <w:sz w:val="18"/>
              </w:rPr>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102,500.00</w:t>
            </w:r>
          </w:p>
        </w:tc>
      </w:tr>
    </w:tbl>
    <w:p>
      <w:pPr>
        <w:spacing w:after="0" w:line="240" w:lineRule="auto"/>
        <w:jc w:val="right"/>
        <w:rPr>
          <w:rFonts w:ascii="Times New Roman" w:hAnsi="Times New Roman" w:cs="Times New Roman" w:eastAsia="Times New Roman" w:hint="default"/>
          <w:sz w:val="18"/>
          <w:szCs w:val="18"/>
        </w:rPr>
        <w:sectPr>
          <w:pgSz w:w="11910" w:h="16840"/>
          <w:pgMar w:header="906" w:footer="1018" w:top="1100" w:bottom="1200" w:left="1020" w:right="0"/>
        </w:sectPr>
      </w:pPr>
    </w:p>
    <w:p>
      <w:pPr>
        <w:spacing w:line="240" w:lineRule="auto" w:before="7"/>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684"/>
        <w:gridCol w:w="1551"/>
        <w:gridCol w:w="1552"/>
        <w:gridCol w:w="1552"/>
        <w:gridCol w:w="1615"/>
        <w:gridCol w:w="1615"/>
      </w:tblGrid>
      <w:tr>
        <w:trPr>
          <w:trHeight w:val="402"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押金及保证金</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220,000.00</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762"/>
              <w:jc w:val="right"/>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年以内</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0.15%</w:t>
            </w:r>
            <w:r>
              <w:rPr>
                <w:rFonts w:ascii="Times New Roman"/>
                <w:sz w:val="18"/>
              </w:rPr>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2,200.00</w:t>
            </w:r>
          </w:p>
        </w:tc>
      </w:tr>
      <w:tr>
        <w:trPr>
          <w:trHeight w:val="402" w:hRule="exact"/>
        </w:trPr>
        <w:tc>
          <w:tcPr>
            <w:tcW w:w="16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5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4,797,600.00</w:t>
            </w:r>
          </w:p>
        </w:tc>
        <w:tc>
          <w:tcPr>
            <w:tcW w:w="155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708"/>
              <w:jc w:val="right"/>
              <w:rPr>
                <w:rFonts w:ascii="Times New Roman" w:hAnsi="Times New Roman" w:cs="Times New Roman" w:eastAsia="Times New Roman" w:hint="default"/>
                <w:sz w:val="18"/>
                <w:szCs w:val="18"/>
              </w:rPr>
            </w:pPr>
            <w:r>
              <w:rPr>
                <w:rFonts w:ascii="Times New Roman"/>
                <w:sz w:val="18"/>
              </w:rPr>
              <w:t>--</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3.33%</w:t>
            </w:r>
            <w:r>
              <w:rPr>
                <w:rFonts w:ascii="Times New Roman"/>
                <w:sz w:val="18"/>
              </w:rPr>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1,332,300.00</w:t>
            </w:r>
          </w:p>
        </w:tc>
      </w:tr>
    </w:tbl>
    <w:p>
      <w:pPr>
        <w:spacing w:line="240" w:lineRule="auto" w:before="3"/>
        <w:rPr>
          <w:rFonts w:ascii="宋体" w:hAnsi="宋体" w:cs="宋体" w:eastAsia="宋体" w:hint="default"/>
          <w:sz w:val="19"/>
          <w:szCs w:val="19"/>
        </w:rPr>
      </w:pPr>
    </w:p>
    <w:p>
      <w:pPr>
        <w:pStyle w:val="Heading3"/>
        <w:spacing w:line="240" w:lineRule="auto" w:before="35"/>
        <w:ind w:right="0"/>
        <w:jc w:val="left"/>
        <w:rPr>
          <w:b w:val="0"/>
          <w:bCs w:val="0"/>
        </w:rPr>
      </w:pPr>
      <w:r>
        <w:rPr>
          <w:rFonts w:ascii="Times New Roman" w:hAnsi="Times New Roman" w:cs="Times New Roman" w:eastAsia="Times New Roman" w:hint="default"/>
        </w:rPr>
        <w:t>6</w:t>
      </w:r>
      <w:r>
        <w:rPr/>
        <w:t>）涉及政府补助的应收款项</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025"/>
        <w:gridCol w:w="1866"/>
        <w:gridCol w:w="1867"/>
        <w:gridCol w:w="1867"/>
        <w:gridCol w:w="1944"/>
      </w:tblGrid>
      <w:tr>
        <w:trPr>
          <w:trHeight w:val="714" w:hRule="exact"/>
        </w:trPr>
        <w:tc>
          <w:tcPr>
            <w:tcW w:w="202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646"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8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07" w:right="0"/>
              <w:jc w:val="left"/>
              <w:rPr>
                <w:rFonts w:ascii="宋体" w:hAnsi="宋体" w:cs="宋体" w:eastAsia="宋体" w:hint="default"/>
                <w:sz w:val="18"/>
                <w:szCs w:val="18"/>
              </w:rPr>
            </w:pPr>
            <w:r>
              <w:rPr>
                <w:rFonts w:ascii="宋体" w:hAnsi="宋体" w:cs="宋体" w:eastAsia="宋体" w:hint="default"/>
                <w:sz w:val="18"/>
                <w:szCs w:val="18"/>
              </w:rPr>
              <w:t>政府补助项目名称</w:t>
            </w:r>
          </w:p>
        </w:tc>
        <w:tc>
          <w:tcPr>
            <w:tcW w:w="18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567"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8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568" w:right="0"/>
              <w:jc w:val="left"/>
              <w:rPr>
                <w:rFonts w:ascii="宋体" w:hAnsi="宋体" w:cs="宋体" w:eastAsia="宋体" w:hint="default"/>
                <w:sz w:val="18"/>
                <w:szCs w:val="18"/>
              </w:rPr>
            </w:pPr>
            <w:r>
              <w:rPr>
                <w:rFonts w:ascii="宋体" w:hAnsi="宋体" w:cs="宋体" w:eastAsia="宋体" w:hint="default"/>
                <w:sz w:val="18"/>
                <w:szCs w:val="18"/>
              </w:rPr>
              <w:t>期末账龄</w:t>
            </w:r>
          </w:p>
        </w:tc>
        <w:tc>
          <w:tcPr>
            <w:tcW w:w="194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697" w:right="101" w:hanging="594"/>
              <w:jc w:val="left"/>
              <w:rPr>
                <w:rFonts w:ascii="宋体" w:hAnsi="宋体" w:cs="宋体" w:eastAsia="宋体" w:hint="default"/>
                <w:sz w:val="18"/>
                <w:szCs w:val="18"/>
              </w:rPr>
            </w:pPr>
            <w:r>
              <w:rPr>
                <w:rFonts w:ascii="宋体" w:hAnsi="宋体" w:cs="宋体" w:eastAsia="宋体" w:hint="default"/>
                <w:spacing w:val="-8"/>
                <w:sz w:val="18"/>
                <w:szCs w:val="18"/>
              </w:rPr>
              <w:t>预计收取的时间、金额</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及依据</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r>
        <w:rPr>
          <w:rFonts w:ascii="Times New Roman" w:hAnsi="Times New Roman" w:cs="Times New Roman" w:eastAsia="Times New Roman" w:hint="default"/>
        </w:rPr>
        <w:t>7</w:t>
      </w:r>
      <w:r>
        <w:rPr/>
        <w:t>）因金融资产转移而终止确认的其他应收款</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rFonts w:ascii="Times New Roman" w:hAnsi="Times New Roman" w:cs="Times New Roman" w:eastAsia="Times New Roman" w:hint="default"/>
        </w:rPr>
        <w:t>8</w:t>
      </w:r>
      <w:r>
        <w:rPr/>
        <w:t>）转移其他应收款且继续涉入形成的资产、负债金额</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其他说明：</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rFonts w:ascii="Times New Roman" w:hAnsi="Times New Roman" w:cs="Times New Roman" w:eastAsia="Times New Roman" w:hint="default"/>
        </w:rPr>
        <w:t>3</w:t>
      </w:r>
      <w:r>
        <w:rPr/>
        <w:t>、长期股权投资</w:t>
      </w:r>
      <w:r>
        <w:rPr>
          <w:b w:val="0"/>
          <w:bCs w:val="0"/>
        </w:rPr>
      </w:r>
    </w:p>
    <w:p>
      <w:pPr>
        <w:spacing w:line="240" w:lineRule="auto" w:before="2"/>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8"/>
        <w:gridCol w:w="1368"/>
        <w:gridCol w:w="1367"/>
        <w:gridCol w:w="1367"/>
        <w:gridCol w:w="1367"/>
        <w:gridCol w:w="1367"/>
        <w:gridCol w:w="1367"/>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1" w:type="dxa"/>
            <w:gridSpan w:val="3"/>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368" w:type="dxa"/>
            <w:vMerge/>
            <w:tcBorders>
              <w:left w:val="single" w:sz="4" w:space="0" w:color="000000"/>
              <w:bottom w:val="single" w:sz="4" w:space="0" w:color="000000"/>
              <w:right w:val="single" w:sz="4" w:space="0" w:color="000000"/>
            </w:tcBorders>
            <w:shd w:val="clear" w:color="auto" w:fill="D3D3D3"/>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317"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账面价值</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对子公司投资</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center"/>
              <w:rPr>
                <w:rFonts w:ascii="Times New Roman" w:hAnsi="Times New Roman" w:cs="Times New Roman" w:eastAsia="Times New Roman" w:hint="default"/>
                <w:sz w:val="18"/>
                <w:szCs w:val="18"/>
              </w:rPr>
            </w:pPr>
            <w:r>
              <w:rPr>
                <w:rFonts w:ascii="Times New Roman"/>
                <w:sz w:val="18"/>
              </w:rPr>
              <w:t>599,003,585.40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11,137,414.67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5" w:right="0"/>
              <w:jc w:val="center"/>
              <w:rPr>
                <w:rFonts w:ascii="Times New Roman" w:hAnsi="Times New Roman" w:cs="Times New Roman" w:eastAsia="Times New Roman" w:hint="default"/>
                <w:sz w:val="18"/>
                <w:szCs w:val="18"/>
              </w:rPr>
            </w:pPr>
            <w:r>
              <w:rPr>
                <w:rFonts w:ascii="Times New Roman"/>
                <w:sz w:val="18"/>
              </w:rPr>
              <w:t>587,866,170.73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5" w:right="0"/>
              <w:jc w:val="center"/>
              <w:rPr>
                <w:rFonts w:ascii="Times New Roman" w:hAnsi="Times New Roman" w:cs="Times New Roman" w:eastAsia="Times New Roman" w:hint="default"/>
                <w:sz w:val="18"/>
                <w:szCs w:val="18"/>
              </w:rPr>
            </w:pPr>
            <w:r>
              <w:rPr>
                <w:rFonts w:ascii="Times New Roman"/>
                <w:sz w:val="18"/>
              </w:rPr>
              <w:t>502,713,985.40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2" w:right="0"/>
              <w:jc w:val="center"/>
              <w:rPr>
                <w:rFonts w:ascii="Times New Roman" w:hAnsi="Times New Roman" w:cs="Times New Roman" w:eastAsia="Times New Roman" w:hint="default"/>
                <w:sz w:val="18"/>
                <w:szCs w:val="18"/>
              </w:rPr>
            </w:pPr>
            <w:r>
              <w:rPr>
                <w:rFonts w:ascii="Times New Roman"/>
                <w:sz w:val="18"/>
              </w:rPr>
              <w:t>11,137,414.67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5" w:right="0"/>
              <w:jc w:val="center"/>
              <w:rPr>
                <w:rFonts w:ascii="Times New Roman" w:hAnsi="Times New Roman" w:cs="Times New Roman" w:eastAsia="Times New Roman" w:hint="default"/>
                <w:sz w:val="18"/>
                <w:szCs w:val="18"/>
              </w:rPr>
            </w:pPr>
            <w:r>
              <w:rPr>
                <w:rFonts w:ascii="Times New Roman"/>
                <w:sz w:val="18"/>
              </w:rPr>
              <w:t>491,576,570.73</w:t>
            </w:r>
          </w:p>
        </w:tc>
      </w:tr>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0"/>
              <w:ind w:left="102" w:right="174"/>
              <w:jc w:val="left"/>
              <w:rPr>
                <w:rFonts w:ascii="宋体" w:hAnsi="宋体" w:cs="宋体" w:eastAsia="宋体" w:hint="default"/>
                <w:sz w:val="18"/>
                <w:szCs w:val="18"/>
              </w:rPr>
            </w:pPr>
            <w:r>
              <w:rPr>
                <w:rFonts w:ascii="宋体" w:hAnsi="宋体" w:cs="宋体" w:eastAsia="宋体" w:hint="default"/>
                <w:sz w:val="18"/>
                <w:szCs w:val="18"/>
              </w:rPr>
              <w:t>对联营、合营 企业投资</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6" w:right="0"/>
              <w:jc w:val="center"/>
              <w:rPr>
                <w:rFonts w:ascii="Times New Roman" w:hAnsi="Times New Roman" w:cs="Times New Roman" w:eastAsia="Times New Roman" w:hint="default"/>
                <w:sz w:val="18"/>
                <w:szCs w:val="18"/>
              </w:rPr>
            </w:pPr>
            <w:r>
              <w:rPr>
                <w:rFonts w:ascii="Times New Roman"/>
                <w:sz w:val="18"/>
              </w:rPr>
              <w:t>210,630,598.55</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5" w:right="0"/>
              <w:jc w:val="center"/>
              <w:rPr>
                <w:rFonts w:ascii="Times New Roman" w:hAnsi="Times New Roman" w:cs="Times New Roman" w:eastAsia="Times New Roman" w:hint="default"/>
                <w:sz w:val="18"/>
                <w:szCs w:val="18"/>
              </w:rPr>
            </w:pPr>
            <w:r>
              <w:rPr>
                <w:rFonts w:ascii="Times New Roman"/>
                <w:sz w:val="18"/>
              </w:rPr>
              <w:t>210,630,598.55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5" w:right="0"/>
              <w:jc w:val="center"/>
              <w:rPr>
                <w:rFonts w:ascii="Times New Roman" w:hAnsi="Times New Roman" w:cs="Times New Roman" w:eastAsia="Times New Roman" w:hint="default"/>
                <w:sz w:val="18"/>
                <w:szCs w:val="18"/>
              </w:rPr>
            </w:pPr>
            <w:r>
              <w:rPr>
                <w:rFonts w:ascii="Times New Roman"/>
                <w:sz w:val="18"/>
              </w:rPr>
              <w:t>209,435,048.81</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5" w:right="0"/>
              <w:jc w:val="center"/>
              <w:rPr>
                <w:rFonts w:ascii="Times New Roman" w:hAnsi="Times New Roman" w:cs="Times New Roman" w:eastAsia="Times New Roman" w:hint="default"/>
                <w:sz w:val="18"/>
                <w:szCs w:val="18"/>
              </w:rPr>
            </w:pPr>
            <w:r>
              <w:rPr>
                <w:rFonts w:ascii="Times New Roman"/>
                <w:sz w:val="18"/>
              </w:rPr>
              <w:t>209,435,048.81</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center"/>
              <w:rPr>
                <w:rFonts w:ascii="Times New Roman" w:hAnsi="Times New Roman" w:cs="Times New Roman" w:eastAsia="Times New Roman" w:hint="default"/>
                <w:sz w:val="18"/>
                <w:szCs w:val="18"/>
              </w:rPr>
            </w:pPr>
            <w:r>
              <w:rPr>
                <w:rFonts w:ascii="Times New Roman"/>
                <w:sz w:val="18"/>
              </w:rPr>
              <w:t>809,634,183.95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11,137,414.67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5" w:right="0"/>
              <w:jc w:val="center"/>
              <w:rPr>
                <w:rFonts w:ascii="Times New Roman" w:hAnsi="Times New Roman" w:cs="Times New Roman" w:eastAsia="Times New Roman" w:hint="default"/>
                <w:sz w:val="18"/>
                <w:szCs w:val="18"/>
              </w:rPr>
            </w:pPr>
            <w:r>
              <w:rPr>
                <w:rFonts w:ascii="Times New Roman"/>
                <w:sz w:val="18"/>
              </w:rPr>
              <w:t>798,496,769.28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5" w:right="0"/>
              <w:jc w:val="center"/>
              <w:rPr>
                <w:rFonts w:ascii="Times New Roman" w:hAnsi="Times New Roman" w:cs="Times New Roman" w:eastAsia="Times New Roman" w:hint="default"/>
                <w:sz w:val="18"/>
                <w:szCs w:val="18"/>
              </w:rPr>
            </w:pPr>
            <w:r>
              <w:rPr>
                <w:rFonts w:ascii="Times New Roman"/>
                <w:sz w:val="18"/>
              </w:rPr>
              <w:t>712,149,034.21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2" w:right="0"/>
              <w:jc w:val="center"/>
              <w:rPr>
                <w:rFonts w:ascii="Times New Roman" w:hAnsi="Times New Roman" w:cs="Times New Roman" w:eastAsia="Times New Roman" w:hint="default"/>
                <w:sz w:val="18"/>
                <w:szCs w:val="18"/>
              </w:rPr>
            </w:pPr>
            <w:r>
              <w:rPr>
                <w:rFonts w:ascii="Times New Roman"/>
                <w:sz w:val="18"/>
              </w:rPr>
              <w:t>11,137,414.67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3" w:right="0"/>
              <w:jc w:val="center"/>
              <w:rPr>
                <w:rFonts w:ascii="Times New Roman" w:hAnsi="Times New Roman" w:cs="Times New Roman" w:eastAsia="Times New Roman" w:hint="default"/>
                <w:sz w:val="18"/>
                <w:szCs w:val="18"/>
              </w:rPr>
            </w:pPr>
            <w:r>
              <w:rPr>
                <w:rFonts w:ascii="Times New Roman"/>
                <w:sz w:val="18"/>
              </w:rPr>
              <w:t>701,011,619.54</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1</w:t>
      </w:r>
      <w:r>
        <w:rPr/>
        <w:t>）对子公司投资</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267"/>
        <w:gridCol w:w="1166"/>
        <w:gridCol w:w="1166"/>
        <w:gridCol w:w="1166"/>
        <w:gridCol w:w="1166"/>
        <w:gridCol w:w="1213"/>
        <w:gridCol w:w="1213"/>
        <w:gridCol w:w="1213"/>
      </w:tblGrid>
      <w:tr>
        <w:trPr>
          <w:trHeight w:val="402" w:hRule="exact"/>
        </w:trPr>
        <w:tc>
          <w:tcPr>
            <w:tcW w:w="1267"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left="177" w:right="0"/>
              <w:jc w:val="left"/>
              <w:rPr>
                <w:rFonts w:ascii="宋体" w:hAnsi="宋体" w:cs="宋体" w:eastAsia="宋体" w:hint="default"/>
                <w:sz w:val="18"/>
                <w:szCs w:val="18"/>
              </w:rPr>
            </w:pPr>
            <w:r>
              <w:rPr>
                <w:rFonts w:ascii="宋体" w:hAnsi="宋体" w:cs="宋体" w:eastAsia="宋体" w:hint="default"/>
                <w:sz w:val="18"/>
                <w:szCs w:val="18"/>
              </w:rPr>
              <w:t>被投资单位</w:t>
            </w:r>
          </w:p>
        </w:tc>
        <w:tc>
          <w:tcPr>
            <w:tcW w:w="1166"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18" w:right="0"/>
              <w:jc w:val="left"/>
              <w:rPr>
                <w:rFonts w:ascii="宋体" w:hAnsi="宋体" w:cs="宋体" w:eastAsia="宋体" w:hint="default"/>
                <w:sz w:val="18"/>
                <w:szCs w:val="18"/>
              </w:rPr>
            </w:pPr>
            <w:r>
              <w:rPr>
                <w:rFonts w:ascii="宋体" w:hAnsi="宋体" w:cs="宋体" w:eastAsia="宋体" w:hint="default"/>
                <w:sz w:val="18"/>
                <w:szCs w:val="18"/>
              </w:rPr>
              <w:t>期初余额</w:t>
            </w:r>
          </w:p>
          <w:p>
            <w:pPr>
              <w:pStyle w:val="TableParagraph"/>
              <w:spacing w:line="240" w:lineRule="auto" w:before="76"/>
              <w:ind w:left="159"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账面价值</w:t>
            </w:r>
            <w:r>
              <w:rPr>
                <w:rFonts w:ascii="Times New Roman" w:hAnsi="Times New Roman" w:cs="Times New Roman" w:eastAsia="Times New Roman" w:hint="default"/>
                <w:sz w:val="18"/>
                <w:szCs w:val="18"/>
              </w:rPr>
              <w:t>)</w:t>
            </w:r>
          </w:p>
        </w:tc>
        <w:tc>
          <w:tcPr>
            <w:tcW w:w="4711" w:type="dxa"/>
            <w:gridSpan w:val="4"/>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1213"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1"/>
              <w:ind w:right="0"/>
              <w:jc w:val="left"/>
              <w:rPr>
                <w:rFonts w:ascii="宋体" w:hAnsi="宋体" w:cs="宋体" w:eastAsia="宋体" w:hint="default"/>
                <w:sz w:val="19"/>
                <w:szCs w:val="19"/>
              </w:rPr>
            </w:pPr>
          </w:p>
          <w:p>
            <w:pPr>
              <w:pStyle w:val="TableParagraph"/>
              <w:spacing w:line="300" w:lineRule="auto"/>
              <w:ind w:left="302" w:right="120" w:hanging="180"/>
              <w:jc w:val="left"/>
              <w:rPr>
                <w:rFonts w:ascii="Times New Roman" w:hAnsi="Times New Roman" w:cs="Times New Roman" w:eastAsia="Times New Roman"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账 面价值</w:t>
            </w:r>
            <w:r>
              <w:rPr>
                <w:rFonts w:ascii="Times New Roman" w:hAnsi="Times New Roman" w:cs="Times New Roman" w:eastAsia="Times New Roman" w:hint="default"/>
                <w:sz w:val="18"/>
                <w:szCs w:val="18"/>
              </w:rPr>
              <w:t>)</w:t>
            </w:r>
          </w:p>
        </w:tc>
        <w:tc>
          <w:tcPr>
            <w:tcW w:w="1213"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1"/>
              <w:ind w:right="0"/>
              <w:jc w:val="left"/>
              <w:rPr>
                <w:rFonts w:ascii="宋体" w:hAnsi="宋体" w:cs="宋体" w:eastAsia="宋体" w:hint="default"/>
                <w:sz w:val="19"/>
                <w:szCs w:val="19"/>
              </w:rPr>
            </w:pPr>
          </w:p>
          <w:p>
            <w:pPr>
              <w:pStyle w:val="TableParagraph"/>
              <w:spacing w:line="319" w:lineRule="auto"/>
              <w:ind w:left="331" w:right="150" w:hanging="180"/>
              <w:jc w:val="left"/>
              <w:rPr>
                <w:rFonts w:ascii="宋体" w:hAnsi="宋体" w:cs="宋体" w:eastAsia="宋体" w:hint="default"/>
                <w:sz w:val="18"/>
                <w:szCs w:val="18"/>
              </w:rPr>
            </w:pPr>
            <w:r>
              <w:rPr>
                <w:rFonts w:ascii="宋体" w:hAnsi="宋体" w:cs="宋体" w:eastAsia="宋体" w:hint="default"/>
                <w:sz w:val="18"/>
                <w:szCs w:val="18"/>
              </w:rPr>
              <w:t>减值准备期 末余额</w:t>
            </w:r>
          </w:p>
        </w:tc>
      </w:tr>
      <w:tr>
        <w:trPr>
          <w:trHeight w:val="713" w:hRule="exact"/>
        </w:trPr>
        <w:tc>
          <w:tcPr>
            <w:tcW w:w="1267" w:type="dxa"/>
            <w:vMerge/>
            <w:tcBorders>
              <w:left w:val="single" w:sz="4" w:space="0" w:color="000000"/>
              <w:bottom w:val="single" w:sz="4" w:space="0" w:color="000000"/>
              <w:right w:val="single" w:sz="4" w:space="0" w:color="000000"/>
            </w:tcBorders>
            <w:shd w:val="clear" w:color="auto" w:fill="D3D3D3"/>
          </w:tcPr>
          <w:p>
            <w:pPr/>
          </w:p>
        </w:tc>
        <w:tc>
          <w:tcPr>
            <w:tcW w:w="1166" w:type="dxa"/>
            <w:vMerge/>
            <w:tcBorders>
              <w:left w:val="single" w:sz="4" w:space="0" w:color="000000"/>
              <w:bottom w:val="single" w:sz="4" w:space="0" w:color="000000"/>
              <w:right w:val="single" w:sz="4" w:space="0" w:color="000000"/>
            </w:tcBorders>
            <w:shd w:val="clear" w:color="auto" w:fill="D3D3D3"/>
          </w:tcPr>
          <w:p>
            <w:pPr/>
          </w:p>
        </w:tc>
        <w:tc>
          <w:tcPr>
            <w:tcW w:w="11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追加投资</w:t>
            </w:r>
          </w:p>
        </w:tc>
        <w:tc>
          <w:tcPr>
            <w:tcW w:w="11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17" w:right="0"/>
              <w:jc w:val="left"/>
              <w:rPr>
                <w:rFonts w:ascii="宋体" w:hAnsi="宋体" w:cs="宋体" w:eastAsia="宋体" w:hint="default"/>
                <w:sz w:val="18"/>
                <w:szCs w:val="18"/>
              </w:rPr>
            </w:pPr>
            <w:r>
              <w:rPr>
                <w:rFonts w:ascii="宋体" w:hAnsi="宋体" w:cs="宋体" w:eastAsia="宋体" w:hint="default"/>
                <w:sz w:val="18"/>
                <w:szCs w:val="18"/>
              </w:rPr>
              <w:t>减少投资</w:t>
            </w:r>
          </w:p>
        </w:tc>
        <w:tc>
          <w:tcPr>
            <w:tcW w:w="11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488" w:right="126" w:hanging="360"/>
              <w:jc w:val="left"/>
              <w:rPr>
                <w:rFonts w:ascii="宋体" w:hAnsi="宋体" w:cs="宋体" w:eastAsia="宋体" w:hint="default"/>
                <w:sz w:val="18"/>
                <w:szCs w:val="18"/>
              </w:rPr>
            </w:pPr>
            <w:r>
              <w:rPr>
                <w:rFonts w:ascii="宋体" w:hAnsi="宋体" w:cs="宋体" w:eastAsia="宋体" w:hint="default"/>
                <w:sz w:val="18"/>
                <w:szCs w:val="18"/>
              </w:rPr>
              <w:t>计提减值准 备</w:t>
            </w:r>
          </w:p>
        </w:tc>
        <w:tc>
          <w:tcPr>
            <w:tcW w:w="121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其他</w:t>
            </w:r>
          </w:p>
        </w:tc>
        <w:tc>
          <w:tcPr>
            <w:tcW w:w="1213" w:type="dxa"/>
            <w:vMerge/>
            <w:tcBorders>
              <w:left w:val="single" w:sz="4" w:space="0" w:color="000000"/>
              <w:bottom w:val="single" w:sz="4" w:space="0" w:color="000000"/>
              <w:right w:val="single" w:sz="4" w:space="0" w:color="000000"/>
            </w:tcBorders>
            <w:shd w:val="clear" w:color="auto" w:fill="D3D3D3"/>
          </w:tcPr>
          <w:p>
            <w:pPr/>
          </w:p>
        </w:tc>
        <w:tc>
          <w:tcPr>
            <w:tcW w:w="1213" w:type="dxa"/>
            <w:vMerge/>
            <w:tcBorders>
              <w:left w:val="single" w:sz="4" w:space="0" w:color="000000"/>
              <w:bottom w:val="single" w:sz="4" w:space="0" w:color="000000"/>
              <w:right w:val="single" w:sz="4" w:space="0" w:color="000000"/>
            </w:tcBorders>
            <w:shd w:val="clear" w:color="auto" w:fill="D3D3D3"/>
          </w:tcPr>
          <w:p>
            <w:pPr/>
          </w:p>
        </w:tc>
      </w:tr>
      <w:tr>
        <w:trPr>
          <w:trHeight w:val="1027" w:hRule="exact"/>
        </w:trPr>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2" w:right="252"/>
              <w:jc w:val="both"/>
              <w:rPr>
                <w:rFonts w:ascii="宋体" w:hAnsi="宋体" w:cs="宋体" w:eastAsia="宋体" w:hint="default"/>
                <w:sz w:val="18"/>
                <w:szCs w:val="18"/>
              </w:rPr>
            </w:pPr>
            <w:r>
              <w:rPr>
                <w:rFonts w:ascii="宋体" w:hAnsi="宋体" w:cs="宋体" w:eastAsia="宋体" w:hint="default"/>
                <w:sz w:val="18"/>
                <w:szCs w:val="18"/>
              </w:rPr>
              <w:t>江苏恒宝智 能系统技术 有限公司</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259,747,405.</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40</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89,000,000.0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166"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348,747,405.</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40</w:t>
            </w:r>
          </w:p>
        </w:tc>
        <w:tc>
          <w:tcPr>
            <w:tcW w:w="1213" w:type="dxa"/>
            <w:tcBorders>
              <w:top w:val="single" w:sz="4" w:space="0" w:color="000000"/>
              <w:left w:val="single" w:sz="4" w:space="0" w:color="000000"/>
              <w:bottom w:val="single" w:sz="4" w:space="0" w:color="000000"/>
              <w:right w:val="single" w:sz="4" w:space="0" w:color="000000"/>
            </w:tcBorders>
          </w:tcPr>
          <w:p>
            <w:pPr/>
          </w:p>
        </w:tc>
      </w:tr>
      <w:tr>
        <w:trPr>
          <w:trHeight w:val="355" w:hRule="exact"/>
        </w:trPr>
        <w:tc>
          <w:tcPr>
            <w:tcW w:w="126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北京东方英</w:t>
            </w:r>
          </w:p>
        </w:tc>
        <w:tc>
          <w:tcPr>
            <w:tcW w:w="1166" w:type="dxa"/>
            <w:tcBorders>
              <w:top w:val="single" w:sz="4" w:space="0" w:color="000000"/>
              <w:left w:val="single" w:sz="4" w:space="0" w:color="000000"/>
              <w:bottom w:val="nil" w:sz="6" w:space="0" w:color="auto"/>
              <w:right w:val="single" w:sz="4" w:space="0" w:color="000000"/>
            </w:tcBorders>
          </w:tcPr>
          <w:p>
            <w:pPr/>
          </w:p>
        </w:tc>
        <w:tc>
          <w:tcPr>
            <w:tcW w:w="1166" w:type="dxa"/>
            <w:vMerge w:val="restart"/>
            <w:tcBorders>
              <w:top w:val="single" w:sz="4" w:space="0" w:color="000000"/>
              <w:left w:val="single" w:sz="4" w:space="0" w:color="000000"/>
              <w:right w:val="single" w:sz="4" w:space="0" w:color="000000"/>
            </w:tcBorders>
          </w:tcPr>
          <w:p>
            <w:pPr/>
          </w:p>
        </w:tc>
        <w:tc>
          <w:tcPr>
            <w:tcW w:w="1166" w:type="dxa"/>
            <w:vMerge w:val="restart"/>
            <w:tcBorders>
              <w:top w:val="single" w:sz="4" w:space="0" w:color="000000"/>
              <w:left w:val="single" w:sz="4" w:space="0" w:color="000000"/>
              <w:right w:val="single" w:sz="4" w:space="0" w:color="000000"/>
            </w:tcBorders>
          </w:tcPr>
          <w:p>
            <w:pPr/>
          </w:p>
        </w:tc>
        <w:tc>
          <w:tcPr>
            <w:tcW w:w="1166" w:type="dxa"/>
            <w:vMerge w:val="restart"/>
            <w:tcBorders>
              <w:top w:val="single" w:sz="4" w:space="0" w:color="000000"/>
              <w:left w:val="single" w:sz="4" w:space="0" w:color="000000"/>
              <w:right w:val="single" w:sz="4" w:space="0" w:color="000000"/>
            </w:tcBorders>
          </w:tcPr>
          <w:p>
            <w:pPr/>
          </w:p>
        </w:tc>
        <w:tc>
          <w:tcPr>
            <w:tcW w:w="1213" w:type="dxa"/>
            <w:vMerge w:val="restart"/>
            <w:tcBorders>
              <w:top w:val="single" w:sz="4" w:space="0" w:color="000000"/>
              <w:left w:val="single" w:sz="4" w:space="0" w:color="000000"/>
              <w:right w:val="single" w:sz="4" w:space="0" w:color="000000"/>
            </w:tcBorders>
          </w:tcPr>
          <w:p>
            <w:pPr/>
          </w:p>
        </w:tc>
        <w:tc>
          <w:tcPr>
            <w:tcW w:w="1213" w:type="dxa"/>
            <w:tcBorders>
              <w:top w:val="single" w:sz="4" w:space="0" w:color="000000"/>
              <w:left w:val="single" w:sz="4" w:space="0" w:color="000000"/>
              <w:bottom w:val="nil" w:sz="6" w:space="0" w:color="auto"/>
              <w:right w:val="single" w:sz="4" w:space="0" w:color="000000"/>
            </w:tcBorders>
          </w:tcPr>
          <w:p>
            <w:pPr/>
          </w:p>
        </w:tc>
        <w:tc>
          <w:tcPr>
            <w:tcW w:w="1213" w:type="dxa"/>
            <w:tcBorders>
              <w:top w:val="single" w:sz="4" w:space="0" w:color="000000"/>
              <w:left w:val="single" w:sz="4" w:space="0" w:color="000000"/>
              <w:bottom w:val="nil" w:sz="6" w:space="0" w:color="auto"/>
              <w:right w:val="single" w:sz="4" w:space="0" w:color="000000"/>
            </w:tcBorders>
          </w:tcPr>
          <w:p>
            <w:pPr/>
          </w:p>
        </w:tc>
      </w:tr>
      <w:tr>
        <w:trPr>
          <w:trHeight w:val="316" w:hRule="exact"/>
        </w:trPr>
        <w:tc>
          <w:tcPr>
            <w:tcW w:w="126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卡数字信息</w:t>
            </w:r>
          </w:p>
        </w:tc>
        <w:tc>
          <w:tcPr>
            <w:tcW w:w="1166"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14,862,585.3</w:t>
            </w:r>
          </w:p>
        </w:tc>
        <w:tc>
          <w:tcPr>
            <w:tcW w:w="1166" w:type="dxa"/>
            <w:vMerge/>
            <w:tcBorders>
              <w:left w:val="single" w:sz="4" w:space="0" w:color="000000"/>
              <w:right w:val="single" w:sz="4" w:space="0" w:color="000000"/>
            </w:tcBorders>
          </w:tcPr>
          <w:p>
            <w:pPr/>
          </w:p>
        </w:tc>
        <w:tc>
          <w:tcPr>
            <w:tcW w:w="1166" w:type="dxa"/>
            <w:vMerge/>
            <w:tcBorders>
              <w:left w:val="single" w:sz="4" w:space="0" w:color="000000"/>
              <w:right w:val="single" w:sz="4" w:space="0" w:color="000000"/>
            </w:tcBorders>
          </w:tcPr>
          <w:p>
            <w:pPr/>
          </w:p>
        </w:tc>
        <w:tc>
          <w:tcPr>
            <w:tcW w:w="1166" w:type="dxa"/>
            <w:vMerge/>
            <w:tcBorders>
              <w:left w:val="single" w:sz="4" w:space="0" w:color="000000"/>
              <w:right w:val="single" w:sz="4" w:space="0" w:color="000000"/>
            </w:tcBorders>
          </w:tcPr>
          <w:p>
            <w:pPr/>
          </w:p>
        </w:tc>
        <w:tc>
          <w:tcPr>
            <w:tcW w:w="1213" w:type="dxa"/>
            <w:vMerge/>
            <w:tcBorders>
              <w:left w:val="single" w:sz="4" w:space="0" w:color="000000"/>
              <w:right w:val="single" w:sz="4" w:space="0" w:color="000000"/>
            </w:tcBorders>
          </w:tcPr>
          <w:p>
            <w:pPr/>
          </w:p>
        </w:tc>
        <w:tc>
          <w:tcPr>
            <w:tcW w:w="1213"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14,862,585.3</w:t>
            </w:r>
          </w:p>
        </w:tc>
        <w:tc>
          <w:tcPr>
            <w:tcW w:w="1213"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11,137,414.6</w:t>
            </w:r>
          </w:p>
        </w:tc>
      </w:tr>
      <w:tr>
        <w:trPr>
          <w:trHeight w:val="312" w:hRule="exact"/>
        </w:trPr>
        <w:tc>
          <w:tcPr>
            <w:tcW w:w="126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技术有限公</w:t>
            </w:r>
          </w:p>
        </w:tc>
        <w:tc>
          <w:tcPr>
            <w:tcW w:w="1166"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z w:val="18"/>
              </w:rPr>
              <w:t>3</w:t>
            </w:r>
          </w:p>
        </w:tc>
        <w:tc>
          <w:tcPr>
            <w:tcW w:w="1166" w:type="dxa"/>
            <w:vMerge/>
            <w:tcBorders>
              <w:left w:val="single" w:sz="4" w:space="0" w:color="000000"/>
              <w:right w:val="single" w:sz="4" w:space="0" w:color="000000"/>
            </w:tcBorders>
          </w:tcPr>
          <w:p>
            <w:pPr/>
          </w:p>
        </w:tc>
        <w:tc>
          <w:tcPr>
            <w:tcW w:w="1166" w:type="dxa"/>
            <w:vMerge/>
            <w:tcBorders>
              <w:left w:val="single" w:sz="4" w:space="0" w:color="000000"/>
              <w:right w:val="single" w:sz="4" w:space="0" w:color="000000"/>
            </w:tcBorders>
          </w:tcPr>
          <w:p>
            <w:pPr/>
          </w:p>
        </w:tc>
        <w:tc>
          <w:tcPr>
            <w:tcW w:w="1166" w:type="dxa"/>
            <w:vMerge/>
            <w:tcBorders>
              <w:left w:val="single" w:sz="4" w:space="0" w:color="000000"/>
              <w:right w:val="single" w:sz="4" w:space="0" w:color="000000"/>
            </w:tcBorders>
          </w:tcPr>
          <w:p>
            <w:pPr/>
          </w:p>
        </w:tc>
        <w:tc>
          <w:tcPr>
            <w:tcW w:w="1213" w:type="dxa"/>
            <w:vMerge/>
            <w:tcBorders>
              <w:left w:val="single" w:sz="4" w:space="0" w:color="000000"/>
              <w:right w:val="single" w:sz="4" w:space="0" w:color="000000"/>
            </w:tcBorders>
          </w:tcPr>
          <w:p>
            <w:pPr/>
          </w:p>
        </w:tc>
        <w:tc>
          <w:tcPr>
            <w:tcW w:w="1213"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z w:val="18"/>
              </w:rPr>
              <w:t>3</w:t>
            </w:r>
          </w:p>
        </w:tc>
        <w:tc>
          <w:tcPr>
            <w:tcW w:w="1213"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z w:val="18"/>
              </w:rPr>
              <w:t>7</w:t>
            </w:r>
          </w:p>
        </w:tc>
      </w:tr>
      <w:tr>
        <w:trPr>
          <w:trHeight w:val="354" w:hRule="exact"/>
        </w:trPr>
        <w:tc>
          <w:tcPr>
            <w:tcW w:w="126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司</w:t>
            </w:r>
          </w:p>
        </w:tc>
        <w:tc>
          <w:tcPr>
            <w:tcW w:w="1166" w:type="dxa"/>
            <w:tcBorders>
              <w:top w:val="nil" w:sz="6" w:space="0" w:color="auto"/>
              <w:left w:val="single" w:sz="4" w:space="0" w:color="000000"/>
              <w:bottom w:val="single" w:sz="4" w:space="0" w:color="000000"/>
              <w:right w:val="single" w:sz="4" w:space="0" w:color="000000"/>
            </w:tcBorders>
          </w:tcPr>
          <w:p>
            <w:pPr/>
          </w:p>
        </w:tc>
        <w:tc>
          <w:tcPr>
            <w:tcW w:w="1166" w:type="dxa"/>
            <w:vMerge/>
            <w:tcBorders>
              <w:left w:val="single" w:sz="4" w:space="0" w:color="000000"/>
              <w:bottom w:val="single" w:sz="4" w:space="0" w:color="000000"/>
              <w:right w:val="single" w:sz="4" w:space="0" w:color="000000"/>
            </w:tcBorders>
          </w:tcPr>
          <w:p>
            <w:pPr/>
          </w:p>
        </w:tc>
        <w:tc>
          <w:tcPr>
            <w:tcW w:w="1166" w:type="dxa"/>
            <w:vMerge/>
            <w:tcBorders>
              <w:left w:val="single" w:sz="4" w:space="0" w:color="000000"/>
              <w:bottom w:val="single" w:sz="4" w:space="0" w:color="000000"/>
              <w:right w:val="single" w:sz="4" w:space="0" w:color="000000"/>
            </w:tcBorders>
          </w:tcPr>
          <w:p>
            <w:pPr/>
          </w:p>
        </w:tc>
        <w:tc>
          <w:tcPr>
            <w:tcW w:w="1166" w:type="dxa"/>
            <w:vMerge/>
            <w:tcBorders>
              <w:left w:val="single" w:sz="4" w:space="0" w:color="000000"/>
              <w:bottom w:val="single" w:sz="4" w:space="0" w:color="000000"/>
              <w:right w:val="single" w:sz="4" w:space="0" w:color="000000"/>
            </w:tcBorders>
          </w:tcPr>
          <w:p>
            <w:pPr/>
          </w:p>
        </w:tc>
        <w:tc>
          <w:tcPr>
            <w:tcW w:w="1213" w:type="dxa"/>
            <w:vMerge/>
            <w:tcBorders>
              <w:left w:val="single" w:sz="4" w:space="0" w:color="000000"/>
              <w:bottom w:val="single" w:sz="4" w:space="0" w:color="000000"/>
              <w:right w:val="single" w:sz="4" w:space="0" w:color="000000"/>
            </w:tcBorders>
          </w:tcPr>
          <w:p>
            <w:pPr/>
          </w:p>
        </w:tc>
        <w:tc>
          <w:tcPr>
            <w:tcW w:w="1213" w:type="dxa"/>
            <w:tcBorders>
              <w:top w:val="nil" w:sz="6" w:space="0" w:color="auto"/>
              <w:left w:val="single" w:sz="4" w:space="0" w:color="000000"/>
              <w:bottom w:val="single" w:sz="4" w:space="0" w:color="000000"/>
              <w:right w:val="single" w:sz="4" w:space="0" w:color="000000"/>
            </w:tcBorders>
          </w:tcPr>
          <w:p>
            <w:pPr/>
          </w:p>
        </w:tc>
        <w:tc>
          <w:tcPr>
            <w:tcW w:w="1213" w:type="dxa"/>
            <w:tcBorders>
              <w:top w:val="nil" w:sz="6" w:space="0" w:color="auto"/>
              <w:left w:val="single" w:sz="4" w:space="0" w:color="000000"/>
              <w:bottom w:val="single" w:sz="4" w:space="0" w:color="000000"/>
              <w:right w:val="single" w:sz="4" w:space="0" w:color="000000"/>
            </w:tcBorders>
          </w:tcPr>
          <w:p>
            <w:pPr/>
          </w:p>
        </w:tc>
      </w:tr>
      <w:tr>
        <w:trPr>
          <w:trHeight w:val="713" w:hRule="exact"/>
        </w:trPr>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2" w:right="252"/>
              <w:jc w:val="left"/>
              <w:rPr>
                <w:rFonts w:ascii="宋体" w:hAnsi="宋体" w:cs="宋体" w:eastAsia="宋体" w:hint="default"/>
                <w:sz w:val="18"/>
                <w:szCs w:val="18"/>
              </w:rPr>
            </w:pPr>
            <w:r>
              <w:rPr>
                <w:rFonts w:ascii="宋体" w:hAnsi="宋体" w:cs="宋体" w:eastAsia="宋体" w:hint="default"/>
                <w:sz w:val="18"/>
                <w:szCs w:val="18"/>
              </w:rPr>
              <w:t>恒宝国际有 限责任公司</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30,271,960.0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7,089,600.00</w:t>
            </w:r>
          </w:p>
        </w:tc>
        <w:tc>
          <w:tcPr>
            <w:tcW w:w="1166"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37,361,560.0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213"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6" w:footer="1018" w:top="1100" w:bottom="1200" w:left="1020" w:right="0"/>
        </w:sectPr>
      </w:pPr>
    </w:p>
    <w:p>
      <w:pPr>
        <w:spacing w:line="240" w:lineRule="auto" w:before="7"/>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267"/>
        <w:gridCol w:w="1166"/>
        <w:gridCol w:w="1166"/>
        <w:gridCol w:w="1166"/>
        <w:gridCol w:w="1166"/>
        <w:gridCol w:w="1213"/>
        <w:gridCol w:w="1213"/>
        <w:gridCol w:w="1213"/>
      </w:tblGrid>
      <w:tr>
        <w:trPr>
          <w:trHeight w:val="1026" w:hRule="exact"/>
        </w:trPr>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2" w:right="252"/>
              <w:jc w:val="both"/>
              <w:rPr>
                <w:rFonts w:ascii="宋体" w:hAnsi="宋体" w:cs="宋体" w:eastAsia="宋体" w:hint="default"/>
                <w:sz w:val="18"/>
                <w:szCs w:val="18"/>
              </w:rPr>
            </w:pPr>
            <w:r>
              <w:rPr>
                <w:rFonts w:ascii="宋体" w:hAnsi="宋体" w:cs="宋体" w:eastAsia="宋体" w:hint="default"/>
                <w:sz w:val="18"/>
                <w:szCs w:val="18"/>
              </w:rPr>
              <w:t>深圳一卡易 科技股份有 限公司</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165,801,000.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00</w:t>
            </w:r>
          </w:p>
        </w:tc>
        <w:tc>
          <w:tcPr>
            <w:tcW w:w="1166"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165,801,000.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00</w:t>
            </w:r>
          </w:p>
        </w:tc>
        <w:tc>
          <w:tcPr>
            <w:tcW w:w="1213"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2" w:right="101"/>
              <w:jc w:val="both"/>
              <w:rPr>
                <w:rFonts w:ascii="宋体" w:hAnsi="宋体" w:cs="宋体" w:eastAsia="宋体" w:hint="default"/>
                <w:sz w:val="18"/>
                <w:szCs w:val="18"/>
              </w:rPr>
            </w:pPr>
            <w:r>
              <w:rPr>
                <w:rFonts w:ascii="宋体" w:hAnsi="宋体" w:cs="宋体" w:eastAsia="宋体" w:hint="default"/>
                <w:spacing w:val="-5"/>
                <w:sz w:val="18"/>
                <w:szCs w:val="18"/>
              </w:rPr>
              <w:t>云宝金服（北</w:t>
            </w:r>
            <w:r>
              <w:rPr>
                <w:rFonts w:ascii="宋体" w:hAnsi="宋体" w:cs="宋体" w:eastAsia="宋体" w:hint="default"/>
                <w:sz w:val="18"/>
                <w:szCs w:val="18"/>
              </w:rPr>
              <w:t> </w:t>
            </w:r>
            <w:r>
              <w:rPr>
                <w:rFonts w:ascii="宋体" w:hAnsi="宋体" w:cs="宋体" w:eastAsia="宋体" w:hint="default"/>
                <w:spacing w:val="-5"/>
                <w:sz w:val="18"/>
                <w:szCs w:val="18"/>
              </w:rPr>
              <w:t>京）科技有限</w:t>
            </w:r>
            <w:r>
              <w:rPr>
                <w:rFonts w:ascii="宋体" w:hAnsi="宋体" w:cs="宋体" w:eastAsia="宋体" w:hint="default"/>
                <w:sz w:val="18"/>
                <w:szCs w:val="18"/>
              </w:rPr>
              <w:t> 公司</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19,860,000.0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42" w:right="0"/>
              <w:jc w:val="left"/>
              <w:rPr>
                <w:rFonts w:ascii="Times New Roman" w:hAnsi="Times New Roman" w:cs="Times New Roman" w:eastAsia="Times New Roman" w:hint="default"/>
                <w:sz w:val="18"/>
                <w:szCs w:val="18"/>
              </w:rPr>
            </w:pPr>
            <w:r>
              <w:rPr>
                <w:rFonts w:ascii="Times New Roman"/>
                <w:sz w:val="18"/>
              </w:rPr>
              <w:t>200,000.00</w:t>
            </w:r>
          </w:p>
        </w:tc>
        <w:tc>
          <w:tcPr>
            <w:tcW w:w="1166"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20,060,000.0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213" w:type="dxa"/>
            <w:tcBorders>
              <w:top w:val="single" w:sz="4" w:space="0" w:color="000000"/>
              <w:left w:val="single" w:sz="4" w:space="0" w:color="000000"/>
              <w:bottom w:val="single" w:sz="4" w:space="0" w:color="000000"/>
              <w:right w:val="single" w:sz="4" w:space="0" w:color="000000"/>
            </w:tcBorders>
          </w:tcPr>
          <w:p>
            <w:pPr/>
          </w:p>
        </w:tc>
      </w:tr>
      <w:tr>
        <w:trPr>
          <w:trHeight w:val="357" w:hRule="exact"/>
        </w:trPr>
        <w:tc>
          <w:tcPr>
            <w:tcW w:w="126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pacing w:val="-5"/>
                <w:sz w:val="18"/>
                <w:szCs w:val="18"/>
              </w:rPr>
              <w:t>恒宝（中东非</w:t>
            </w:r>
          </w:p>
        </w:tc>
        <w:tc>
          <w:tcPr>
            <w:tcW w:w="1166" w:type="dxa"/>
            <w:tcBorders>
              <w:top w:val="single" w:sz="4" w:space="0" w:color="000000"/>
              <w:left w:val="single" w:sz="4" w:space="0" w:color="000000"/>
              <w:bottom w:val="nil" w:sz="6" w:space="0" w:color="auto"/>
              <w:right w:val="single" w:sz="4" w:space="0" w:color="000000"/>
            </w:tcBorders>
          </w:tcPr>
          <w:p>
            <w:pPr/>
          </w:p>
        </w:tc>
        <w:tc>
          <w:tcPr>
            <w:tcW w:w="1166" w:type="dxa"/>
            <w:vMerge w:val="restart"/>
            <w:tcBorders>
              <w:top w:val="single" w:sz="4" w:space="0" w:color="000000"/>
              <w:left w:val="single" w:sz="4" w:space="0" w:color="000000"/>
              <w:right w:val="single" w:sz="4" w:space="0" w:color="000000"/>
            </w:tcBorders>
          </w:tcPr>
          <w:p>
            <w:pPr/>
          </w:p>
        </w:tc>
        <w:tc>
          <w:tcPr>
            <w:tcW w:w="1166" w:type="dxa"/>
            <w:vMerge w:val="restart"/>
            <w:tcBorders>
              <w:top w:val="single" w:sz="4" w:space="0" w:color="000000"/>
              <w:left w:val="single" w:sz="4" w:space="0" w:color="000000"/>
              <w:right w:val="single" w:sz="4" w:space="0" w:color="000000"/>
            </w:tcBorders>
          </w:tcPr>
          <w:p>
            <w:pPr/>
          </w:p>
        </w:tc>
        <w:tc>
          <w:tcPr>
            <w:tcW w:w="1166" w:type="dxa"/>
            <w:vMerge w:val="restart"/>
            <w:tcBorders>
              <w:top w:val="single" w:sz="4" w:space="0" w:color="000000"/>
              <w:left w:val="single" w:sz="4" w:space="0" w:color="000000"/>
              <w:right w:val="single" w:sz="4" w:space="0" w:color="000000"/>
            </w:tcBorders>
          </w:tcPr>
          <w:p>
            <w:pPr/>
          </w:p>
        </w:tc>
        <w:tc>
          <w:tcPr>
            <w:tcW w:w="1213" w:type="dxa"/>
            <w:vMerge w:val="restart"/>
            <w:tcBorders>
              <w:top w:val="single" w:sz="4" w:space="0" w:color="000000"/>
              <w:left w:val="single" w:sz="4" w:space="0" w:color="000000"/>
              <w:right w:val="single" w:sz="4" w:space="0" w:color="000000"/>
            </w:tcBorders>
          </w:tcPr>
          <w:p>
            <w:pPr/>
          </w:p>
        </w:tc>
        <w:tc>
          <w:tcPr>
            <w:tcW w:w="1213" w:type="dxa"/>
            <w:tcBorders>
              <w:top w:val="single" w:sz="4" w:space="0" w:color="000000"/>
              <w:left w:val="single" w:sz="4" w:space="0" w:color="000000"/>
              <w:bottom w:val="nil" w:sz="6" w:space="0" w:color="auto"/>
              <w:right w:val="single" w:sz="4" w:space="0" w:color="000000"/>
            </w:tcBorders>
          </w:tcPr>
          <w:p>
            <w:pPr/>
          </w:p>
        </w:tc>
        <w:tc>
          <w:tcPr>
            <w:tcW w:w="1213" w:type="dxa"/>
            <w:vMerge w:val="restart"/>
            <w:tcBorders>
              <w:top w:val="single" w:sz="4" w:space="0" w:color="000000"/>
              <w:left w:val="single" w:sz="4" w:space="0" w:color="000000"/>
              <w:right w:val="single" w:sz="4" w:space="0" w:color="000000"/>
            </w:tcBorders>
          </w:tcPr>
          <w:p>
            <w:pPr/>
          </w:p>
        </w:tc>
      </w:tr>
      <w:tr>
        <w:trPr>
          <w:trHeight w:val="316" w:hRule="exact"/>
        </w:trPr>
        <w:tc>
          <w:tcPr>
            <w:tcW w:w="126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pacing w:val="-5"/>
                <w:sz w:val="18"/>
                <w:szCs w:val="18"/>
              </w:rPr>
              <w:t>洲）有限责任</w:t>
            </w:r>
          </w:p>
        </w:tc>
        <w:tc>
          <w:tcPr>
            <w:tcW w:w="1166"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107" w:right="0"/>
              <w:jc w:val="left"/>
              <w:rPr>
                <w:rFonts w:ascii="Times New Roman" w:hAnsi="Times New Roman" w:cs="Times New Roman" w:eastAsia="Times New Roman" w:hint="default"/>
                <w:sz w:val="18"/>
                <w:szCs w:val="18"/>
              </w:rPr>
            </w:pPr>
            <w:r>
              <w:rPr>
                <w:rFonts w:ascii="Times New Roman"/>
                <w:sz w:val="18"/>
              </w:rPr>
              <w:t>1,033,620.00</w:t>
            </w:r>
          </w:p>
        </w:tc>
        <w:tc>
          <w:tcPr>
            <w:tcW w:w="1166" w:type="dxa"/>
            <w:vMerge/>
            <w:tcBorders>
              <w:left w:val="single" w:sz="4" w:space="0" w:color="000000"/>
              <w:right w:val="single" w:sz="4" w:space="0" w:color="000000"/>
            </w:tcBorders>
          </w:tcPr>
          <w:p>
            <w:pPr/>
          </w:p>
        </w:tc>
        <w:tc>
          <w:tcPr>
            <w:tcW w:w="1166" w:type="dxa"/>
            <w:vMerge/>
            <w:tcBorders>
              <w:left w:val="single" w:sz="4" w:space="0" w:color="000000"/>
              <w:right w:val="single" w:sz="4" w:space="0" w:color="000000"/>
            </w:tcBorders>
          </w:tcPr>
          <w:p>
            <w:pPr/>
          </w:p>
        </w:tc>
        <w:tc>
          <w:tcPr>
            <w:tcW w:w="1166" w:type="dxa"/>
            <w:vMerge/>
            <w:tcBorders>
              <w:left w:val="single" w:sz="4" w:space="0" w:color="000000"/>
              <w:right w:val="single" w:sz="4" w:space="0" w:color="000000"/>
            </w:tcBorders>
          </w:tcPr>
          <w:p>
            <w:pPr/>
          </w:p>
        </w:tc>
        <w:tc>
          <w:tcPr>
            <w:tcW w:w="1213" w:type="dxa"/>
            <w:vMerge/>
            <w:tcBorders>
              <w:left w:val="single" w:sz="4" w:space="0" w:color="000000"/>
              <w:right w:val="single" w:sz="4" w:space="0" w:color="000000"/>
            </w:tcBorders>
          </w:tcPr>
          <w:p>
            <w:pPr/>
          </w:p>
        </w:tc>
        <w:tc>
          <w:tcPr>
            <w:tcW w:w="1213"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155" w:right="0"/>
              <w:jc w:val="left"/>
              <w:rPr>
                <w:rFonts w:ascii="Times New Roman" w:hAnsi="Times New Roman" w:cs="Times New Roman" w:eastAsia="Times New Roman" w:hint="default"/>
                <w:sz w:val="18"/>
                <w:szCs w:val="18"/>
              </w:rPr>
            </w:pPr>
            <w:r>
              <w:rPr>
                <w:rFonts w:ascii="Times New Roman"/>
                <w:sz w:val="18"/>
              </w:rPr>
              <w:t>1,033,620.00</w:t>
            </w:r>
          </w:p>
        </w:tc>
        <w:tc>
          <w:tcPr>
            <w:tcW w:w="1213" w:type="dxa"/>
            <w:vMerge/>
            <w:tcBorders>
              <w:left w:val="single" w:sz="4" w:space="0" w:color="000000"/>
              <w:right w:val="single" w:sz="4" w:space="0" w:color="000000"/>
            </w:tcBorders>
          </w:tcPr>
          <w:p>
            <w:pPr/>
          </w:p>
        </w:tc>
      </w:tr>
      <w:tr>
        <w:trPr>
          <w:trHeight w:val="353" w:hRule="exact"/>
        </w:trPr>
        <w:tc>
          <w:tcPr>
            <w:tcW w:w="126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166" w:type="dxa"/>
            <w:tcBorders>
              <w:top w:val="nil" w:sz="6" w:space="0" w:color="auto"/>
              <w:left w:val="single" w:sz="4" w:space="0" w:color="000000"/>
              <w:bottom w:val="single" w:sz="4" w:space="0" w:color="000000"/>
              <w:right w:val="single" w:sz="4" w:space="0" w:color="000000"/>
            </w:tcBorders>
          </w:tcPr>
          <w:p>
            <w:pPr/>
          </w:p>
        </w:tc>
        <w:tc>
          <w:tcPr>
            <w:tcW w:w="1166" w:type="dxa"/>
            <w:vMerge/>
            <w:tcBorders>
              <w:left w:val="single" w:sz="4" w:space="0" w:color="000000"/>
              <w:bottom w:val="single" w:sz="4" w:space="0" w:color="000000"/>
              <w:right w:val="single" w:sz="4" w:space="0" w:color="000000"/>
            </w:tcBorders>
          </w:tcPr>
          <w:p>
            <w:pPr/>
          </w:p>
        </w:tc>
        <w:tc>
          <w:tcPr>
            <w:tcW w:w="1166" w:type="dxa"/>
            <w:vMerge/>
            <w:tcBorders>
              <w:left w:val="single" w:sz="4" w:space="0" w:color="000000"/>
              <w:bottom w:val="single" w:sz="4" w:space="0" w:color="000000"/>
              <w:right w:val="single" w:sz="4" w:space="0" w:color="000000"/>
            </w:tcBorders>
          </w:tcPr>
          <w:p>
            <w:pPr/>
          </w:p>
        </w:tc>
        <w:tc>
          <w:tcPr>
            <w:tcW w:w="1166" w:type="dxa"/>
            <w:vMerge/>
            <w:tcBorders>
              <w:left w:val="single" w:sz="4" w:space="0" w:color="000000"/>
              <w:bottom w:val="single" w:sz="4" w:space="0" w:color="000000"/>
              <w:right w:val="single" w:sz="4" w:space="0" w:color="000000"/>
            </w:tcBorders>
          </w:tcPr>
          <w:p>
            <w:pPr/>
          </w:p>
        </w:tc>
        <w:tc>
          <w:tcPr>
            <w:tcW w:w="1213" w:type="dxa"/>
            <w:vMerge/>
            <w:tcBorders>
              <w:left w:val="single" w:sz="4" w:space="0" w:color="000000"/>
              <w:bottom w:val="single" w:sz="4" w:space="0" w:color="000000"/>
              <w:right w:val="single" w:sz="4" w:space="0" w:color="000000"/>
            </w:tcBorders>
          </w:tcPr>
          <w:p>
            <w:pPr/>
          </w:p>
        </w:tc>
        <w:tc>
          <w:tcPr>
            <w:tcW w:w="1213" w:type="dxa"/>
            <w:tcBorders>
              <w:top w:val="nil" w:sz="6" w:space="0" w:color="auto"/>
              <w:left w:val="single" w:sz="4" w:space="0" w:color="000000"/>
              <w:bottom w:val="single" w:sz="4" w:space="0" w:color="000000"/>
              <w:right w:val="single" w:sz="4" w:space="0" w:color="000000"/>
            </w:tcBorders>
          </w:tcPr>
          <w:p>
            <w:pPr/>
          </w:p>
        </w:tc>
        <w:tc>
          <w:tcPr>
            <w:tcW w:w="1213" w:type="dxa"/>
            <w:vMerge/>
            <w:tcBorders>
              <w:left w:val="single" w:sz="4" w:space="0" w:color="000000"/>
              <w:bottom w:val="single" w:sz="4" w:space="0" w:color="000000"/>
              <w:right w:val="single" w:sz="4" w:space="0" w:color="000000"/>
            </w:tcBorders>
          </w:tcPr>
          <w:p>
            <w:pPr/>
          </w:p>
        </w:tc>
      </w:tr>
      <w:tr>
        <w:trPr>
          <w:trHeight w:val="714" w:hRule="exact"/>
        </w:trPr>
        <w:tc>
          <w:tcPr>
            <w:tcW w:w="12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491,576,570.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73</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96,289,600.0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166"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587,866,170.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73</w:t>
            </w: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11,137,414.6</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7</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2</w:t>
      </w:r>
      <w:r>
        <w:rPr/>
        <w:t>）对联营、合营企业投资</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796"/>
        <w:gridCol w:w="797"/>
        <w:gridCol w:w="797"/>
        <w:gridCol w:w="798"/>
        <w:gridCol w:w="798"/>
        <w:gridCol w:w="798"/>
        <w:gridCol w:w="798"/>
        <w:gridCol w:w="798"/>
        <w:gridCol w:w="798"/>
        <w:gridCol w:w="798"/>
        <w:gridCol w:w="798"/>
        <w:gridCol w:w="798"/>
      </w:tblGrid>
      <w:tr>
        <w:trPr>
          <w:trHeight w:val="301" w:hRule="exact"/>
        </w:trPr>
        <w:tc>
          <w:tcPr>
            <w:tcW w:w="796" w:type="dxa"/>
            <w:tcBorders>
              <w:top w:val="single" w:sz="4" w:space="0" w:color="000000"/>
              <w:left w:val="single" w:sz="4" w:space="0" w:color="000000"/>
              <w:bottom w:val="nil" w:sz="6" w:space="0" w:color="auto"/>
              <w:right w:val="single" w:sz="4" w:space="0" w:color="000000"/>
            </w:tcBorders>
            <w:shd w:val="clear" w:color="auto" w:fill="D3D3D3"/>
          </w:tcPr>
          <w:p>
            <w:pPr/>
          </w:p>
        </w:tc>
        <w:tc>
          <w:tcPr>
            <w:tcW w:w="797" w:type="dxa"/>
            <w:tcBorders>
              <w:top w:val="single" w:sz="4" w:space="0" w:color="000000"/>
              <w:left w:val="single" w:sz="4" w:space="0" w:color="000000"/>
              <w:bottom w:val="nil" w:sz="6" w:space="0" w:color="auto"/>
              <w:right w:val="single" w:sz="4" w:space="0" w:color="000000"/>
            </w:tcBorders>
            <w:shd w:val="clear" w:color="auto" w:fill="D3D3D3"/>
          </w:tcPr>
          <w:p>
            <w:pPr/>
          </w:p>
        </w:tc>
        <w:tc>
          <w:tcPr>
            <w:tcW w:w="6383" w:type="dxa"/>
            <w:gridSpan w:val="8"/>
            <w:tcBorders>
              <w:top w:val="single" w:sz="4" w:space="0" w:color="000000"/>
              <w:left w:val="single" w:sz="4" w:space="0" w:color="000000"/>
              <w:bottom w:val="nil" w:sz="6" w:space="0" w:color="auto"/>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798" w:type="dxa"/>
            <w:tcBorders>
              <w:top w:val="single" w:sz="4" w:space="0" w:color="000000"/>
              <w:left w:val="single" w:sz="4" w:space="0" w:color="000000"/>
              <w:bottom w:val="nil" w:sz="6" w:space="0" w:color="auto"/>
              <w:right w:val="single" w:sz="4" w:space="0" w:color="000000"/>
            </w:tcBorders>
            <w:shd w:val="clear" w:color="auto" w:fill="D3D3D3"/>
          </w:tcPr>
          <w:p>
            <w:pPr/>
          </w:p>
        </w:tc>
        <w:tc>
          <w:tcPr>
            <w:tcW w:w="798" w:type="dxa"/>
            <w:tcBorders>
              <w:top w:val="single" w:sz="4" w:space="0" w:color="000000"/>
              <w:left w:val="single" w:sz="4" w:space="0" w:color="000000"/>
              <w:bottom w:val="nil" w:sz="6" w:space="0" w:color="auto"/>
              <w:right w:val="single" w:sz="4" w:space="0" w:color="000000"/>
            </w:tcBorders>
            <w:shd w:val="clear" w:color="auto" w:fill="D3D3D3"/>
          </w:tcPr>
          <w:p>
            <w:pPr/>
          </w:p>
        </w:tc>
      </w:tr>
      <w:tr>
        <w:trPr>
          <w:trHeight w:val="101" w:hRule="exact"/>
        </w:trPr>
        <w:tc>
          <w:tcPr>
            <w:tcW w:w="796" w:type="dxa"/>
            <w:vMerge w:val="restart"/>
            <w:tcBorders>
              <w:top w:val="nil" w:sz="6" w:space="0" w:color="auto"/>
              <w:left w:val="single" w:sz="4" w:space="0" w:color="000000"/>
              <w:right w:val="single" w:sz="4" w:space="0" w:color="000000"/>
            </w:tcBorders>
            <w:shd w:val="clear" w:color="auto" w:fill="D3D3D3"/>
          </w:tcPr>
          <w:p>
            <w:pPr>
              <w:pStyle w:val="TableParagraph"/>
              <w:spacing w:line="240" w:lineRule="auto" w:before="5"/>
              <w:ind w:right="0"/>
              <w:jc w:val="left"/>
              <w:rPr>
                <w:rFonts w:ascii="宋体" w:hAnsi="宋体" w:cs="宋体" w:eastAsia="宋体" w:hint="default"/>
                <w:sz w:val="20"/>
                <w:szCs w:val="20"/>
              </w:rPr>
            </w:pPr>
          </w:p>
          <w:p>
            <w:pPr>
              <w:pStyle w:val="TableParagraph"/>
              <w:spacing w:line="316" w:lineRule="auto"/>
              <w:ind w:left="303" w:right="122" w:hanging="180"/>
              <w:jc w:val="left"/>
              <w:rPr>
                <w:rFonts w:ascii="宋体" w:hAnsi="宋体" w:cs="宋体" w:eastAsia="宋体" w:hint="default"/>
                <w:sz w:val="18"/>
                <w:szCs w:val="18"/>
              </w:rPr>
            </w:pPr>
            <w:r>
              <w:rPr>
                <w:rFonts w:ascii="宋体" w:hAnsi="宋体" w:cs="宋体" w:eastAsia="宋体" w:hint="default"/>
                <w:sz w:val="18"/>
                <w:szCs w:val="18"/>
              </w:rPr>
              <w:t>投资单 位</w:t>
            </w:r>
          </w:p>
        </w:tc>
        <w:tc>
          <w:tcPr>
            <w:tcW w:w="797" w:type="dxa"/>
            <w:vMerge w:val="restart"/>
            <w:tcBorders>
              <w:top w:val="nil" w:sz="6" w:space="0" w:color="auto"/>
              <w:left w:val="single" w:sz="4" w:space="0" w:color="000000"/>
              <w:right w:val="single" w:sz="4" w:space="0" w:color="000000"/>
            </w:tcBorders>
            <w:shd w:val="clear" w:color="auto" w:fill="D3D3D3"/>
          </w:tcPr>
          <w:p>
            <w:pPr>
              <w:pStyle w:val="TableParagraph"/>
              <w:spacing w:line="190" w:lineRule="exact"/>
              <w:ind w:left="184" w:right="0" w:hanging="62"/>
              <w:jc w:val="both"/>
              <w:rPr>
                <w:rFonts w:ascii="宋体" w:hAnsi="宋体" w:cs="宋体" w:eastAsia="宋体" w:hint="default"/>
                <w:sz w:val="18"/>
                <w:szCs w:val="18"/>
              </w:rPr>
            </w:pPr>
            <w:r>
              <w:rPr>
                <w:rFonts w:ascii="宋体" w:hAnsi="宋体" w:cs="宋体" w:eastAsia="宋体" w:hint="default"/>
                <w:sz w:val="18"/>
                <w:szCs w:val="18"/>
              </w:rPr>
              <w:t>期初余</w:t>
            </w:r>
          </w:p>
          <w:p>
            <w:pPr>
              <w:pStyle w:val="TableParagraph"/>
              <w:spacing w:line="309" w:lineRule="auto" w:before="76"/>
              <w:ind w:left="213" w:right="182" w:hanging="29"/>
              <w:jc w:val="both"/>
              <w:rPr>
                <w:rFonts w:ascii="Times New Roman" w:hAnsi="Times New Roman" w:cs="Times New Roman" w:eastAsia="Times New Roman" w:hint="default"/>
                <w:sz w:val="18"/>
                <w:szCs w:val="18"/>
              </w:rPr>
            </w:pPr>
            <w:r>
              <w:rPr>
                <w:rFonts w:ascii="宋体" w:hAnsi="宋体" w:cs="宋体" w:eastAsia="宋体" w:hint="default"/>
                <w:sz w:val="18"/>
                <w:szCs w:val="18"/>
              </w:rPr>
              <w:t>额</w:t>
            </w:r>
            <w:r>
              <w:rPr>
                <w:rFonts w:ascii="Times New Roman" w:hAnsi="Times New Roman" w:cs="Times New Roman" w:eastAsia="Times New Roman" w:hint="default"/>
                <w:sz w:val="18"/>
                <w:szCs w:val="18"/>
              </w:rPr>
              <w:t>(</w:t>
            </w:r>
            <w:r>
              <w:rPr>
                <w:rFonts w:ascii="宋体" w:hAnsi="宋体" w:cs="宋体" w:eastAsia="宋体" w:hint="default"/>
                <w:sz w:val="18"/>
                <w:szCs w:val="18"/>
              </w:rPr>
              <w:t>账 面价 值</w:t>
            </w:r>
            <w:r>
              <w:rPr>
                <w:rFonts w:ascii="Times New Roman" w:hAnsi="Times New Roman" w:cs="Times New Roman" w:eastAsia="Times New Roman" w:hint="default"/>
                <w:sz w:val="18"/>
                <w:szCs w:val="18"/>
              </w:rPr>
              <w:t>)</w:t>
            </w:r>
          </w:p>
        </w:tc>
        <w:tc>
          <w:tcPr>
            <w:tcW w:w="6383" w:type="dxa"/>
            <w:gridSpan w:val="8"/>
            <w:tcBorders>
              <w:top w:val="nil" w:sz="6" w:space="0" w:color="auto"/>
              <w:left w:val="single" w:sz="4" w:space="0" w:color="000000"/>
              <w:bottom w:val="single" w:sz="4" w:space="0" w:color="000000"/>
              <w:right w:val="single" w:sz="4" w:space="0" w:color="000000"/>
            </w:tcBorders>
            <w:shd w:val="clear" w:color="auto" w:fill="D3D3D3"/>
          </w:tcPr>
          <w:p>
            <w:pPr/>
          </w:p>
        </w:tc>
        <w:tc>
          <w:tcPr>
            <w:tcW w:w="798" w:type="dxa"/>
            <w:vMerge w:val="restart"/>
            <w:tcBorders>
              <w:top w:val="nil" w:sz="6" w:space="0" w:color="auto"/>
              <w:left w:val="single" w:sz="4" w:space="0" w:color="000000"/>
              <w:right w:val="single" w:sz="4" w:space="0" w:color="000000"/>
            </w:tcBorders>
            <w:shd w:val="clear" w:color="auto" w:fill="D3D3D3"/>
          </w:tcPr>
          <w:p>
            <w:pPr>
              <w:pStyle w:val="TableParagraph"/>
              <w:spacing w:line="190" w:lineRule="exact"/>
              <w:ind w:left="184" w:right="0" w:hanging="60"/>
              <w:jc w:val="both"/>
              <w:rPr>
                <w:rFonts w:ascii="宋体" w:hAnsi="宋体" w:cs="宋体" w:eastAsia="宋体" w:hint="default"/>
                <w:sz w:val="18"/>
                <w:szCs w:val="18"/>
              </w:rPr>
            </w:pPr>
            <w:r>
              <w:rPr>
                <w:rFonts w:ascii="宋体" w:hAnsi="宋体" w:cs="宋体" w:eastAsia="宋体" w:hint="default"/>
                <w:sz w:val="18"/>
                <w:szCs w:val="18"/>
              </w:rPr>
              <w:t>期末余</w:t>
            </w:r>
          </w:p>
          <w:p>
            <w:pPr>
              <w:pStyle w:val="TableParagraph"/>
              <w:spacing w:line="309" w:lineRule="auto" w:before="76"/>
              <w:ind w:left="214" w:right="183" w:hanging="31"/>
              <w:jc w:val="both"/>
              <w:rPr>
                <w:rFonts w:ascii="Times New Roman" w:hAnsi="Times New Roman" w:cs="Times New Roman" w:eastAsia="Times New Roman" w:hint="default"/>
                <w:sz w:val="18"/>
                <w:szCs w:val="18"/>
              </w:rPr>
            </w:pPr>
            <w:r>
              <w:rPr>
                <w:rFonts w:ascii="宋体" w:hAnsi="宋体" w:cs="宋体" w:eastAsia="宋体" w:hint="default"/>
                <w:sz w:val="18"/>
                <w:szCs w:val="18"/>
              </w:rPr>
              <w:t>额</w:t>
            </w:r>
            <w:r>
              <w:rPr>
                <w:rFonts w:ascii="Times New Roman" w:hAnsi="Times New Roman" w:cs="Times New Roman" w:eastAsia="Times New Roman" w:hint="default"/>
                <w:sz w:val="18"/>
                <w:szCs w:val="18"/>
              </w:rPr>
              <w:t>(</w:t>
            </w:r>
            <w:r>
              <w:rPr>
                <w:rFonts w:ascii="宋体" w:hAnsi="宋体" w:cs="宋体" w:eastAsia="宋体" w:hint="default"/>
                <w:sz w:val="18"/>
                <w:szCs w:val="18"/>
              </w:rPr>
              <w:t>账 面价 值</w:t>
            </w:r>
            <w:r>
              <w:rPr>
                <w:rFonts w:ascii="Times New Roman" w:hAnsi="Times New Roman" w:cs="Times New Roman" w:eastAsia="Times New Roman" w:hint="default"/>
                <w:sz w:val="18"/>
                <w:szCs w:val="18"/>
              </w:rPr>
              <w:t>)</w:t>
            </w:r>
          </w:p>
        </w:tc>
        <w:tc>
          <w:tcPr>
            <w:tcW w:w="798" w:type="dxa"/>
            <w:vMerge w:val="restart"/>
            <w:tcBorders>
              <w:top w:val="nil" w:sz="6" w:space="0" w:color="auto"/>
              <w:left w:val="single" w:sz="4" w:space="0" w:color="000000"/>
              <w:right w:val="single" w:sz="4" w:space="0" w:color="000000"/>
            </w:tcBorders>
            <w:shd w:val="clear" w:color="auto" w:fill="D3D3D3"/>
          </w:tcPr>
          <w:p>
            <w:pPr>
              <w:pStyle w:val="TableParagraph"/>
              <w:spacing w:line="316" w:lineRule="auto" w:before="111"/>
              <w:ind w:left="124" w:right="122"/>
              <w:jc w:val="both"/>
              <w:rPr>
                <w:rFonts w:ascii="宋体" w:hAnsi="宋体" w:cs="宋体" w:eastAsia="宋体" w:hint="default"/>
                <w:sz w:val="18"/>
                <w:szCs w:val="18"/>
              </w:rPr>
            </w:pPr>
            <w:r>
              <w:rPr>
                <w:rFonts w:ascii="宋体" w:hAnsi="宋体" w:cs="宋体" w:eastAsia="宋体" w:hint="default"/>
                <w:sz w:val="18"/>
                <w:szCs w:val="18"/>
              </w:rPr>
              <w:t>减值准 备期末 余额</w:t>
            </w:r>
          </w:p>
        </w:tc>
      </w:tr>
      <w:tr>
        <w:trPr>
          <w:trHeight w:val="1338" w:hRule="exact"/>
        </w:trPr>
        <w:tc>
          <w:tcPr>
            <w:tcW w:w="796" w:type="dxa"/>
            <w:vMerge/>
            <w:tcBorders>
              <w:left w:val="single" w:sz="4" w:space="0" w:color="000000"/>
              <w:bottom w:val="single" w:sz="4" w:space="0" w:color="000000"/>
              <w:right w:val="single" w:sz="4" w:space="0" w:color="000000"/>
            </w:tcBorders>
            <w:shd w:val="clear" w:color="auto" w:fill="D3D3D3"/>
          </w:tcPr>
          <w:p>
            <w:pPr/>
          </w:p>
        </w:tc>
        <w:tc>
          <w:tcPr>
            <w:tcW w:w="797" w:type="dxa"/>
            <w:vMerge/>
            <w:tcBorders>
              <w:left w:val="single" w:sz="4" w:space="0" w:color="000000"/>
              <w:bottom w:val="single" w:sz="4" w:space="0" w:color="000000"/>
              <w:right w:val="single" w:sz="4" w:space="0" w:color="000000"/>
            </w:tcBorders>
            <w:shd w:val="clear" w:color="auto" w:fill="D3D3D3"/>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6"/>
              <w:ind w:left="303" w:right="122" w:hanging="180"/>
              <w:jc w:val="left"/>
              <w:rPr>
                <w:rFonts w:ascii="宋体" w:hAnsi="宋体" w:cs="宋体" w:eastAsia="宋体" w:hint="default"/>
                <w:sz w:val="18"/>
                <w:szCs w:val="18"/>
              </w:rPr>
            </w:pPr>
            <w:r>
              <w:rPr>
                <w:rFonts w:ascii="宋体" w:hAnsi="宋体" w:cs="宋体" w:eastAsia="宋体" w:hint="default"/>
                <w:sz w:val="18"/>
                <w:szCs w:val="18"/>
              </w:rPr>
              <w:t>追加投 资</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6"/>
              <w:ind w:left="304" w:right="122" w:hanging="180"/>
              <w:jc w:val="left"/>
              <w:rPr>
                <w:rFonts w:ascii="宋体" w:hAnsi="宋体" w:cs="宋体" w:eastAsia="宋体" w:hint="default"/>
                <w:sz w:val="18"/>
                <w:szCs w:val="18"/>
              </w:rPr>
            </w:pPr>
            <w:r>
              <w:rPr>
                <w:rFonts w:ascii="宋体" w:hAnsi="宋体" w:cs="宋体" w:eastAsia="宋体" w:hint="default"/>
                <w:sz w:val="18"/>
                <w:szCs w:val="18"/>
              </w:rPr>
              <w:t>减少投 资</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24" w:right="122"/>
              <w:jc w:val="both"/>
              <w:rPr>
                <w:rFonts w:ascii="宋体" w:hAnsi="宋体" w:cs="宋体" w:eastAsia="宋体" w:hint="default"/>
                <w:sz w:val="18"/>
                <w:szCs w:val="18"/>
              </w:rPr>
            </w:pPr>
            <w:r>
              <w:rPr>
                <w:rFonts w:ascii="宋体" w:hAnsi="宋体" w:cs="宋体" w:eastAsia="宋体" w:hint="default"/>
                <w:sz w:val="18"/>
                <w:szCs w:val="18"/>
              </w:rPr>
              <w:t>权益法 下确认 的投资 损益</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124" w:right="122"/>
              <w:jc w:val="both"/>
              <w:rPr>
                <w:rFonts w:ascii="宋体" w:hAnsi="宋体" w:cs="宋体" w:eastAsia="宋体" w:hint="default"/>
                <w:sz w:val="18"/>
                <w:szCs w:val="18"/>
              </w:rPr>
            </w:pPr>
            <w:r>
              <w:rPr>
                <w:rFonts w:ascii="宋体" w:hAnsi="宋体" w:cs="宋体" w:eastAsia="宋体" w:hint="default"/>
                <w:sz w:val="18"/>
                <w:szCs w:val="18"/>
              </w:rPr>
              <w:t>其他综 合收益 调整</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6"/>
              <w:ind w:left="124" w:right="122"/>
              <w:jc w:val="left"/>
              <w:rPr>
                <w:rFonts w:ascii="宋体" w:hAnsi="宋体" w:cs="宋体" w:eastAsia="宋体" w:hint="default"/>
                <w:sz w:val="18"/>
                <w:szCs w:val="18"/>
              </w:rPr>
            </w:pPr>
            <w:r>
              <w:rPr>
                <w:rFonts w:ascii="宋体" w:hAnsi="宋体" w:cs="宋体" w:eastAsia="宋体" w:hint="default"/>
                <w:sz w:val="18"/>
                <w:szCs w:val="18"/>
              </w:rPr>
              <w:t>其他权 益变动</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24" w:right="122"/>
              <w:jc w:val="both"/>
              <w:rPr>
                <w:rFonts w:ascii="宋体" w:hAnsi="宋体" w:cs="宋体" w:eastAsia="宋体" w:hint="default"/>
                <w:sz w:val="18"/>
                <w:szCs w:val="18"/>
              </w:rPr>
            </w:pPr>
            <w:r>
              <w:rPr>
                <w:rFonts w:ascii="宋体" w:hAnsi="宋体" w:cs="宋体" w:eastAsia="宋体" w:hint="default"/>
                <w:sz w:val="18"/>
                <w:szCs w:val="18"/>
              </w:rPr>
              <w:t>宣告发 放现金 股利或 利润</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6"/>
              <w:ind w:left="124" w:right="122"/>
              <w:jc w:val="left"/>
              <w:rPr>
                <w:rFonts w:ascii="宋体" w:hAnsi="宋体" w:cs="宋体" w:eastAsia="宋体" w:hint="default"/>
                <w:sz w:val="18"/>
                <w:szCs w:val="18"/>
              </w:rPr>
            </w:pPr>
            <w:r>
              <w:rPr>
                <w:rFonts w:ascii="宋体" w:hAnsi="宋体" w:cs="宋体" w:eastAsia="宋体" w:hint="default"/>
                <w:sz w:val="18"/>
                <w:szCs w:val="18"/>
              </w:rPr>
              <w:t>计提减 值准备</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21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8" w:type="dxa"/>
            <w:vMerge/>
            <w:tcBorders>
              <w:left w:val="single" w:sz="4" w:space="0" w:color="000000"/>
              <w:bottom w:val="single" w:sz="4" w:space="0" w:color="000000"/>
              <w:right w:val="single" w:sz="4" w:space="0" w:color="000000"/>
            </w:tcBorders>
            <w:shd w:val="clear" w:color="auto" w:fill="D3D3D3"/>
          </w:tcPr>
          <w:p>
            <w:pPr/>
          </w:p>
        </w:tc>
        <w:tc>
          <w:tcPr>
            <w:tcW w:w="798" w:type="dxa"/>
            <w:vMerge/>
            <w:tcBorders>
              <w:left w:val="single" w:sz="4" w:space="0" w:color="000000"/>
              <w:bottom w:val="single" w:sz="4" w:space="0" w:color="000000"/>
              <w:right w:val="single" w:sz="4" w:space="0" w:color="000000"/>
            </w:tcBorders>
            <w:shd w:val="clear" w:color="auto" w:fill="D3D3D3"/>
          </w:tcPr>
          <w:p>
            <w:pPr/>
          </w:p>
        </w:tc>
      </w:tr>
      <w:tr>
        <w:trPr>
          <w:trHeight w:val="402" w:hRule="exact"/>
        </w:trPr>
        <w:tc>
          <w:tcPr>
            <w:tcW w:w="9572" w:type="dxa"/>
            <w:gridSpan w:val="1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一、合营企业</w:t>
            </w:r>
          </w:p>
        </w:tc>
      </w:tr>
      <w:tr>
        <w:trPr>
          <w:trHeight w:val="402" w:hRule="exact"/>
        </w:trPr>
        <w:tc>
          <w:tcPr>
            <w:tcW w:w="9572" w:type="dxa"/>
            <w:gridSpan w:val="1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二、联营企业</w:t>
            </w:r>
          </w:p>
        </w:tc>
      </w:tr>
      <w:tr>
        <w:trPr>
          <w:trHeight w:val="356" w:hRule="exact"/>
        </w:trPr>
        <w:tc>
          <w:tcPr>
            <w:tcW w:w="79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上海恒</w:t>
            </w: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r>
      <w:tr>
        <w:trPr>
          <w:trHeight w:val="940"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319" w:lineRule="auto" w:before="10"/>
              <w:ind w:left="102" w:right="141"/>
              <w:jc w:val="left"/>
              <w:rPr>
                <w:rFonts w:ascii="宋体" w:hAnsi="宋体" w:cs="宋体" w:eastAsia="宋体" w:hint="default"/>
                <w:sz w:val="18"/>
                <w:szCs w:val="18"/>
              </w:rPr>
            </w:pPr>
            <w:r>
              <w:rPr>
                <w:rFonts w:ascii="宋体" w:hAnsi="宋体" w:cs="宋体" w:eastAsia="宋体" w:hint="default"/>
                <w:sz w:val="18"/>
                <w:szCs w:val="18"/>
              </w:rPr>
              <w:t>毓投资 中心</w:t>
            </w:r>
          </w:p>
          <w:p>
            <w:pPr>
              <w:pStyle w:val="TableParagraph"/>
              <w:spacing w:line="240" w:lineRule="auto" w:before="17"/>
              <w:ind w:left="102" w:right="0"/>
              <w:jc w:val="left"/>
              <w:rPr>
                <w:rFonts w:ascii="宋体" w:hAnsi="宋体" w:cs="宋体" w:eastAsia="宋体" w:hint="default"/>
                <w:sz w:val="18"/>
                <w:szCs w:val="18"/>
              </w:rPr>
            </w:pPr>
            <w:r>
              <w:rPr>
                <w:rFonts w:ascii="宋体" w:hAnsi="宋体" w:cs="宋体" w:eastAsia="宋体" w:hint="default"/>
                <w:sz w:val="18"/>
                <w:szCs w:val="18"/>
              </w:rPr>
              <w:t>（有限</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209,43</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5,048.8</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1</w:t>
            </w: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1" w:right="0"/>
              <w:jc w:val="center"/>
              <w:rPr>
                <w:rFonts w:ascii="Times New Roman" w:hAnsi="Times New Roman" w:cs="Times New Roman" w:eastAsia="Times New Roman" w:hint="default"/>
                <w:sz w:val="18"/>
                <w:szCs w:val="18"/>
              </w:rPr>
            </w:pPr>
            <w:r>
              <w:rPr>
                <w:rFonts w:ascii="Times New Roman"/>
                <w:sz w:val="18"/>
              </w:rPr>
              <w:t>1,195,5</w:t>
            </w:r>
          </w:p>
          <w:p>
            <w:pPr>
              <w:pStyle w:val="TableParagraph"/>
              <w:spacing w:line="240" w:lineRule="auto" w:before="105"/>
              <w:ind w:left="176" w:right="0"/>
              <w:jc w:val="center"/>
              <w:rPr>
                <w:rFonts w:ascii="Times New Roman" w:hAnsi="Times New Roman" w:cs="Times New Roman" w:eastAsia="Times New Roman" w:hint="default"/>
                <w:sz w:val="18"/>
                <w:szCs w:val="18"/>
              </w:rPr>
            </w:pPr>
            <w:r>
              <w:rPr>
                <w:rFonts w:ascii="Times New Roman"/>
                <w:sz w:val="18"/>
              </w:rPr>
              <w:t>49.74</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210,63</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0,598.5</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5</w:t>
            </w:r>
          </w:p>
        </w:tc>
        <w:tc>
          <w:tcPr>
            <w:tcW w:w="798" w:type="dxa"/>
            <w:vMerge/>
            <w:tcBorders>
              <w:left w:val="single" w:sz="4" w:space="0" w:color="000000"/>
              <w:right w:val="single" w:sz="4" w:space="0" w:color="000000"/>
            </w:tcBorders>
          </w:tcPr>
          <w:p>
            <w:pPr/>
          </w:p>
        </w:tc>
      </w:tr>
      <w:tr>
        <w:trPr>
          <w:trHeight w:val="353" w:hRule="exact"/>
        </w:trPr>
        <w:tc>
          <w:tcPr>
            <w:tcW w:w="79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合伙</w:t>
            </w: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r>
      <w:tr>
        <w:trPr>
          <w:trHeight w:val="1026" w:hRule="exact"/>
        </w:trPr>
        <w:tc>
          <w:tcPr>
            <w:tcW w:w="7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102"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209,43</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5,048.8</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1</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1" w:right="0"/>
              <w:jc w:val="center"/>
              <w:rPr>
                <w:rFonts w:ascii="Times New Roman" w:hAnsi="Times New Roman" w:cs="Times New Roman" w:eastAsia="Times New Roman" w:hint="default"/>
                <w:sz w:val="18"/>
                <w:szCs w:val="18"/>
              </w:rPr>
            </w:pPr>
            <w:r>
              <w:rPr>
                <w:rFonts w:ascii="Times New Roman"/>
                <w:sz w:val="18"/>
              </w:rPr>
              <w:t>1,195,5</w:t>
            </w:r>
          </w:p>
          <w:p>
            <w:pPr>
              <w:pStyle w:val="TableParagraph"/>
              <w:spacing w:line="240" w:lineRule="auto" w:before="105"/>
              <w:ind w:left="176" w:right="0"/>
              <w:jc w:val="center"/>
              <w:rPr>
                <w:rFonts w:ascii="Times New Roman" w:hAnsi="Times New Roman" w:cs="Times New Roman" w:eastAsia="Times New Roman" w:hint="default"/>
                <w:sz w:val="18"/>
                <w:szCs w:val="18"/>
              </w:rPr>
            </w:pPr>
            <w:r>
              <w:rPr>
                <w:rFonts w:ascii="Times New Roman"/>
                <w:sz w:val="18"/>
              </w:rPr>
              <w:t>49.74</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210,63</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0,598.5</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5</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7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209,43</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5,048.8</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1</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1" w:right="0"/>
              <w:jc w:val="center"/>
              <w:rPr>
                <w:rFonts w:ascii="Times New Roman" w:hAnsi="Times New Roman" w:cs="Times New Roman" w:eastAsia="Times New Roman" w:hint="default"/>
                <w:sz w:val="18"/>
                <w:szCs w:val="18"/>
              </w:rPr>
            </w:pPr>
            <w:r>
              <w:rPr>
                <w:rFonts w:ascii="Times New Roman"/>
                <w:sz w:val="18"/>
              </w:rPr>
              <w:t>1,195,5</w:t>
            </w:r>
          </w:p>
          <w:p>
            <w:pPr>
              <w:pStyle w:val="TableParagraph"/>
              <w:spacing w:line="240" w:lineRule="auto" w:before="105"/>
              <w:ind w:left="176" w:right="0"/>
              <w:jc w:val="center"/>
              <w:rPr>
                <w:rFonts w:ascii="Times New Roman" w:hAnsi="Times New Roman" w:cs="Times New Roman" w:eastAsia="Times New Roman" w:hint="default"/>
                <w:sz w:val="18"/>
                <w:szCs w:val="18"/>
              </w:rPr>
            </w:pPr>
            <w:r>
              <w:rPr>
                <w:rFonts w:ascii="Times New Roman"/>
                <w:sz w:val="18"/>
              </w:rPr>
              <w:t>49.74</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210,63</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0,598.5</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5</w:t>
            </w:r>
          </w:p>
        </w:tc>
        <w:tc>
          <w:tcPr>
            <w:tcW w:w="798"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3</w:t>
      </w:r>
      <w:r>
        <w:rPr/>
        <w:t>）其他说明</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rFonts w:ascii="Times New Roman" w:hAnsi="Times New Roman" w:cs="Times New Roman" w:eastAsia="Times New Roman" w:hint="default"/>
        </w:rPr>
        <w:t>4</w:t>
      </w:r>
      <w:r>
        <w:rPr/>
        <w:t>、营业收入和营业成本</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94"/>
        <w:gridCol w:w="3750"/>
        <w:gridCol w:w="3826"/>
      </w:tblGrid>
      <w:tr>
        <w:trPr>
          <w:trHeight w:val="401" w:hRule="exact"/>
        </w:trPr>
        <w:tc>
          <w:tcPr>
            <w:tcW w:w="19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75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2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after="0" w:line="240" w:lineRule="auto"/>
        <w:jc w:val="center"/>
        <w:rPr>
          <w:rFonts w:ascii="宋体" w:hAnsi="宋体" w:cs="宋体" w:eastAsia="宋体" w:hint="default"/>
          <w:sz w:val="18"/>
          <w:szCs w:val="18"/>
        </w:rPr>
        <w:sectPr>
          <w:pgSz w:w="11910" w:h="16840"/>
          <w:pgMar w:header="906" w:footer="1018" w:top="1100" w:bottom="1200" w:left="1020" w:right="0"/>
        </w:sectPr>
      </w:pPr>
    </w:p>
    <w:p>
      <w:pPr>
        <w:spacing w:line="240" w:lineRule="auto" w:before="7"/>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994"/>
        <w:gridCol w:w="1837"/>
        <w:gridCol w:w="1913"/>
        <w:gridCol w:w="1913"/>
        <w:gridCol w:w="1913"/>
      </w:tblGrid>
      <w:tr>
        <w:trPr>
          <w:trHeight w:val="402" w:hRule="exact"/>
        </w:trPr>
        <w:tc>
          <w:tcPr>
            <w:tcW w:w="1994"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83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收入</w:t>
            </w:r>
          </w:p>
        </w:tc>
        <w:tc>
          <w:tcPr>
            <w:tcW w:w="191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成本</w:t>
            </w:r>
          </w:p>
        </w:tc>
        <w:tc>
          <w:tcPr>
            <w:tcW w:w="191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收入</w:t>
            </w:r>
          </w:p>
        </w:tc>
        <w:tc>
          <w:tcPr>
            <w:tcW w:w="191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402" w:hRule="exact"/>
        </w:trPr>
        <w:tc>
          <w:tcPr>
            <w:tcW w:w="19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1,239,125,184.09</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954,489,985.49</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1,554,480,627.01</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1,269,537,122.39</w:t>
            </w:r>
          </w:p>
        </w:tc>
      </w:tr>
      <w:tr>
        <w:trPr>
          <w:trHeight w:val="402" w:hRule="exact"/>
        </w:trPr>
        <w:tc>
          <w:tcPr>
            <w:tcW w:w="19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5,321,400.34</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2,767,631.17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10,187,561.02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5,835,824.46</w:t>
            </w:r>
          </w:p>
        </w:tc>
      </w:tr>
      <w:tr>
        <w:trPr>
          <w:trHeight w:val="402" w:hRule="exact"/>
        </w:trPr>
        <w:tc>
          <w:tcPr>
            <w:tcW w:w="19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1,244,446,584.43</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957,257,616.66</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1,564,668,188.03</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1,275,372,946.85</w:t>
            </w:r>
          </w:p>
        </w:tc>
      </w:tr>
    </w:tbl>
    <w:p>
      <w:pPr>
        <w:pStyle w:val="BodyText"/>
        <w:spacing w:line="240" w:lineRule="auto" w:before="50"/>
        <w:ind w:right="0"/>
        <w:jc w:val="left"/>
      </w:pPr>
      <w:r>
        <w:rPr/>
        <w:t>是否已执行新收入准则</w:t>
      </w:r>
    </w:p>
    <w:p>
      <w:pPr>
        <w:pStyle w:val="BodyText"/>
        <w:spacing w:line="357" w:lineRule="auto" w:before="116"/>
        <w:ind w:right="9132"/>
        <w:jc w:val="left"/>
      </w:pPr>
      <w:r>
        <w:rPr/>
        <w:t>□ 是 √ 否 其他说明：</w:t>
      </w:r>
    </w:p>
    <w:p>
      <w:pPr>
        <w:spacing w:line="240" w:lineRule="auto" w:before="3"/>
        <w:rPr>
          <w:rFonts w:ascii="宋体" w:hAnsi="宋体" w:cs="宋体" w:eastAsia="宋体" w:hint="default"/>
          <w:sz w:val="20"/>
          <w:szCs w:val="20"/>
        </w:rPr>
      </w:pPr>
    </w:p>
    <w:p>
      <w:pPr>
        <w:pStyle w:val="Heading3"/>
        <w:spacing w:line="240" w:lineRule="auto"/>
        <w:ind w:right="0"/>
        <w:jc w:val="left"/>
        <w:rPr>
          <w:b w:val="0"/>
          <w:bCs w:val="0"/>
        </w:rPr>
      </w:pPr>
      <w:r>
        <w:rPr>
          <w:rFonts w:ascii="Times New Roman" w:hAnsi="Times New Roman" w:cs="Times New Roman" w:eastAsia="Times New Roman" w:hint="default"/>
        </w:rPr>
        <w:t>5</w:t>
      </w:r>
      <w:r>
        <w:rPr/>
        <w:t>、投资收益</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324"/>
        <w:gridCol w:w="3059"/>
        <w:gridCol w:w="3186"/>
      </w:tblGrid>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05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成本法核算的长期股权投资收益</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1,195,549.74</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6,835,311.84</w:t>
            </w:r>
          </w:p>
        </w:tc>
      </w:tr>
      <w:tr>
        <w:trPr>
          <w:trHeight w:val="714" w:hRule="exact"/>
        </w:trPr>
        <w:tc>
          <w:tcPr>
            <w:tcW w:w="332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02" w:right="149"/>
              <w:jc w:val="left"/>
              <w:rPr>
                <w:rFonts w:ascii="宋体" w:hAnsi="宋体" w:cs="宋体" w:eastAsia="宋体" w:hint="default"/>
                <w:sz w:val="18"/>
                <w:szCs w:val="18"/>
              </w:rPr>
            </w:pPr>
            <w:r>
              <w:rPr>
                <w:rFonts w:ascii="宋体" w:hAnsi="宋体" w:cs="宋体" w:eastAsia="宋体" w:hint="default"/>
                <w:sz w:val="18"/>
                <w:szCs w:val="18"/>
              </w:rPr>
              <w:t>其他权益工具投资在持有期间取得的股 利收入</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4,337,592.21</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持有至到期投资在持有期间的投资收益</w:t>
            </w:r>
          </w:p>
        </w:tc>
        <w:tc>
          <w:tcPr>
            <w:tcW w:w="3059" w:type="dxa"/>
            <w:tcBorders>
              <w:top w:val="single" w:sz="4" w:space="0" w:color="000000"/>
              <w:left w:val="single" w:sz="4" w:space="0" w:color="000000"/>
              <w:bottom w:val="single" w:sz="4" w:space="0" w:color="000000"/>
              <w:right w:val="single" w:sz="4" w:space="0" w:color="000000"/>
            </w:tcBorders>
          </w:tcPr>
          <w:p>
            <w:pP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17,179.89</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委托他人投资或管理资产的投资收益</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5,703,549.57</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1,824,458.02</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11,236,691.52</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8,676,949.75</w:t>
            </w:r>
          </w:p>
        </w:tc>
      </w:tr>
    </w:tbl>
    <w:p>
      <w:pPr>
        <w:spacing w:line="240" w:lineRule="auto" w:before="3"/>
        <w:rPr>
          <w:rFonts w:ascii="宋体" w:hAnsi="宋体" w:cs="宋体" w:eastAsia="宋体" w:hint="default"/>
          <w:sz w:val="19"/>
          <w:szCs w:val="19"/>
        </w:rPr>
      </w:pPr>
    </w:p>
    <w:p>
      <w:pPr>
        <w:pStyle w:val="Heading3"/>
        <w:spacing w:line="240" w:lineRule="auto" w:before="35"/>
        <w:ind w:right="0"/>
        <w:jc w:val="left"/>
        <w:rPr>
          <w:b w:val="0"/>
          <w:bCs w:val="0"/>
        </w:rPr>
      </w:pPr>
      <w:r>
        <w:rPr>
          <w:rFonts w:ascii="Times New Roman" w:hAnsi="Times New Roman" w:cs="Times New Roman" w:eastAsia="Times New Roman" w:hint="default"/>
        </w:rPr>
        <w:t>6</w:t>
      </w:r>
      <w:r>
        <w:rPr/>
        <w:t>、其他</w:t>
      </w:r>
      <w:r>
        <w:rPr>
          <w:b w:val="0"/>
          <w:bCs w:val="0"/>
        </w:rPr>
      </w:r>
    </w:p>
    <w:p>
      <w:pPr>
        <w:spacing w:line="240" w:lineRule="auto" w:before="10"/>
        <w:rPr>
          <w:rFonts w:ascii="宋体" w:hAnsi="宋体" w:cs="宋体" w:eastAsia="宋体" w:hint="default"/>
          <w:b/>
          <w:bCs/>
          <w:sz w:val="22"/>
          <w:szCs w:val="22"/>
        </w:rPr>
      </w:pPr>
    </w:p>
    <w:p>
      <w:pPr>
        <w:pStyle w:val="Heading2"/>
        <w:spacing w:line="240" w:lineRule="auto"/>
        <w:ind w:right="0"/>
        <w:jc w:val="left"/>
        <w:rPr>
          <w:b w:val="0"/>
          <w:bCs w:val="0"/>
        </w:rPr>
      </w:pPr>
      <w:r>
        <w:rPr/>
        <w:t>十八、补充资料</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r>
        <w:rPr>
          <w:rFonts w:ascii="Times New Roman" w:hAnsi="Times New Roman" w:cs="Times New Roman" w:eastAsia="Times New Roman" w:hint="default"/>
        </w:rPr>
        <w:t>1</w:t>
      </w:r>
      <w:r>
        <w:rPr/>
        <w:t>、当期非经常性损益明细表</w:t>
      </w:r>
      <w:r>
        <w:rPr>
          <w:b w:val="0"/>
          <w:bCs w:val="0"/>
        </w:rPr>
      </w:r>
    </w:p>
    <w:p>
      <w:pPr>
        <w:spacing w:line="240" w:lineRule="auto" w:before="2"/>
        <w:rPr>
          <w:rFonts w:ascii="宋体" w:hAnsi="宋体" w:cs="宋体" w:eastAsia="宋体" w:hint="default"/>
          <w:b/>
          <w:bCs/>
          <w:sz w:val="23"/>
          <w:szCs w:val="23"/>
        </w:rPr>
      </w:pPr>
    </w:p>
    <w:p>
      <w:pPr>
        <w:pStyle w:val="BodyText"/>
        <w:spacing w:line="240" w:lineRule="auto" w:before="44"/>
        <w:ind w:right="0"/>
        <w:jc w:val="left"/>
      </w:pPr>
      <w:r>
        <w:rPr/>
        <w:t>√ 适用 □ 不适用</w:t>
      </w:r>
    </w:p>
    <w:p>
      <w:pPr>
        <w:pStyle w:val="BodyText"/>
        <w:spacing w:line="240" w:lineRule="auto" w:before="116"/>
        <w:ind w:left="0" w:right="113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324"/>
        <w:gridCol w:w="3059"/>
        <w:gridCol w:w="3186"/>
      </w:tblGrid>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05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318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-577,486.26</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332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02" w:right="149"/>
              <w:jc w:val="both"/>
              <w:rPr>
                <w:rFonts w:ascii="宋体" w:hAnsi="宋体" w:cs="宋体" w:eastAsia="宋体" w:hint="default"/>
                <w:sz w:val="18"/>
                <w:szCs w:val="18"/>
              </w:rPr>
            </w:pPr>
            <w:r>
              <w:rPr>
                <w:rFonts w:ascii="宋体" w:hAnsi="宋体" w:cs="宋体" w:eastAsia="宋体" w:hint="default"/>
                <w:sz w:val="18"/>
                <w:szCs w:val="18"/>
              </w:rPr>
              <w:t>计入当期损益的政府补助（与企业业务 密切相关，按照国家统一标准定额或定 量享受的政府补助除外）</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6,066,506.77</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委托他人投资或管理资产的损益</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10,740,380.01</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32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0"/>
              <w:ind w:left="102" w:right="149"/>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 出</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-161,362.36</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2,067,154.54</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少数股东权益影响额</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2,701,716.17</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11,299,167.45</w:t>
            </w:r>
          </w:p>
        </w:tc>
        <w:tc>
          <w:tcPr>
            <w:tcW w:w="318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pgSz w:w="11910" w:h="16840"/>
          <w:pgMar w:header="906" w:footer="1018" w:top="1100" w:bottom="1200" w:left="1020" w:right="0"/>
        </w:sectPr>
      </w:pPr>
    </w:p>
    <w:p>
      <w:pPr>
        <w:spacing w:line="240" w:lineRule="auto" w:before="11"/>
        <w:rPr>
          <w:rFonts w:ascii="宋体" w:hAnsi="宋体" w:cs="宋体" w:eastAsia="宋体" w:hint="default"/>
          <w:sz w:val="22"/>
          <w:szCs w:val="22"/>
        </w:rPr>
      </w:pPr>
    </w:p>
    <w:p>
      <w:pPr>
        <w:pStyle w:val="BodyText"/>
        <w:spacing w:line="300" w:lineRule="auto" w:before="44"/>
        <w:ind w:right="1131"/>
        <w:jc w:val="both"/>
      </w:pPr>
      <w:r>
        <w:rPr>
          <w:spacing w:val="-3"/>
        </w:rPr>
        <w:t>对公司根据《公开发行证券的公司信息披露解释性公告第</w:t>
      </w:r>
      <w:r>
        <w:rPr>
          <w:spacing w:val="-40"/>
        </w:rPr>
        <w:t> </w:t>
      </w:r>
      <w:r>
        <w:rPr>
          <w:rFonts w:ascii="Times New Roman" w:hAnsi="Times New Roman" w:cs="Times New Roman" w:eastAsia="Times New Roman" w:hint="default"/>
        </w:rPr>
        <w:t>1</w:t>
      </w:r>
      <w:r>
        <w:rPr>
          <w:rFonts w:ascii="Times New Roman" w:hAnsi="Times New Roman" w:cs="Times New Roman" w:eastAsia="Times New Roman" w:hint="default"/>
          <w:spacing w:val="5"/>
        </w:rPr>
        <w:t> </w:t>
      </w:r>
      <w:r>
        <w:rPr>
          <w:spacing w:val="-7"/>
        </w:rPr>
        <w:t>号——非经常性损益》定义界定的非经常性损益项目，以及把《公</w:t>
      </w:r>
      <w:r>
        <w:rPr/>
        <w:t> 开发行证券的公司信息披露解释性公告第 </w:t>
      </w:r>
      <w:r>
        <w:rPr>
          <w:rFonts w:ascii="Times New Roman" w:hAnsi="Times New Roman" w:cs="Times New Roman" w:eastAsia="Times New Roman" w:hint="default"/>
        </w:rPr>
        <w:t>1</w:t>
      </w:r>
      <w:r>
        <w:rPr>
          <w:rFonts w:ascii="Times New Roman" w:hAnsi="Times New Roman" w:cs="Times New Roman" w:eastAsia="Times New Roman" w:hint="default"/>
          <w:spacing w:val="-24"/>
        </w:rPr>
        <w:t> </w:t>
      </w:r>
      <w:r>
        <w:rPr>
          <w:spacing w:val="-3"/>
        </w:rPr>
        <w:t>号——非经常性损益》中列举的非经常性损益项目界定为经常性损益的项目，应</w:t>
      </w:r>
      <w:r>
        <w:rPr/>
        <w:t> 说明原因。</w:t>
      </w:r>
    </w:p>
    <w:p>
      <w:pPr>
        <w:pStyle w:val="BodyText"/>
        <w:spacing w:line="240" w:lineRule="auto" w:before="71"/>
        <w:ind w:right="0"/>
        <w:jc w:val="both"/>
      </w:pPr>
      <w:r>
        <w:rPr/>
        <w:t>□ 适用 √ 不适用</w:t>
      </w:r>
    </w:p>
    <w:p>
      <w:pPr>
        <w:spacing w:line="240" w:lineRule="auto" w:before="13"/>
        <w:rPr>
          <w:rFonts w:ascii="宋体" w:hAnsi="宋体" w:cs="宋体" w:eastAsia="宋体" w:hint="default"/>
          <w:sz w:val="26"/>
          <w:szCs w:val="26"/>
        </w:rPr>
      </w:pPr>
    </w:p>
    <w:p>
      <w:pPr>
        <w:pStyle w:val="Heading3"/>
        <w:spacing w:line="240" w:lineRule="auto"/>
        <w:ind w:right="0"/>
        <w:jc w:val="both"/>
        <w:rPr>
          <w:b w:val="0"/>
          <w:bCs w:val="0"/>
        </w:rPr>
      </w:pPr>
      <w:r>
        <w:rPr>
          <w:rFonts w:ascii="Times New Roman" w:hAnsi="Times New Roman" w:cs="Times New Roman" w:eastAsia="Times New Roman" w:hint="default"/>
        </w:rPr>
        <w:t>2</w:t>
      </w:r>
      <w:r>
        <w:rPr/>
        <w:t>、净资产收益率及每股收益</w:t>
      </w:r>
      <w:r>
        <w:rPr>
          <w:b w:val="0"/>
          <w:bCs w:val="0"/>
        </w:rPr>
      </w:r>
    </w:p>
    <w:p>
      <w:pPr>
        <w:spacing w:line="240" w:lineRule="auto" w:before="10"/>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2662"/>
        <w:gridCol w:w="3080"/>
        <w:gridCol w:w="1913"/>
        <w:gridCol w:w="1913"/>
      </w:tblGrid>
      <w:tr>
        <w:trPr>
          <w:trHeight w:val="402" w:hRule="exact"/>
        </w:trPr>
        <w:tc>
          <w:tcPr>
            <w:tcW w:w="2662"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875" w:right="0"/>
              <w:jc w:val="left"/>
              <w:rPr>
                <w:rFonts w:ascii="宋体" w:hAnsi="宋体" w:cs="宋体" w:eastAsia="宋体" w:hint="default"/>
                <w:sz w:val="18"/>
                <w:szCs w:val="18"/>
              </w:rPr>
            </w:pPr>
            <w:r>
              <w:rPr>
                <w:rFonts w:ascii="宋体" w:hAnsi="宋体" w:cs="宋体" w:eastAsia="宋体" w:hint="default"/>
                <w:sz w:val="18"/>
                <w:szCs w:val="18"/>
              </w:rPr>
              <w:t>报告期利润</w:t>
            </w:r>
          </w:p>
        </w:tc>
        <w:tc>
          <w:tcPr>
            <w:tcW w:w="3080"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635"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3826"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每股收益</w:t>
            </w:r>
          </w:p>
        </w:tc>
      </w:tr>
      <w:tr>
        <w:trPr>
          <w:trHeight w:val="402" w:hRule="exact"/>
        </w:trPr>
        <w:tc>
          <w:tcPr>
            <w:tcW w:w="2662" w:type="dxa"/>
            <w:vMerge/>
            <w:tcBorders>
              <w:left w:val="single" w:sz="4" w:space="0" w:color="000000"/>
              <w:bottom w:val="single" w:sz="4" w:space="0" w:color="000000"/>
              <w:right w:val="single" w:sz="4" w:space="0" w:color="000000"/>
            </w:tcBorders>
            <w:shd w:val="clear" w:color="auto" w:fill="D3D3D3"/>
          </w:tcPr>
          <w:p>
            <w:pPr/>
          </w:p>
        </w:tc>
        <w:tc>
          <w:tcPr>
            <w:tcW w:w="3080" w:type="dxa"/>
            <w:vMerge/>
            <w:tcBorders>
              <w:left w:val="single" w:sz="4" w:space="0" w:color="000000"/>
              <w:bottom w:val="single" w:sz="4" w:space="0" w:color="000000"/>
              <w:right w:val="single" w:sz="4" w:space="0" w:color="000000"/>
            </w:tcBorders>
            <w:shd w:val="clear" w:color="auto" w:fill="D3D3D3"/>
          </w:tcPr>
          <w:p>
            <w:pPr/>
          </w:p>
        </w:tc>
        <w:tc>
          <w:tcPr>
            <w:tcW w:w="191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1"/>
              <w:jc w:val="right"/>
              <w:rPr>
                <w:rFonts w:ascii="宋体" w:hAnsi="宋体" w:cs="宋体" w:eastAsia="宋体" w:hint="default"/>
                <w:sz w:val="18"/>
                <w:szCs w:val="18"/>
              </w:rPr>
            </w:pPr>
            <w:r>
              <w:rPr>
                <w:rFonts w:ascii="宋体" w:hAnsi="宋体" w:cs="宋体" w:eastAsia="宋体" w:hint="default"/>
                <w:spacing w:val="-6"/>
                <w:sz w:val="18"/>
                <w:szCs w:val="18"/>
              </w:rPr>
              <w:t>基本每股收益（元</w:t>
            </w:r>
            <w:r>
              <w:rPr>
                <w:rFonts w:ascii="Times New Roman" w:hAnsi="Times New Roman" w:cs="Times New Roman" w:eastAsia="Times New Roman" w:hint="default"/>
                <w:spacing w:val="-6"/>
                <w:sz w:val="18"/>
                <w:szCs w:val="18"/>
              </w:rPr>
              <w:t>/</w:t>
            </w:r>
            <w:r>
              <w:rPr>
                <w:rFonts w:ascii="宋体" w:hAnsi="宋体" w:cs="宋体" w:eastAsia="宋体" w:hint="default"/>
                <w:spacing w:val="-6"/>
                <w:sz w:val="18"/>
                <w:szCs w:val="18"/>
              </w:rPr>
              <w:t>股）</w:t>
            </w:r>
          </w:p>
        </w:tc>
        <w:tc>
          <w:tcPr>
            <w:tcW w:w="191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pacing w:val="-6"/>
                <w:sz w:val="18"/>
                <w:szCs w:val="18"/>
              </w:rPr>
              <w:t>稀释每股收益（元</w:t>
            </w:r>
            <w:r>
              <w:rPr>
                <w:rFonts w:ascii="Times New Roman" w:hAnsi="Times New Roman" w:cs="Times New Roman" w:eastAsia="Times New Roman" w:hint="default"/>
                <w:spacing w:val="-6"/>
                <w:sz w:val="18"/>
                <w:szCs w:val="18"/>
              </w:rPr>
              <w:t>/</w:t>
            </w:r>
            <w:r>
              <w:rPr>
                <w:rFonts w:ascii="宋体" w:hAnsi="宋体" w:cs="宋体" w:eastAsia="宋体" w:hint="default"/>
                <w:spacing w:val="-6"/>
                <w:sz w:val="18"/>
                <w:szCs w:val="18"/>
              </w:rPr>
              <w:t>股）</w:t>
            </w:r>
          </w:p>
        </w:tc>
      </w:tr>
      <w:tr>
        <w:trPr>
          <w:trHeight w:val="714" w:hRule="exact"/>
        </w:trPr>
        <w:tc>
          <w:tcPr>
            <w:tcW w:w="26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02" w:right="207"/>
              <w:jc w:val="left"/>
              <w:rPr>
                <w:rFonts w:ascii="宋体" w:hAnsi="宋体" w:cs="宋体" w:eastAsia="宋体" w:hint="default"/>
                <w:sz w:val="18"/>
                <w:szCs w:val="18"/>
              </w:rPr>
            </w:pPr>
            <w:r>
              <w:rPr>
                <w:rFonts w:ascii="宋体" w:hAnsi="宋体" w:cs="宋体" w:eastAsia="宋体" w:hint="default"/>
                <w:sz w:val="18"/>
                <w:szCs w:val="18"/>
              </w:rPr>
              <w:t>归属于公司普通股股东的净利 润</w:t>
            </w:r>
          </w:p>
        </w:tc>
        <w:tc>
          <w:tcPr>
            <w:tcW w:w="3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4.54%</w:t>
            </w:r>
            <w:r>
              <w:rPr>
                <w:rFonts w:ascii="Times New Roman"/>
                <w:sz w:val="18"/>
              </w:rPr>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0.124</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0.124</w:t>
            </w:r>
          </w:p>
        </w:tc>
      </w:tr>
      <w:tr>
        <w:trPr>
          <w:trHeight w:val="714" w:hRule="exact"/>
        </w:trPr>
        <w:tc>
          <w:tcPr>
            <w:tcW w:w="26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49"/>
              <w:ind w:left="102" w:right="207"/>
              <w:jc w:val="left"/>
              <w:rPr>
                <w:rFonts w:ascii="宋体" w:hAnsi="宋体" w:cs="宋体" w:eastAsia="宋体" w:hint="default"/>
                <w:sz w:val="18"/>
                <w:szCs w:val="18"/>
              </w:rPr>
            </w:pPr>
            <w:r>
              <w:rPr>
                <w:rFonts w:ascii="宋体" w:hAnsi="宋体" w:cs="宋体" w:eastAsia="宋体" w:hint="default"/>
                <w:sz w:val="18"/>
                <w:szCs w:val="18"/>
              </w:rPr>
              <w:t>扣除非经常性损益后归属于公 司普通股股东的净利润</w:t>
            </w:r>
          </w:p>
        </w:tc>
        <w:tc>
          <w:tcPr>
            <w:tcW w:w="3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3.95%</w:t>
            </w:r>
            <w:r>
              <w:rPr>
                <w:rFonts w:ascii="Times New Roman"/>
                <w:sz w:val="18"/>
              </w:rPr>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0.108</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0.108</w:t>
            </w:r>
          </w:p>
        </w:tc>
      </w:tr>
    </w:tbl>
    <w:p>
      <w:pPr>
        <w:spacing w:line="240" w:lineRule="auto" w:before="2"/>
        <w:rPr>
          <w:rFonts w:ascii="宋体" w:hAnsi="宋体" w:cs="宋体" w:eastAsia="宋体" w:hint="default"/>
          <w:b/>
          <w:bCs/>
          <w:sz w:val="19"/>
          <w:szCs w:val="19"/>
        </w:rPr>
      </w:pPr>
    </w:p>
    <w:p>
      <w:pPr>
        <w:pStyle w:val="Heading3"/>
        <w:spacing w:line="240" w:lineRule="auto" w:before="35"/>
        <w:ind w:right="0"/>
        <w:jc w:val="left"/>
        <w:rPr>
          <w:b w:val="0"/>
          <w:bCs w:val="0"/>
        </w:rPr>
      </w:pPr>
      <w:r>
        <w:rPr>
          <w:rFonts w:ascii="Times New Roman" w:hAnsi="Times New Roman" w:cs="Times New Roman" w:eastAsia="Times New Roman" w:hint="default"/>
        </w:rPr>
        <w:t>3</w:t>
      </w:r>
      <w:r>
        <w:rPr/>
        <w:t>、境内外会计准则下会计数据差异</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t>（</w:t>
      </w:r>
      <w:r>
        <w:rPr>
          <w:rFonts w:ascii="Times New Roman" w:hAnsi="Times New Roman" w:cs="Times New Roman" w:eastAsia="Times New Roman" w:hint="default"/>
        </w:rPr>
        <w:t>1</w:t>
      </w:r>
      <w:r>
        <w:rPr/>
        <w:t>）同时按照国际会计准则与按中国会计准则披露的财务报告中净利润和净资产差异情况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r>
        <w:rPr/>
        <w:t>（</w:t>
      </w:r>
      <w:r>
        <w:rPr>
          <w:rFonts w:ascii="Times New Roman" w:hAnsi="Times New Roman" w:cs="Times New Roman" w:eastAsia="Times New Roman" w:hint="default"/>
        </w:rPr>
        <w:t>2</w:t>
      </w:r>
      <w:r>
        <w:rPr/>
        <w:t>）同时按照境外会计准则与按中国会计准则披露的财务报告中净利润和净资产差异情况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3"/>
        <w:rPr>
          <w:rFonts w:ascii="宋体" w:hAnsi="宋体" w:cs="宋体" w:eastAsia="宋体" w:hint="default"/>
          <w:sz w:val="26"/>
          <w:szCs w:val="26"/>
        </w:rPr>
      </w:pPr>
    </w:p>
    <w:p>
      <w:pPr>
        <w:pStyle w:val="Heading3"/>
        <w:spacing w:line="259" w:lineRule="auto"/>
        <w:ind w:right="0"/>
        <w:jc w:val="left"/>
        <w:rPr>
          <w:b w:val="0"/>
          <w:bCs w:val="0"/>
        </w:rPr>
      </w:pPr>
      <w:r>
        <w:rPr/>
        <w:t>（</w:t>
      </w:r>
      <w:r>
        <w:rPr>
          <w:rFonts w:ascii="Times New Roman" w:hAnsi="Times New Roman" w:cs="Times New Roman" w:eastAsia="Times New Roman" w:hint="default"/>
        </w:rPr>
        <w:t>3</w:t>
      </w:r>
      <w:r>
        <w:rPr/>
        <w:t>）境内外会计准则下会计数据差异原因说明，对已经境外审计机构审计的数据进行差异调节的，应注</w:t>
      </w:r>
      <w:r>
        <w:rPr>
          <w:spacing w:val="-55"/>
        </w:rPr>
        <w:t> </w:t>
      </w:r>
      <w:r>
        <w:rPr>
          <w:spacing w:val="-55"/>
        </w:rPr>
      </w:r>
      <w:r>
        <w:rPr/>
        <w:t>明该境外机构的名称</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r>
        <w:rPr>
          <w:rFonts w:ascii="Times New Roman" w:hAnsi="Times New Roman" w:cs="Times New Roman" w:eastAsia="Times New Roman" w:hint="default"/>
        </w:rPr>
        <w:t>4</w:t>
      </w:r>
      <w:r>
        <w:rPr/>
        <w:t>、其他</w:t>
      </w:r>
      <w:r>
        <w:rPr>
          <w:b w:val="0"/>
          <w:bCs w:val="0"/>
        </w:rPr>
      </w:r>
    </w:p>
    <w:p>
      <w:pPr>
        <w:spacing w:after="0" w:line="240" w:lineRule="auto"/>
        <w:jc w:val="left"/>
        <w:sectPr>
          <w:pgSz w:w="11910" w:h="16840"/>
          <w:pgMar w:header="906" w:footer="1018" w:top="1100" w:bottom="1200" w:left="1020" w:right="0"/>
        </w:sect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7"/>
          <w:szCs w:val="17"/>
        </w:rPr>
      </w:pPr>
    </w:p>
    <w:p>
      <w:pPr>
        <w:pStyle w:val="Heading1"/>
        <w:spacing w:line="240" w:lineRule="auto"/>
        <w:ind w:left="3247" w:right="0"/>
        <w:jc w:val="left"/>
        <w:rPr>
          <w:b w:val="0"/>
          <w:bCs w:val="0"/>
        </w:rPr>
      </w:pPr>
      <w:bookmarkStart w:name="_TOC_250000" w:id="13"/>
      <w:r>
        <w:rPr/>
        <w:t>第十三节</w:t>
      </w:r>
      <w:r>
        <w:rPr>
          <w:spacing w:val="-5"/>
        </w:rPr>
        <w:t> </w:t>
      </w:r>
      <w:r>
        <w:rPr/>
        <w:t>备查文件目录</w:t>
      </w:r>
      <w:bookmarkEnd w:id="13"/>
      <w:r>
        <w:rPr>
          <w:b w:val="0"/>
          <w:bCs w:val="0"/>
        </w:rPr>
      </w:r>
    </w:p>
    <w:p>
      <w:pPr>
        <w:spacing w:line="240" w:lineRule="auto" w:before="6"/>
        <w:rPr>
          <w:rFonts w:ascii="宋体" w:hAnsi="宋体" w:cs="宋体" w:eastAsia="宋体" w:hint="default"/>
          <w:b/>
          <w:bCs/>
          <w:sz w:val="42"/>
          <w:szCs w:val="42"/>
        </w:rPr>
      </w:pPr>
    </w:p>
    <w:p>
      <w:pPr>
        <w:pStyle w:val="BodyText"/>
        <w:spacing w:line="316" w:lineRule="auto"/>
        <w:ind w:right="3732"/>
        <w:jc w:val="left"/>
      </w:pPr>
      <w:r>
        <w:rPr/>
        <w:t>一、载有法定代表人、财务负责人、会计机构负责人签名并盖章的会计报表。 二、载有会计师事务所盖章、注册会计师签名并盖章的审计报告原件。 三、报告期内在中国证监会指定报纸上公开披露过的所有公司文件的正本及公告的原稿。 四、载有董事长签名的2019年年度报告文本原件。 五、以上备查文件的备置地点：公司证券事务部。</w:t>
      </w:r>
    </w:p>
    <w:sectPr>
      <w:pgSz w:w="11910" w:h="16840"/>
      <w:pgMar w:header="906" w:footer="1018" w:top="1100" w:bottom="1200" w:left="102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宋体">
    <w:altName w:val="宋体"/>
    <w:charset w:val="86"/>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07117pt;margin-top:806.691345pt;width:59.491561pt;height:26.793909pt;mso-position-horizontal-relative:page;mso-position-vertical-relative:page;z-index:-1058032" type="#_x0000_t75" stroked="false">
          <v:imagedata r:id="rId1" o:title=""/>
        </v:shape>
      </w:pict>
    </w:r>
    <w:r>
      <w:rPr/>
      <w:pict>
        <v:shape style="position:absolute;margin-left:294.380005pt;margin-top:793.597717pt;width:6.5pt;height:11pt;mso-position-horizontal-relative:page;mso-position-vertical-relative:page;z-index:-1058008" type="#_x0000_t202" filled="false" stroked="false">
          <v:textbox inset="0,0,0,0">
            <w:txbxContent>
              <w:p>
                <w:pPr>
                  <w:pStyle w:val="BodyText"/>
                  <w:spacing w:line="204" w:lineRule="exact"/>
                  <w:ind w:left="20" w:right="0"/>
                  <w:jc w:val="left"/>
                  <w:rPr>
                    <w:rFonts w:ascii="Times New Roman" w:hAnsi="Times New Roman" w:cs="Times New Roman" w:eastAsia="Times New Roman" w:hint="default"/>
                  </w:rPr>
                </w:pPr>
                <w:r>
                  <w:rPr>
                    <w:rFonts w:ascii="Times New Roman"/>
                  </w:rPr>
                  <w:t>1</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07117pt;margin-top:806.691345pt;width:59.491561pt;height:26.793909pt;mso-position-horizontal-relative:page;mso-position-vertical-relative:page;z-index:-1057984" type="#_x0000_t75" stroked="false">
          <v:imagedata r:id="rId1" o:title=""/>
        </v:shape>
      </w:pict>
    </w:r>
    <w:r>
      <w:rPr/>
      <w:pict>
        <v:shape style="position:absolute;margin-left:288.880005pt;margin-top:780.00769pt;width:17.5pt;height:11pt;mso-position-horizontal-relative:page;mso-position-vertical-relative:page;z-index:-1057960"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100</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07117pt;margin-top:806.691345pt;width:59.491561pt;height:26.793909pt;mso-position-horizontal-relative:page;mso-position-vertical-relative:page;z-index:-1057792" type="#_x0000_t75" stroked="false">
          <v:imagedata r:id="rId1" o:title=""/>
        </v:shape>
      </w:pict>
    </w:r>
    <w:r>
      <w:rPr/>
      <w:pict>
        <v:shape style="position:absolute;margin-left:289.03299pt;margin-top:780.00769pt;width:17.150pt;height:11pt;mso-position-horizontal-relative:page;mso-position-vertical-relative:page;z-index:-1057768"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110</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07117pt;margin-top:806.691345pt;width:59.491561pt;height:26.793909pt;mso-position-horizontal-relative:page;mso-position-vertical-relative:page;z-index:-1057744" type="#_x0000_t75" stroked="false">
          <v:imagedata r:id="rId1" o:title=""/>
        </v:shape>
      </w:pict>
    </w:r>
    <w:r>
      <w:rPr/>
      <w:pict>
        <v:shape style="position:absolute;margin-left:288.880005pt;margin-top:780.00769pt;width:17.5pt;height:11pt;mso-position-horizontal-relative:page;mso-position-vertical-relative:page;z-index:-1057720"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120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55.673pt;margin-top:38.302395pt;width:159.5pt;height:11.5pt;mso-position-horizontal-relative:page;mso-position-vertical-relative:page;z-index:-1058056" type="#_x0000_t202" filled="false" stroked="false">
          <v:textbox inset="0,0,0,0">
            <w:txbxContent>
              <w:p>
                <w:pPr>
                  <w:pStyle w:val="BodyText"/>
                  <w:spacing w:line="214" w:lineRule="exact"/>
                  <w:ind w:left="20" w:right="0"/>
                  <w:jc w:val="left"/>
                </w:pPr>
                <w:r>
                  <w:rPr/>
                  <w:t>恒宝股份有限公司</w:t>
                </w:r>
                <w:r>
                  <w:rPr>
                    <w:spacing w:val="-45"/>
                  </w:rPr>
                  <w:t> </w:t>
                </w:r>
                <w:r>
                  <w:rPr>
                    <w:rFonts w:ascii="Times New Roman" w:hAnsi="Times New Roman" w:cs="Times New Roman" w:eastAsia="Times New Roman" w:hint="default"/>
                  </w:rPr>
                  <w:t>2019 </w:t>
                </w:r>
                <w:r>
                  <w:rPr/>
                  <w:t>年年度报告全文</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73pt;margin-top:44.872395pt;width:159.5pt;height:11.45pt;mso-position-horizontal-relative:page;mso-position-vertical-relative:page;z-index:-1057936" type="#_x0000_t202" filled="false" stroked="false">
          <v:textbox inset="0,0,0,0">
            <w:txbxContent>
              <w:p>
                <w:pPr>
                  <w:pStyle w:val="BodyText"/>
                  <w:spacing w:line="214" w:lineRule="exact"/>
                  <w:ind w:left="20" w:right="0"/>
                  <w:jc w:val="left"/>
                </w:pPr>
                <w:r>
                  <w:rPr/>
                  <w:t>恒宝股份有限公司</w:t>
                </w:r>
                <w:r>
                  <w:rPr>
                    <w:spacing w:val="-45"/>
                  </w:rPr>
                  <w:t> </w:t>
                </w:r>
                <w:r>
                  <w:rPr>
                    <w:rFonts w:ascii="Times New Roman" w:hAnsi="Times New Roman" w:cs="Times New Roman" w:eastAsia="Times New Roman" w:hint="default"/>
                  </w:rPr>
                  <w:t>2019 </w:t>
                </w:r>
                <w:r>
                  <w:rPr/>
                  <w:t>年年度报告全文</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73pt;margin-top:44.872395pt;width:159.5pt;height:11.45pt;mso-position-horizontal-relative:page;mso-position-vertical-relative:page;z-index:-1057912" type="#_x0000_t202" filled="false" stroked="false">
          <v:textbox inset="0,0,0,0">
            <w:txbxContent>
              <w:p>
                <w:pPr>
                  <w:pStyle w:val="BodyText"/>
                  <w:spacing w:line="214" w:lineRule="exact"/>
                  <w:ind w:left="20" w:right="0"/>
                  <w:jc w:val="left"/>
                </w:pPr>
                <w:r>
                  <w:rPr/>
                  <w:t>恒宝股份有限公司</w:t>
                </w:r>
                <w:r>
                  <w:rPr>
                    <w:spacing w:val="-45"/>
                  </w:rPr>
                  <w:t> </w:t>
                </w:r>
                <w:r>
                  <w:rPr>
                    <w:rFonts w:ascii="Times New Roman" w:hAnsi="Times New Roman" w:cs="Times New Roman" w:eastAsia="Times New Roman" w:hint="default"/>
                  </w:rPr>
                  <w:t>2019 </w:t>
                </w:r>
                <w:r>
                  <w:rPr/>
                  <w:t>年年度报告全文</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73pt;margin-top:44.872395pt;width:159.5pt;height:11.45pt;mso-position-horizontal-relative:page;mso-position-vertical-relative:page;z-index:-1057888" type="#_x0000_t202" filled="false" stroked="false">
          <v:textbox inset="0,0,0,0">
            <w:txbxContent>
              <w:p>
                <w:pPr>
                  <w:pStyle w:val="BodyText"/>
                  <w:spacing w:line="214" w:lineRule="exact"/>
                  <w:ind w:left="20" w:right="0"/>
                  <w:jc w:val="left"/>
                </w:pPr>
                <w:r>
                  <w:rPr/>
                  <w:t>恒宝股份有限公司</w:t>
                </w:r>
                <w:r>
                  <w:rPr>
                    <w:spacing w:val="-45"/>
                  </w:rPr>
                  <w:t> </w:t>
                </w:r>
                <w:r>
                  <w:rPr>
                    <w:rFonts w:ascii="Times New Roman" w:hAnsi="Times New Roman" w:cs="Times New Roman" w:eastAsia="Times New Roman" w:hint="default"/>
                  </w:rPr>
                  <w:t>2019 </w:t>
                </w:r>
                <w:r>
                  <w:rPr/>
                  <w:t>年年度报告全文</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73pt;margin-top:44.872395pt;width:159.5pt;height:11.45pt;mso-position-horizontal-relative:page;mso-position-vertical-relative:page;z-index:-1057864" type="#_x0000_t202" filled="false" stroked="false">
          <v:textbox inset="0,0,0,0">
            <w:txbxContent>
              <w:p>
                <w:pPr>
                  <w:pStyle w:val="BodyText"/>
                  <w:spacing w:line="214" w:lineRule="exact"/>
                  <w:ind w:left="20" w:right="0"/>
                  <w:jc w:val="left"/>
                </w:pPr>
                <w:r>
                  <w:rPr/>
                  <w:t>恒宝股份有限公司</w:t>
                </w:r>
                <w:r>
                  <w:rPr>
                    <w:spacing w:val="-45"/>
                  </w:rPr>
                  <w:t> </w:t>
                </w:r>
                <w:r>
                  <w:rPr>
                    <w:rFonts w:ascii="Times New Roman" w:hAnsi="Times New Roman" w:cs="Times New Roman" w:eastAsia="Times New Roman" w:hint="default"/>
                  </w:rPr>
                  <w:t>2019 </w:t>
                </w:r>
                <w:r>
                  <w:rPr/>
                  <w:t>年年度报告全文</w:t>
                </w:r>
              </w:p>
            </w:txbxContent>
          </v:textbox>
          <w10:wrap type="none"/>
        </v:shape>
      </w:pict>
    </w:r>
    <w:r>
      <w:rPr/>
      <w:pict>
        <v:shape style="position:absolute;margin-left:55.668499pt;margin-top:73.524834pt;width:239.35pt;height:13.1pt;mso-position-horizontal-relative:page;mso-position-vertical-relative:page;z-index:-1057840" type="#_x0000_t202" filled="false" stroked="false">
          <v:textbox inset="0,0,0,0">
            <w:txbxContent>
              <w:p>
                <w:pPr>
                  <w:spacing w:line="246" w:lineRule="exact" w:before="0"/>
                  <w:ind w:left="20"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、表决权恢复的优先股股东请求召开临时股东大会</w:t>
                </w:r>
                <w:r>
                  <w:rPr>
                    <w:rFonts w:ascii="宋体" w:hAnsi="宋体" w:cs="宋体" w:eastAsia="宋体" w:hint="default"/>
                    <w:sz w:val="21"/>
                    <w:szCs w:val="21"/>
                  </w:rPr>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73pt;margin-top:44.872395pt;width:159.5pt;height:11.45pt;mso-position-horizontal-relative:page;mso-position-vertical-relative:page;z-index:-1057816" type="#_x0000_t202" filled="false" stroked="false">
          <v:textbox inset="0,0,0,0">
            <w:txbxContent>
              <w:p>
                <w:pPr>
                  <w:pStyle w:val="BodyText"/>
                  <w:spacing w:line="214" w:lineRule="exact"/>
                  <w:ind w:left="20" w:right="0"/>
                  <w:jc w:val="left"/>
                </w:pPr>
                <w:r>
                  <w:rPr/>
                  <w:t>恒宝股份有限公司</w:t>
                </w:r>
                <w:r>
                  <w:rPr>
                    <w:spacing w:val="-45"/>
                  </w:rPr>
                  <w:t> </w:t>
                </w:r>
                <w:r>
                  <w:rPr>
                    <w:rFonts w:ascii="Times New Roman" w:hAnsi="Times New Roman" w:cs="Times New Roman" w:eastAsia="Times New Roman" w:hint="default"/>
                  </w:rPr>
                  <w:t>2019 </w:t>
                </w:r>
                <w:r>
                  <w:rPr/>
                  <w:t>年年度报告全文</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73pt;margin-top:44.872395pt;width:159.5pt;height:11.45pt;mso-position-horizontal-relative:page;mso-position-vertical-relative:page;z-index:-1057696" type="#_x0000_t202" filled="false" stroked="false">
          <v:textbox inset="0,0,0,0">
            <w:txbxContent>
              <w:p>
                <w:pPr>
                  <w:pStyle w:val="BodyText"/>
                  <w:spacing w:line="214" w:lineRule="exact"/>
                  <w:ind w:left="20" w:right="0"/>
                  <w:jc w:val="left"/>
                </w:pPr>
                <w:r>
                  <w:rPr/>
                  <w:t>恒宝股份有限公司</w:t>
                </w:r>
                <w:r>
                  <w:rPr>
                    <w:spacing w:val="-45"/>
                  </w:rPr>
                  <w:t> </w:t>
                </w:r>
                <w:r>
                  <w:rPr>
                    <w:rFonts w:ascii="Times New Roman" w:hAnsi="Times New Roman" w:cs="Times New Roman" w:eastAsia="Times New Roman" w:hint="default"/>
                  </w:rPr>
                  <w:t>2019 </w:t>
                </w:r>
                <w:r>
                  <w:rPr/>
                  <w:t>年年度报告全文</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159"/>
      <w:ind w:left="113"/>
    </w:pPr>
    <w:rPr>
      <w:rFonts w:ascii="宋体" w:hAnsi="宋体" w:eastAsia="宋体"/>
      <w:b/>
      <w:bCs/>
      <w:sz w:val="24"/>
      <w:szCs w:val="24"/>
    </w:rPr>
  </w:style>
  <w:style w:styleId="BodyText" w:type="paragraph">
    <w:name w:val="Body Text"/>
    <w:basedOn w:val="Normal"/>
    <w:uiPriority w:val="1"/>
    <w:qFormat/>
    <w:pPr>
      <w:ind w:left="113"/>
    </w:pPr>
    <w:rPr>
      <w:rFonts w:ascii="宋体" w:hAnsi="宋体" w:eastAsia="宋体"/>
      <w:sz w:val="18"/>
      <w:szCs w:val="18"/>
    </w:rPr>
  </w:style>
  <w:style w:styleId="Heading1" w:type="paragraph">
    <w:name w:val="Heading 1"/>
    <w:basedOn w:val="Normal"/>
    <w:uiPriority w:val="1"/>
    <w:qFormat/>
    <w:pPr>
      <w:spacing w:before="1"/>
      <w:outlineLvl w:val="1"/>
    </w:pPr>
    <w:rPr>
      <w:rFonts w:ascii="宋体" w:hAnsi="宋体" w:eastAsia="宋体"/>
      <w:b/>
      <w:bCs/>
      <w:sz w:val="32"/>
      <w:szCs w:val="32"/>
    </w:rPr>
  </w:style>
  <w:style w:styleId="Heading2" w:type="paragraph">
    <w:name w:val="Heading 2"/>
    <w:basedOn w:val="Normal"/>
    <w:uiPriority w:val="1"/>
    <w:qFormat/>
    <w:pPr>
      <w:ind w:left="113"/>
      <w:outlineLvl w:val="2"/>
    </w:pPr>
    <w:rPr>
      <w:rFonts w:ascii="宋体" w:hAnsi="宋体" w:eastAsia="宋体"/>
      <w:b/>
      <w:bCs/>
      <w:sz w:val="24"/>
      <w:szCs w:val="24"/>
    </w:rPr>
  </w:style>
  <w:style w:styleId="Heading3" w:type="paragraph">
    <w:name w:val="Heading 3"/>
    <w:basedOn w:val="Normal"/>
    <w:uiPriority w:val="1"/>
    <w:qFormat/>
    <w:pPr>
      <w:ind w:left="113"/>
      <w:outlineLvl w:val="3"/>
    </w:pPr>
    <w:rPr>
      <w:rFonts w:ascii="宋体" w:hAnsi="宋体" w:eastAsia="宋体"/>
      <w:b/>
      <w:bCs/>
      <w:sz w:val="21"/>
      <w:szCs w:val="21"/>
    </w:rPr>
  </w:style>
  <w:style w:styleId="Heading4" w:type="paragraph">
    <w:name w:val="Heading 4"/>
    <w:basedOn w:val="Normal"/>
    <w:uiPriority w:val="1"/>
    <w:qFormat/>
    <w:pPr>
      <w:ind w:left="474"/>
      <w:outlineLvl w:val="4"/>
    </w:pPr>
    <w:rPr>
      <w:rFonts w:ascii="宋体" w:hAnsi="宋体" w:eastAsia="宋体"/>
      <w:b/>
      <w:bCs/>
      <w:sz w:val="18"/>
      <w:szCs w:val="18"/>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footer" Target="footer2.xml"/><Relationship Id="rId9" Type="http://schemas.openxmlformats.org/officeDocument/2006/relationships/header" Target="header2.xml"/><Relationship Id="rId10" Type="http://schemas.openxmlformats.org/officeDocument/2006/relationships/hyperlink" Target="http://www.hengbao.com/" TargetMode="External"/><Relationship Id="rId11" Type="http://schemas.openxmlformats.org/officeDocument/2006/relationships/hyperlink" Target="mailto:hengbao@hengbao.com" TargetMode="External"/><Relationship Id="rId12" Type="http://schemas.openxmlformats.org/officeDocument/2006/relationships/hyperlink" Target="mailto:ir@hengbao.com" TargetMode="External"/><Relationship Id="rId13" Type="http://schemas.openxmlformats.org/officeDocument/2006/relationships/hyperlink" Target="http://www.cninfo.com.cn/" TargetMode="Externa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image" Target="media/image3.png"/><Relationship Id="rId17" Type="http://schemas.openxmlformats.org/officeDocument/2006/relationships/header" Target="header5.xml"/><Relationship Id="rId18" Type="http://schemas.openxmlformats.org/officeDocument/2006/relationships/header" Target="header6.xml"/><Relationship Id="rId19" Type="http://schemas.openxmlformats.org/officeDocument/2006/relationships/image" Target="media/image4.jpeg"/><Relationship Id="rId20" Type="http://schemas.openxmlformats.org/officeDocument/2006/relationships/footer" Target="footer3.xml"/><Relationship Id="rId21" Type="http://schemas.openxmlformats.org/officeDocument/2006/relationships/footer" Target="footer4.xml"/><Relationship Id="rId22" Type="http://schemas.openxmlformats.org/officeDocument/2006/relationships/header" Target="header7.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1.jpeg"/></Relationships>

</file>

<file path=word/_rels/foot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2020-05-19T13:07:25Z</dcterms:created>
  <dcterms:modified xsi:type="dcterms:W3CDTF">2020-05-19T13:07:25Z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2020-04-27T00:00:00Z</vt:filetime>
  </property>
  <property fmtid="{D5CDD505-2E9C-101B-9397-08002B2CF9AE}" pid="3" name="LastSaved">
    <vt:filetime>2020-05-19T00:00:00Z</vt:filetime>
  </property>
</Properties>
</file>