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61" w:right="4485" w:bottom="1027" w:left="1137" w:header="0" w:footer="3" w:gutter="0"/>
          <w:cols w:space="720"/>
          <w:noEndnote/>
          <w:rtlGutter w:val="0"/>
          <w:docGrid w:linePitch="360"/>
        </w:sectPr>
      </w:pPr>
    </w:p>
    <w:p>
      <w:pPr>
        <w:pStyle w:val="Style2"/>
        <w:keepNext/>
        <w:keepLines/>
        <w:framePr w:w="2928" w:h="1277" w:wrap="none" w:vAnchor="text" w:hAnchor="page" w:x="4488" w:y="2411"/>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恒宝股份有限公司</w:t>
      </w:r>
      <w:bookmarkEnd w:id="0"/>
      <w:bookmarkEnd w:id="1"/>
      <w:bookmarkEnd w:id="2"/>
    </w:p>
    <w:p>
      <w:pPr>
        <w:pStyle w:val="Style4"/>
        <w:keepNext w:val="0"/>
        <w:keepLines w:val="0"/>
        <w:framePr w:w="2928" w:h="1277" w:wrap="none" w:vAnchor="text" w:hAnchor="page" w:x="4488" w:y="241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framePr w:w="1886" w:h="446" w:wrap="none" w:vAnchor="text" w:hAnchor="page" w:x="5007" w:y="9654"/>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0" behindDoc="1" locked="0" layoutInCell="1" allowOverlap="1">
            <wp:simplePos x="0" y="0"/>
            <wp:positionH relativeFrom="page">
              <wp:posOffset>3072130</wp:posOffset>
            </wp:positionH>
            <wp:positionV relativeFrom="paragraph">
              <wp:posOffset>12700</wp:posOffset>
            </wp:positionV>
            <wp:extent cx="1414145" cy="139001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414145" cy="13900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8" w:line="1" w:lineRule="exact"/>
      </w:pPr>
    </w:p>
    <w:p>
      <w:pPr>
        <w:widowControl w:val="0"/>
        <w:spacing w:line="1" w:lineRule="exact"/>
        <w:sectPr>
          <w:footnotePr>
            <w:pos w:val="pageBottom"/>
            <w:numFmt w:val="decimal"/>
            <w:numRestart w:val="continuous"/>
          </w:footnotePr>
          <w:type w:val="continuous"/>
          <w:pgSz w:w="11900" w:h="16840"/>
          <w:pgMar w:top="1061" w:right="4485" w:bottom="1027" w:left="1137" w:header="0" w:footer="3" w:gutter="0"/>
          <w:cols w:space="720"/>
          <w:noEndnote/>
          <w:rtlGutter w:val="0"/>
          <w:docGrid w:linePitch="360"/>
        </w:sectPr>
      </w:pPr>
    </w:p>
    <w:p>
      <w:pPr>
        <w:pStyle w:val="Style10"/>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2"/>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公司负责人钱京、主管会计工作负责人徐霄凌及会计机构负责人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刘春莲声明：保证本年度报告中财务报告的真实、准确、完整。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ind w:left="0" w:right="0"/>
        <w:jc w:val="both"/>
      </w:pPr>
      <w:r>
        <w:rPr>
          <w:color w:val="000000"/>
          <w:spacing w:val="0"/>
          <w:w w:val="100"/>
          <w:position w:val="0"/>
        </w:rPr>
        <w:t>中兴华会计师事务所（特殊普通合伙）为本公司出具了保留意见的审计报 告，本公司董事会、监事会对相关事项已有详细说明，请投资者注意阅读。</w:t>
      </w:r>
    </w:p>
    <w:p>
      <w:pPr>
        <w:pStyle w:val="Style12"/>
        <w:keepNext w:val="0"/>
        <w:keepLines w:val="0"/>
        <w:widowControl w:val="0"/>
        <w:shd w:val="clear" w:color="auto" w:fill="auto"/>
        <w:bidi w:val="0"/>
        <w:spacing w:before="0" w:line="621" w:lineRule="exact"/>
        <w:ind w:left="0" w:right="0"/>
        <w:jc w:val="both"/>
      </w:pPr>
      <w:r>
        <w:rPr>
          <w:color w:val="000000"/>
          <w:spacing w:val="0"/>
          <w:w w:val="100"/>
          <w:position w:val="0"/>
        </w:rPr>
        <w:t>公司面临国内宏观经济增速放缓、市场竞争加剧、产品更新换代加速、人 力成本持续上升等方面的影响。受全球经济增长放缓的影响，公司新业务、新 市场开拓的难度增大、风险加剧，海外收入面临汇率波动的风险，敬请广大投 资者注意投资风险。</w:t>
      </w:r>
    </w:p>
    <w:p>
      <w:pPr>
        <w:pStyle w:val="Style1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4" w:right="1107" w:bottom="1974" w:left="1112"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keepLines/>
        <w:widowControl w:val="0"/>
        <w:shd w:val="clear" w:color="auto" w:fill="auto"/>
        <w:bidi w:val="0"/>
        <w:spacing w:before="0" w:after="158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15"/>
        <w:keepNext w:val="0"/>
        <w:keepLines w:val="0"/>
        <w:widowControl w:val="0"/>
        <w:shd w:val="clear" w:color="auto" w:fill="auto"/>
        <w:tabs>
          <w:tab w:leader="dot" w:pos="9624"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2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6</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66" w:tooltip="Current Document">
        <w:r>
          <w:rPr>
            <w:color w:val="000000"/>
            <w:spacing w:val="0"/>
            <w:w w:val="100"/>
            <w:position w:val="0"/>
            <w:sz w:val="24"/>
            <w:szCs w:val="24"/>
          </w:rPr>
          <w:t>第三节管理层讨论与分析</w:t>
        </w:r>
        <w:r>
          <w:rPr>
            <w:color w:val="000000"/>
            <w:spacing w:val="0"/>
            <w:w w:val="100"/>
            <w:position w:val="0"/>
            <w:sz w:val="24"/>
            <w:szCs w:val="24"/>
          </w:rPr>
          <w:tab/>
        </w:r>
        <w:r>
          <w:rPr>
            <w:color w:val="000000"/>
            <w:spacing w:val="0"/>
            <w:w w:val="100"/>
            <w:position w:val="0"/>
            <w:sz w:val="24"/>
            <w:szCs w:val="24"/>
          </w:rPr>
          <w:t>10</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244" w:tooltip="Current Document">
        <w:r>
          <w:rPr>
            <w:color w:val="000000"/>
            <w:spacing w:val="0"/>
            <w:w w:val="100"/>
            <w:position w:val="0"/>
            <w:sz w:val="24"/>
            <w:szCs w:val="24"/>
          </w:rPr>
          <w:t>第四节公司治理</w:t>
        </w:r>
        <w:r>
          <w:rPr>
            <w:color w:val="000000"/>
            <w:spacing w:val="0"/>
            <w:w w:val="100"/>
            <w:position w:val="0"/>
            <w:sz w:val="24"/>
            <w:szCs w:val="24"/>
          </w:rPr>
          <w:tab/>
        </w:r>
        <w:r>
          <w:rPr>
            <w:color w:val="000000"/>
            <w:spacing w:val="0"/>
            <w:w w:val="100"/>
            <w:position w:val="0"/>
            <w:sz w:val="24"/>
            <w:szCs w:val="24"/>
          </w:rPr>
          <w:t>32</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456" w:tooltip="Current Document">
        <w:r>
          <w:rPr>
            <w:color w:val="000000"/>
            <w:spacing w:val="0"/>
            <w:w w:val="100"/>
            <w:position w:val="0"/>
            <w:sz w:val="24"/>
            <w:szCs w:val="24"/>
          </w:rPr>
          <w:t>第五节环境和社会责任</w:t>
        </w:r>
        <w:r>
          <w:rPr>
            <w:color w:val="000000"/>
            <w:spacing w:val="0"/>
            <w:w w:val="100"/>
            <w:position w:val="0"/>
            <w:sz w:val="24"/>
            <w:szCs w:val="24"/>
          </w:rPr>
          <w:tab/>
        </w:r>
        <w:r>
          <w:rPr>
            <w:color w:val="000000"/>
            <w:spacing w:val="0"/>
            <w:w w:val="100"/>
            <w:position w:val="0"/>
            <w:sz w:val="24"/>
            <w:szCs w:val="24"/>
          </w:rPr>
          <w:t>53</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476" w:tooltip="Current Document">
        <w:r>
          <w:rPr>
            <w:color w:val="000000"/>
            <w:spacing w:val="0"/>
            <w:w w:val="100"/>
            <w:position w:val="0"/>
            <w:sz w:val="24"/>
            <w:szCs w:val="24"/>
          </w:rPr>
          <w:t>第六节重要事项</w:t>
        </w:r>
        <w:r>
          <w:rPr>
            <w:color w:val="000000"/>
            <w:spacing w:val="0"/>
            <w:w w:val="100"/>
            <w:position w:val="0"/>
            <w:sz w:val="24"/>
            <w:szCs w:val="24"/>
          </w:rPr>
          <w:tab/>
        </w:r>
        <w:r>
          <w:rPr>
            <w:color w:val="000000"/>
            <w:spacing w:val="0"/>
            <w:w w:val="100"/>
            <w:position w:val="0"/>
            <w:sz w:val="24"/>
            <w:szCs w:val="24"/>
          </w:rPr>
          <w:t>54</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610"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color w:val="000000"/>
            <w:spacing w:val="0"/>
            <w:w w:val="100"/>
            <w:position w:val="0"/>
            <w:sz w:val="24"/>
            <w:szCs w:val="24"/>
          </w:rPr>
          <w:t>69</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673" w:tooltip="Current Document">
        <w:r>
          <w:rPr>
            <w:color w:val="000000"/>
            <w:spacing w:val="0"/>
            <w:w w:val="100"/>
            <w:position w:val="0"/>
            <w:sz w:val="24"/>
            <w:szCs w:val="24"/>
          </w:rPr>
          <w:t>第八节优先股相关情况</w:t>
        </w:r>
        <w:r>
          <w:rPr>
            <w:color w:val="000000"/>
            <w:spacing w:val="0"/>
            <w:w w:val="100"/>
            <w:position w:val="0"/>
            <w:sz w:val="24"/>
            <w:szCs w:val="24"/>
          </w:rPr>
          <w:tab/>
        </w:r>
        <w:r>
          <w:rPr>
            <w:color w:val="000000"/>
            <w:spacing w:val="0"/>
            <w:w w:val="100"/>
            <w:position w:val="0"/>
            <w:sz w:val="24"/>
            <w:szCs w:val="24"/>
          </w:rPr>
          <w:t>75</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pPr>
      <w:hyperlink w:anchor="bookmark676" w:tooltip="Current Document">
        <w:r>
          <w:rPr>
            <w:color w:val="000000"/>
            <w:spacing w:val="0"/>
            <w:w w:val="100"/>
            <w:position w:val="0"/>
            <w:sz w:val="24"/>
            <w:szCs w:val="24"/>
          </w:rPr>
          <w:t>第九节债券相关情况</w:t>
        </w:r>
        <w:r>
          <w:rPr>
            <w:color w:val="000000"/>
            <w:spacing w:val="0"/>
            <w:w w:val="100"/>
            <w:position w:val="0"/>
            <w:sz w:val="24"/>
            <w:szCs w:val="24"/>
          </w:rPr>
          <w:tab/>
        </w:r>
        <w:r>
          <w:rPr>
            <w:color w:val="000000"/>
            <w:spacing w:val="0"/>
            <w:w w:val="100"/>
            <w:position w:val="0"/>
            <w:sz w:val="24"/>
            <w:szCs w:val="24"/>
          </w:rPr>
          <w:t>76</w:t>
        </w:r>
      </w:hyperlink>
    </w:p>
    <w:p>
      <w:pPr>
        <w:pStyle w:val="Style15"/>
        <w:keepNext w:val="0"/>
        <w:keepLines w:val="0"/>
        <w:widowControl w:val="0"/>
        <w:shd w:val="clear" w:color="auto" w:fill="auto"/>
        <w:tabs>
          <w:tab w:leader="dot" w:pos="9624" w:val="right"/>
        </w:tabs>
        <w:bidi w:val="0"/>
        <w:spacing w:before="0" w:line="240" w:lineRule="auto"/>
        <w:ind w:left="0" w:right="0" w:firstLine="0"/>
        <w:jc w:val="left"/>
        <w:sectPr>
          <w:footnotePr>
            <w:pos w:val="pageBottom"/>
            <w:numFmt w:val="decimal"/>
            <w:numRestart w:val="continuous"/>
          </w:footnotePr>
          <w:pgSz w:w="11900" w:h="16840"/>
          <w:pgMar w:top="2857" w:right="1107" w:bottom="2857" w:left="1107" w:header="0" w:footer="3" w:gutter="0"/>
          <w:cols w:space="720"/>
          <w:noEndnote/>
          <w:rtlGutter w:val="0"/>
          <w:docGrid w:linePitch="360"/>
        </w:sectPr>
      </w:pPr>
      <w:hyperlink w:anchor="bookmark679"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4"/>
            <w:szCs w:val="24"/>
          </w:rPr>
          <w:t>77</w:t>
        </w:r>
      </w:hyperlink>
      <w:r>
        <w:fldChar w:fldCharType="end"/>
      </w:r>
    </w:p>
    <w:p>
      <w:pPr>
        <w:pStyle w:val="Style10"/>
        <w:keepNext/>
        <w:keepLines/>
        <w:widowControl w:val="0"/>
        <w:shd w:val="clear" w:color="auto" w:fill="auto"/>
        <w:bidi w:val="0"/>
        <w:spacing w:before="0" w:after="860" w:line="240" w:lineRule="auto"/>
        <w:ind w:left="0" w:right="0" w:firstLine="0"/>
        <w:jc w:val="center"/>
      </w:pPr>
      <w:bookmarkStart w:id="10" w:name="bookmark10"/>
      <w:bookmarkStart w:id="11" w:name="bookmark11"/>
      <w:bookmarkStart w:id="9" w:name="bookmark9"/>
      <w:r>
        <w:rPr>
          <w:color w:val="000000"/>
          <w:spacing w:val="0"/>
          <w:w w:val="100"/>
          <w:position w:val="0"/>
        </w:rPr>
        <w:t>备查文件目录</w:t>
      </w:r>
      <w:bookmarkEnd w:id="10"/>
      <w:bookmarkEnd w:id="11"/>
      <w:bookmarkEnd w:id="9"/>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12" w:name="bookmark12"/>
      <w:r>
        <w:rPr>
          <w:color w:val="000000"/>
          <w:spacing w:val="0"/>
          <w:w w:val="100"/>
          <w:position w:val="0"/>
        </w:rPr>
        <w:t>（</w:t>
      </w:r>
      <w:bookmarkEnd w:id="12"/>
      <w:r>
        <w:rPr>
          <w:color w:val="000000"/>
          <w:spacing w:val="0"/>
          <w:w w:val="100"/>
          <w:position w:val="0"/>
        </w:rPr>
        <w:t>一）</w:t>
        <w:tab/>
        <w:t>载有公司负责人、主管会计工作负责人、会计机构负责人（会计主管人员）签名并盖章的财务报表。</w:t>
      </w:r>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13" w:name="bookmark13"/>
      <w:r>
        <w:rPr>
          <w:color w:val="000000"/>
          <w:spacing w:val="0"/>
          <w:w w:val="100"/>
          <w:position w:val="0"/>
        </w:rPr>
        <w:t>（</w:t>
      </w:r>
      <w:bookmarkEnd w:id="13"/>
      <w:r>
        <w:rPr>
          <w:color w:val="000000"/>
          <w:spacing w:val="0"/>
          <w:w w:val="100"/>
          <w:position w:val="0"/>
        </w:rPr>
        <w:t>二）</w:t>
        <w:tab/>
        <w:t>载有会计师事务所盖章、注册会计师签名并盖章的审计报告原件。</w:t>
      </w:r>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14" w:name="bookmark14"/>
      <w:r>
        <w:rPr>
          <w:color w:val="000000"/>
          <w:spacing w:val="0"/>
          <w:w w:val="100"/>
          <w:position w:val="0"/>
        </w:rPr>
        <w:t>（</w:t>
      </w:r>
      <w:bookmarkEnd w:id="14"/>
      <w:r>
        <w:rPr>
          <w:color w:val="000000"/>
          <w:spacing w:val="0"/>
          <w:w w:val="100"/>
          <w:position w:val="0"/>
        </w:rPr>
        <w:t>三）</w:t>
        <w:tab/>
        <w:t>报告期内在中国证监会指定网站上公开披露过的所有公司文件的正本及公告的原稿。</w:t>
      </w:r>
    </w:p>
    <w:p>
      <w:pPr>
        <w:pStyle w:val="Style18"/>
        <w:keepNext w:val="0"/>
        <w:keepLines w:val="0"/>
        <w:widowControl w:val="0"/>
        <w:shd w:val="clear" w:color="auto" w:fill="auto"/>
        <w:tabs>
          <w:tab w:pos="531" w:val="left"/>
        </w:tabs>
        <w:bidi w:val="0"/>
        <w:spacing w:before="0" w:after="140" w:line="240" w:lineRule="auto"/>
        <w:ind w:left="0" w:right="0" w:firstLine="0"/>
        <w:jc w:val="left"/>
        <w:sectPr>
          <w:footnotePr>
            <w:pos w:val="pageBottom"/>
            <w:numFmt w:val="decimal"/>
            <w:numRestart w:val="continuous"/>
          </w:footnotePr>
          <w:pgSz w:w="11900" w:h="16840"/>
          <w:pgMar w:top="2089" w:right="1107" w:bottom="2089" w:left="1107" w:header="0" w:footer="3" w:gutter="0"/>
          <w:cols w:space="720"/>
          <w:noEndnote/>
          <w:rtlGutter w:val="0"/>
          <w:docGrid w:linePitch="360"/>
        </w:sectPr>
      </w:pPr>
      <w:bookmarkStart w:id="15" w:name="bookmark15"/>
      <w:r>
        <w:rPr>
          <w:color w:val="000000"/>
          <w:spacing w:val="0"/>
          <w:w w:val="100"/>
          <w:position w:val="0"/>
        </w:rPr>
        <w:t>（</w:t>
      </w:r>
      <w:bookmarkEnd w:id="15"/>
      <w:r>
        <w:rPr>
          <w:color w:val="000000"/>
          <w:spacing w:val="0"/>
          <w:w w:val="100"/>
          <w:position w:val="0"/>
        </w:rPr>
        <w:t>四）</w:t>
        <w:tab/>
        <w:t>在其他证券市场公布的年度报告。</w:t>
      </w:r>
    </w:p>
    <w:p>
      <w:pPr>
        <w:pStyle w:val="Style10"/>
        <w:keepNext/>
        <w:keepLines/>
        <w:widowControl w:val="0"/>
        <w:shd w:val="clear" w:color="auto" w:fill="auto"/>
        <w:bidi w:val="0"/>
        <w:spacing w:before="800" w:after="800" w:line="240" w:lineRule="auto"/>
        <w:ind w:left="0" w:right="0" w:firstLine="0"/>
        <w:jc w:val="center"/>
      </w:pPr>
      <w:bookmarkStart w:id="16" w:name="bookmark16"/>
      <w:bookmarkStart w:id="17" w:name="bookmark17"/>
      <w:bookmarkStart w:id="18" w:name="bookmark18"/>
      <w:r>
        <w:rPr>
          <w:color w:val="000000"/>
          <w:spacing w:val="0"/>
          <w:w w:val="100"/>
          <w:position w:val="0"/>
        </w:rPr>
        <w:t>释义</w:t>
      </w:r>
      <w:bookmarkEnd w:id="16"/>
      <w:bookmarkEnd w:id="17"/>
      <w:bookmarkEnd w:id="18"/>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公司或本公司或恒宝股份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恒宝股份有限公司章程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中国证监会或证监会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交易所或深交所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新加坡国际</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恒宝国际有限责任公司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智能系统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江苏恒宝智能系统技术有限公司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云宝金服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云宝金服（北京）科技有限公司</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第二节公司简介和主要财务指标</w:t>
      </w:r>
      <w:bookmarkEnd w:id="19"/>
      <w:bookmarkEnd w:id="20"/>
      <w:bookmarkEnd w:id="21"/>
    </w:p>
    <w:p>
      <w:pPr>
        <w:pStyle w:val="Style23"/>
        <w:keepNext/>
        <w:keepLines/>
        <w:widowControl w:val="0"/>
        <w:shd w:val="clear" w:color="auto" w:fill="auto"/>
        <w:bidi w:val="0"/>
        <w:spacing w:before="0" w:after="300" w:line="240" w:lineRule="auto"/>
        <w:ind w:left="0" w:right="0" w:firstLine="240"/>
        <w:jc w:val="left"/>
      </w:pPr>
      <w:bookmarkStart w:id="22" w:name="bookmark22"/>
      <w:bookmarkStart w:id="23" w:name="bookmark23"/>
      <w:bookmarkStart w:id="24" w:name="bookmark24"/>
      <w:r>
        <w:rPr>
          <w:color w:val="000000"/>
          <w:spacing w:val="0"/>
          <w:w w:val="100"/>
          <w:position w:val="0"/>
          <w:sz w:val="24"/>
          <w:szCs w:val="24"/>
        </w:rPr>
        <w:t>、公司信息</w:t>
      </w:r>
      <w:bookmarkEnd w:id="22"/>
      <w:bookmarkEnd w:id="23"/>
      <w:bookmarkEnd w:id="24"/>
    </w:p>
    <w:tbl>
      <w:tblPr>
        <w:tblOverlap w:val="never"/>
        <w:jc w:val="center"/>
        <w:tblLayout w:type="fixed"/>
      </w:tblPr>
      <w:tblGrid>
        <w:gridCol w:w="2285"/>
        <w:gridCol w:w="729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899" w:val="left"/>
                <w:tab w:pos="5069" w:val="left"/>
              </w:tabs>
              <w:bidi w:val="0"/>
              <w:spacing w:before="0" w:after="0" w:line="240" w:lineRule="auto"/>
              <w:ind w:left="0" w:right="0" w:firstLine="0"/>
              <w:jc w:val="left"/>
            </w:pPr>
            <w:r>
              <w:rPr>
                <w:rFonts w:ascii="SimSun" w:eastAsia="SimSun" w:hAnsi="SimSun" w:cs="SimSun"/>
                <w:color w:val="000000"/>
                <w:spacing w:val="0"/>
                <w:w w:val="100"/>
                <w:position w:val="0"/>
              </w:rPr>
              <w:t>恒宝股份</w:t>
              <w:tab/>
              <w:t>股票代码</w:t>
              <w:tab/>
            </w:r>
            <w:r>
              <w:rPr>
                <w:color w:val="000000"/>
                <w:spacing w:val="0"/>
                <w:w w:val="100"/>
                <w:position w:val="0"/>
              </w:rPr>
              <w:t>002104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恒宝股份</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Hengbao Co.,LTD.</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Hengbao Co.,LTD.</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江苏省丹阳市横塘工业区</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212355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江苏省丹阳市横塘工业区</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212355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"http://www.hengbao.com" </w:instrText>
            </w:r>
            <w:r>
              <w:fldChar w:fldCharType="separate"/>
            </w:r>
            <w:r>
              <w:rPr>
                <w:color w:val="000000"/>
                <w:spacing w:val="0"/>
                <w:w w:val="100"/>
                <w:position w:val="0"/>
              </w:rPr>
              <w:t>http://www.hengbao.com</w:t>
            </w:r>
            <w:r>
              <w:fldChar w:fldCharType="end"/>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"mailto:hengbao@hengbao.com" </w:instrText>
            </w:r>
            <w:r>
              <w:fldChar w:fldCharType="separate"/>
            </w:r>
            <w:r>
              <w:rPr>
                <w:color w:val="000000"/>
                <w:spacing w:val="0"/>
                <w:w w:val="100"/>
                <w:position w:val="0"/>
              </w:rPr>
              <w:t>hengbao@hengbao.com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二</w:t>
      </w:r>
      <w:bookmarkEnd w:id="27"/>
      <w:r>
        <w:rPr>
          <w:color w:val="000000"/>
          <w:spacing w:val="0"/>
          <w:w w:val="100"/>
          <w:position w:val="0"/>
          <w:sz w:val="24"/>
          <w:szCs w:val="24"/>
        </w:rPr>
        <w:t>、联系人和联系方式</w:t>
      </w:r>
      <w:bookmarkEnd w:id="25"/>
      <w:bookmarkEnd w:id="26"/>
      <w:bookmarkEnd w:id="28"/>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陈妹妹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王坚</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江苏省丹阳市横塘工业区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江苏省丹阳市横塘工业区</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0511-86644324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0511-86644324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0511-86644324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0511-86644324</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ir@hengbao. com</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"mailto:ir@hengbao.com" </w:instrText>
            </w:r>
            <w:r>
              <w:fldChar w:fldCharType="separate"/>
            </w:r>
            <w:r>
              <w:rPr>
                <w:color w:val="000000"/>
                <w:spacing w:val="0"/>
                <w:w w:val="100"/>
                <w:position w:val="0"/>
              </w:rPr>
              <w:t>ir@hengbao.com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三</w:t>
      </w:r>
      <w:bookmarkEnd w:id="31"/>
      <w:r>
        <w:rPr>
          <w:color w:val="000000"/>
          <w:spacing w:val="0"/>
          <w:w w:val="100"/>
          <w:position w:val="0"/>
          <w:sz w:val="24"/>
          <w:szCs w:val="24"/>
        </w:rPr>
        <w:t>、信息披露及备置地点</w:t>
      </w:r>
      <w:bookmarkEnd w:id="29"/>
      <w:bookmarkEnd w:id="30"/>
      <w:bookmarkEnd w:id="32"/>
    </w:p>
    <w:tbl>
      <w:tblPr>
        <w:tblOverlap w:val="never"/>
        <w:jc w:val="center"/>
        <w:tblLayout w:type="fixed"/>
      </w:tblPr>
      <w:tblGrid>
        <w:gridCol w:w="3994"/>
        <w:gridCol w:w="55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《证券时报》、《中国证券报》、《上海证券报》</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深圳证券交易所、江苏省丹阳市横塘工业区公司证券事务部</w:t>
            </w:r>
          </w:p>
        </w:tc>
      </w:tr>
    </w:tbl>
    <w:p>
      <w:pPr>
        <w:spacing w:lineRule="exact" w:line="1"/>
        <w:rPr>
          <w:sz w:val="2"/>
          <w:szCs w:val="2"/>
        </w:rPr>
      </w:pPr>
      <w:r>
        <w:br w:type="page"/>
      </w:r>
    </w:p>
    <w:p>
      <w:pPr>
        <w:pStyle w:val="Style23"/>
        <w:keepNext/>
        <w:keepLines/>
        <w:widowControl w:val="0"/>
        <w:shd w:val="clear" w:color="auto" w:fill="auto"/>
        <w:bidi w:val="0"/>
        <w:spacing w:before="0" w:after="32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sz w:val="24"/>
          <w:szCs w:val="24"/>
        </w:rPr>
        <w:t>四</w:t>
      </w:r>
      <w:bookmarkEnd w:id="35"/>
      <w:r>
        <w:rPr>
          <w:color w:val="000000"/>
          <w:spacing w:val="0"/>
          <w:w w:val="100"/>
          <w:position w:val="0"/>
          <w:sz w:val="24"/>
          <w:szCs w:val="24"/>
        </w:rPr>
        <w:t>、注册变更情况</w:t>
      </w:r>
      <w:bookmarkEnd w:id="33"/>
      <w:bookmarkEnd w:id="34"/>
      <w:bookmarkEnd w:id="36"/>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91320000253710940L</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五</w:t>
      </w:r>
      <w:bookmarkEnd w:id="39"/>
      <w:r>
        <w:rPr>
          <w:color w:val="000000"/>
          <w:spacing w:val="0"/>
          <w:w w:val="100"/>
          <w:position w:val="0"/>
          <w:sz w:val="24"/>
          <w:szCs w:val="24"/>
        </w:rPr>
        <w:t>、其他有关资料</w:t>
      </w:r>
      <w:bookmarkEnd w:id="37"/>
      <w:bookmarkEnd w:id="38"/>
      <w:bookmarkEnd w:id="4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中兴华会计师事务所（特殊普通合伙）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南京市建邺区嘉陵江东街</w:t>
            </w:r>
            <w:r>
              <w:rPr>
                <w:color w:val="000000"/>
                <w:spacing w:val="0"/>
                <w:w w:val="100"/>
                <w:position w:val="0"/>
              </w:rPr>
              <w:t>50</w:t>
            </w:r>
            <w:r>
              <w:rPr>
                <w:rFonts w:ascii="SimSun" w:eastAsia="SimSun" w:hAnsi="SimSun" w:cs="SimSun"/>
                <w:color w:val="000000"/>
                <w:spacing w:val="0"/>
                <w:w w:val="100"/>
                <w:position w:val="0"/>
              </w:rPr>
              <w:t>号康缘智汇港</w:t>
            </w:r>
            <w:r>
              <w:rPr>
                <w:color w:val="000000"/>
                <w:spacing w:val="0"/>
                <w:w w:val="100"/>
                <w:position w:val="0"/>
              </w:rPr>
              <w:t>19</w:t>
            </w:r>
            <w:r>
              <w:rPr>
                <w:rFonts w:ascii="SimSun" w:eastAsia="SimSun" w:hAnsi="SimSun" w:cs="SimSun"/>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汪军陈桂春</w:t>
            </w:r>
          </w:p>
        </w:tc>
      </w:tr>
    </w:tbl>
    <w:p>
      <w:pPr>
        <w:pStyle w:val="Style18"/>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公司聘请的报告期内履行持续督导职责的保荐机构 口适用”不适用</w:t>
      </w:r>
    </w:p>
    <w:p>
      <w:pPr>
        <w:pStyle w:val="Style18"/>
        <w:keepNext w:val="0"/>
        <w:keepLines w:val="0"/>
        <w:widowControl w:val="0"/>
        <w:shd w:val="clear" w:color="auto" w:fill="auto"/>
        <w:bidi w:val="0"/>
        <w:spacing w:before="0" w:after="360" w:line="346" w:lineRule="exact"/>
        <w:ind w:left="0" w:right="0" w:firstLine="0"/>
        <w:jc w:val="both"/>
      </w:pPr>
      <w:r>
        <w:rPr>
          <w:color w:val="000000"/>
          <w:spacing w:val="0"/>
          <w:w w:val="100"/>
          <w:position w:val="0"/>
        </w:rPr>
        <w:t>公司聘请的报告期内履行持续督导职责的财务顾问 口适用”不适用</w:t>
      </w:r>
    </w:p>
    <w:p>
      <w:pPr>
        <w:pStyle w:val="Style23"/>
        <w:keepNext/>
        <w:keepLines/>
        <w:widowControl w:val="0"/>
        <w:shd w:val="clear" w:color="auto" w:fill="auto"/>
        <w:bidi w:val="0"/>
        <w:spacing w:before="0" w:after="22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六</w:t>
      </w:r>
      <w:bookmarkEnd w:id="43"/>
      <w:r>
        <w:rPr>
          <w:color w:val="000000"/>
          <w:spacing w:val="0"/>
          <w:w w:val="100"/>
          <w:position w:val="0"/>
          <w:sz w:val="24"/>
          <w:szCs w:val="24"/>
        </w:rPr>
        <w:t>、主要会计数据和财务指标</w:t>
      </w:r>
      <w:bookmarkEnd w:id="41"/>
      <w:bookmarkEnd w:id="42"/>
      <w:bookmarkEnd w:id="44"/>
    </w:p>
    <w:p>
      <w:pPr>
        <w:pStyle w:val="Style18"/>
        <w:keepNext w:val="0"/>
        <w:keepLines w:val="0"/>
        <w:widowControl w:val="0"/>
        <w:shd w:val="clear" w:color="auto" w:fill="auto"/>
        <w:bidi w:val="0"/>
        <w:spacing w:before="0" w:after="80" w:line="350" w:lineRule="exact"/>
        <w:ind w:left="0" w:right="0" w:firstLine="0"/>
        <w:jc w:val="both"/>
      </w:pPr>
      <w:r>
        <w:rPr>
          <w:color w:val="000000"/>
          <w:spacing w:val="0"/>
          <w:w w:val="100"/>
          <w:position w:val="0"/>
        </w:rPr>
        <w:t>公司是否需追溯调整或重述以前年度会计数据 口是"否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56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520"/>
              <w:jc w:val="left"/>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959,885,268.79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1,052,163,738.15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1,535,467,255.35</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53,082,673.76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1,724,407.34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2,978.31%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86,769,193.40</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14,765,367.88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-28,655,807.70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75,470,025.95</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62,323,335.02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515,155,453.08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-44,451,823.26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0.0025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2,948.00%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0.1238</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0.0025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2,948.00%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0.1238</w:t>
            </w: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1120" w:right="0" w:firstLine="0"/>
              <w:jc w:val="left"/>
            </w:pPr>
            <w:r>
              <w:rPr>
                <w:color w:val="000000"/>
                <w:spacing w:val="0"/>
                <w:w w:val="100"/>
                <w:position w:val="0"/>
              </w:rPr>
              <w:t>2.75%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1120" w:right="0" w:firstLine="0"/>
              <w:jc w:val="left"/>
            </w:pPr>
            <w:r>
              <w:rPr>
                <w:color w:val="000000"/>
                <w:spacing w:val="0"/>
                <w:w w:val="100"/>
                <w:position w:val="0"/>
              </w:rPr>
              <w:t>0.09%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2.66%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1120" w:right="0" w:firstLine="0"/>
              <w:jc w:val="left"/>
            </w:pPr>
            <w:r>
              <w:rPr>
                <w:color w:val="000000"/>
                <w:spacing w:val="0"/>
                <w:w w:val="100"/>
                <w:position w:val="0"/>
              </w:rPr>
              <w:t>4.54%</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2021</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2,181,969,430.44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2,362,507,462.60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2,349,715,249.41</w:t>
            </w:r>
          </w:p>
        </w:tc>
      </w:tr>
      <w:tr>
        <w:trPr>
          <w:trHeight w:val="720"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1,844,363,713.35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1,929,301,833.83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1,928,289,808.98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定性</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23"/>
        <w:keepNext/>
        <w:keepLines/>
        <w:widowControl w:val="0"/>
        <w:shd w:val="clear" w:color="auto" w:fill="auto"/>
        <w:tabs>
          <w:tab w:pos="526" w:val="left"/>
        </w:tabs>
        <w:bidi w:val="0"/>
        <w:spacing w:before="0" w:after="3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七</w:t>
      </w:r>
      <w:bookmarkEnd w:id="47"/>
      <w:r>
        <w:rPr>
          <w:color w:val="000000"/>
          <w:spacing w:val="0"/>
          <w:w w:val="100"/>
          <w:position w:val="0"/>
          <w:sz w:val="24"/>
          <w:szCs w:val="24"/>
        </w:rPr>
        <w:t>、</w:t>
        <w:tab/>
        <w:t>境内外会计准则下会计数据差异</w:t>
      </w:r>
      <w:bookmarkEnd w:id="45"/>
      <w:bookmarkEnd w:id="46"/>
      <w:bookmarkEnd w:id="48"/>
    </w:p>
    <w:p>
      <w:pPr>
        <w:pStyle w:val="Style27"/>
        <w:keepNext/>
        <w:keepLines/>
        <w:widowControl w:val="0"/>
        <w:shd w:val="clear" w:color="auto" w:fill="auto"/>
        <w:tabs>
          <w:tab w:pos="407" w:val="left"/>
        </w:tabs>
        <w:bidi w:val="0"/>
        <w:spacing w:before="0" w:line="240" w:lineRule="auto"/>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1</w:t>
      </w:r>
      <w:bookmarkEnd w:id="51"/>
      <w:r>
        <w:rPr>
          <w:color w:val="000000"/>
          <w:spacing w:val="0"/>
          <w:w w:val="100"/>
          <w:position w:val="0"/>
        </w:rPr>
        <w:t>、</w:t>
        <w:tab/>
        <w:t>同时按照国际会计准则与按照中国会计准则披露的财务报告中净利润和净资产差异情况</w:t>
      </w:r>
      <w:bookmarkEnd w:id="49"/>
      <w:bookmarkEnd w:id="50"/>
      <w:bookmarkEnd w:id="52"/>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07" w:val="left"/>
        </w:tabs>
        <w:bidi w:val="0"/>
        <w:spacing w:before="0" w:line="240" w:lineRule="auto"/>
        <w:ind w:left="0" w:right="0" w:firstLine="0"/>
        <w:jc w:val="left"/>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2</w:t>
      </w:r>
      <w:bookmarkEnd w:id="55"/>
      <w:r>
        <w:rPr>
          <w:color w:val="000000"/>
          <w:spacing w:val="0"/>
          <w:w w:val="100"/>
          <w:position w:val="0"/>
        </w:rPr>
        <w:t>、</w:t>
        <w:tab/>
        <w:t>同时按照境外会计准则与按照中国会计准则披露的财务报告中净利润和净资产差异情况</w:t>
      </w:r>
      <w:bookmarkEnd w:id="53"/>
      <w:bookmarkEnd w:id="54"/>
      <w:bookmarkEnd w:id="56"/>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6" w:val="left"/>
        </w:tabs>
        <w:bidi w:val="0"/>
        <w:spacing w:before="0" w:after="36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八</w:t>
      </w:r>
      <w:bookmarkEnd w:id="59"/>
      <w:r>
        <w:rPr>
          <w:color w:val="000000"/>
          <w:spacing w:val="0"/>
          <w:w w:val="100"/>
          <w:position w:val="0"/>
          <w:sz w:val="24"/>
          <w:szCs w:val="24"/>
        </w:rPr>
        <w:t>、</w:t>
        <w:tab/>
        <w:t>分季度主要财务指标</w:t>
      </w:r>
      <w:bookmarkEnd w:id="57"/>
      <w:bookmarkEnd w:id="58"/>
      <w:bookmarkEnd w:id="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both"/>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196,699,969.25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223,835,417.84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239,136,951.47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300,212,930.23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2,355,480.28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12,149,819.74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18,698,066.56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19,879,307.18</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-4,288,002.64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1,791,594.11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10,303,808.01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6,957,968.40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-84,153,751.42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-61,243,147.39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40,334,575.22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167,385,658.61</w:t>
            </w:r>
          </w:p>
        </w:tc>
      </w:tr>
    </w:tbl>
    <w:p>
      <w:pPr>
        <w:pStyle w:val="Style1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23"/>
        <w:keepNext/>
        <w:keepLines/>
        <w:widowControl w:val="0"/>
        <w:shd w:val="clear" w:color="auto" w:fill="auto"/>
        <w:bidi w:val="0"/>
        <w:spacing w:before="0" w:after="36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九</w:t>
      </w:r>
      <w:bookmarkEnd w:id="63"/>
      <w:r>
        <w:rPr>
          <w:color w:val="000000"/>
          <w:spacing w:val="0"/>
          <w:w w:val="100"/>
          <w:position w:val="0"/>
          <w:sz w:val="24"/>
          <w:szCs w:val="24"/>
        </w:rPr>
        <w:t>、非经常性损益项目及金额</w:t>
      </w:r>
      <w:bookmarkEnd w:id="61"/>
      <w:bookmarkEnd w:id="62"/>
      <w:bookmarkEnd w:id="64"/>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2021</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41,295.53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-1,032,868.81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-577,486.26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10,815,358.78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10,239,371.19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6,066,506.77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24,059,458.84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19,279,626.12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10,740,380.01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98"/>
        <w:gridCol w:w="1522"/>
        <w:gridCol w:w="1522"/>
        <w:gridCol w:w="1522"/>
        <w:gridCol w:w="1718"/>
      </w:tblGrid>
      <w:tr>
        <w:trPr>
          <w:trHeight w:val="196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9,669,239.13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8,360,901.05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727,760.99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2,463,693.75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-161,362.36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6,995,807.39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5,784,369.84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2,067,154.54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3,146,138.42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2,701,716.17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38,317,305.88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30,380,215.04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11,299,167.45</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24" w:bottom="1451" w:left="1095"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540" w:after="540" w:line="240" w:lineRule="auto"/>
        <w:ind w:left="0" w:right="0" w:firstLine="0"/>
        <w:jc w:val="center"/>
      </w:pPr>
      <w:bookmarkStart w:id="65" w:name="bookmark65"/>
      <w:bookmarkStart w:id="66" w:name="bookmark66"/>
      <w:bookmarkStart w:id="67" w:name="bookmark67"/>
      <w:r>
        <w:rPr>
          <w:color w:val="000000"/>
          <w:spacing w:val="0"/>
          <w:w w:val="100"/>
          <w:position w:val="0"/>
        </w:rPr>
        <w:t>第三节管理层讨论与分析</w:t>
      </w:r>
      <w:bookmarkEnd w:id="65"/>
      <w:bookmarkEnd w:id="66"/>
      <w:bookmarkEnd w:id="67"/>
    </w:p>
    <w:p>
      <w:pPr>
        <w:pStyle w:val="Style23"/>
        <w:keepNext/>
        <w:keepLines/>
        <w:widowControl w:val="0"/>
        <w:shd w:val="clear" w:color="auto" w:fill="auto"/>
        <w:bidi w:val="0"/>
        <w:spacing w:before="0" w:after="360" w:line="240" w:lineRule="auto"/>
        <w:ind w:left="0" w:right="0" w:firstLine="0"/>
        <w:jc w:val="both"/>
      </w:pPr>
      <w:bookmarkStart w:id="68" w:name="bookmark68"/>
      <w:bookmarkStart w:id="69" w:name="bookmark69"/>
      <w:bookmarkStart w:id="70" w:name="bookmark70"/>
      <w:bookmarkStart w:id="71" w:name="bookmark71"/>
      <w:r>
        <w:rPr>
          <w:color w:val="000000"/>
          <w:spacing w:val="0"/>
          <w:w w:val="100"/>
          <w:position w:val="0"/>
          <w:sz w:val="24"/>
          <w:szCs w:val="24"/>
        </w:rPr>
        <w:t>一</w:t>
      </w:r>
      <w:bookmarkEnd w:id="70"/>
      <w:r>
        <w:rPr>
          <w:color w:val="000000"/>
          <w:spacing w:val="0"/>
          <w:w w:val="100"/>
          <w:position w:val="0"/>
          <w:sz w:val="24"/>
          <w:szCs w:val="24"/>
        </w:rPr>
        <w:t>、报告期内公司所处的行业情况</w:t>
      </w:r>
      <w:bookmarkEnd w:id="68"/>
      <w:bookmarkEnd w:id="69"/>
      <w:bookmarkEnd w:id="71"/>
    </w:p>
    <w:p>
      <w:pPr>
        <w:pStyle w:val="Style18"/>
        <w:keepNext w:val="0"/>
        <w:keepLines w:val="0"/>
        <w:widowControl w:val="0"/>
        <w:shd w:val="clear" w:color="auto" w:fill="auto"/>
        <w:tabs>
          <w:tab w:pos="284" w:val="left"/>
        </w:tabs>
        <w:bidi w:val="0"/>
        <w:spacing w:before="0" w:after="0"/>
        <w:ind w:left="0" w:right="0" w:firstLine="0"/>
        <w:jc w:val="both"/>
      </w:pPr>
      <w:bookmarkStart w:id="72" w:name="bookmark72"/>
      <w:r>
        <w:rPr>
          <w:rFonts w:ascii="Times New Roman" w:eastAsia="Times New Roman" w:hAnsi="Times New Roman" w:cs="Times New Roman"/>
          <w:b/>
          <w:bCs/>
          <w:color w:val="000000"/>
          <w:spacing w:val="0"/>
          <w:w w:val="100"/>
          <w:position w:val="0"/>
        </w:rPr>
        <w:t>1</w:t>
      </w:r>
      <w:bookmarkEnd w:id="72"/>
      <w:r>
        <w:rPr>
          <w:b/>
          <w:bCs/>
          <w:color w:val="000000"/>
          <w:spacing w:val="0"/>
          <w:w w:val="100"/>
          <w:position w:val="0"/>
        </w:rPr>
        <w:t>、</w:t>
        <w:tab/>
        <w:t>数字人民币业务</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2021年7月，中国人民银行数字人民币研发工作组发布了《中国数字人民币的研发进展白皮书》，根据白皮书，目前我国 数字人民币的研发试验已基本完成顶层设计、功能研发、系统调试等工作，正遵循稳步、安全、可控、创新、实用的原则， 选择部分有代表性的地区开展试点测试。2022年1月2日，国务院颁发《</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数字经济发展规划》，规划中指出大力推动 大数据、人工智能、区块链等技术在银行、证券、保险等领域的深化应用，发展智能支付、智慧网点、数字化融资等新模式， 稳妥推进数字人民币研发，有序开展可控试点。2022年1月17日《人民日报海外版》刊文《数字人民币是中国数字经济时代</w:t>
      </w:r>
      <w:r>
        <w:rPr>
          <w:rFonts w:ascii="Times New Roman" w:eastAsia="Times New Roman" w:hAnsi="Times New Roman" w:cs="Times New Roman"/>
          <w:color w:val="000000"/>
          <w:spacing w:val="0"/>
          <w:w w:val="100"/>
          <w:position w:val="0"/>
        </w:rPr>
        <w:t>“</w:t>
      </w:r>
      <w:r>
        <w:rPr>
          <w:color w:val="000000"/>
          <w:spacing w:val="0"/>
          <w:w w:val="100"/>
          <w:position w:val="0"/>
        </w:rPr>
        <w:t>新 基建</w:t>
      </w:r>
      <w:r>
        <w:rPr>
          <w:rFonts w:ascii="Times New Roman" w:eastAsia="Times New Roman" w:hAnsi="Times New Roman" w:cs="Times New Roman"/>
          <w:color w:val="000000"/>
          <w:spacing w:val="0"/>
          <w:w w:val="100"/>
          <w:position w:val="0"/>
        </w:rPr>
        <w:t>”</w:t>
      </w:r>
      <w:r>
        <w:rPr>
          <w:color w:val="000000"/>
          <w:spacing w:val="0"/>
          <w:w w:val="100"/>
          <w:position w:val="0"/>
        </w:rPr>
        <w:t>》，指出数字人民币是中国数字经济时代的</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，数字人民币将会重构中国货币与支付体系，其意义有以下几点： 一是提供币值稳定、无限法偿的数字货币。二是增强货币与支付体系公平和普惠性。三是更好地维护金融稳定和防范金融风 险，提高信息和金融安全。</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当前，我国数字人民币已基本完成顶层设计、功能研发、系统调试等工作，并已先后在深圳、苏州、雄安、成都、上海、 海南、长沙、西安、青岛、大连等地和2022年北京冬奥会场景开展数字人民币试点。截至2021年12月31日，数字人民币试点 场景已超过</w:t>
      </w:r>
      <w:r>
        <w:rPr>
          <w:color w:val="000000"/>
          <w:spacing w:val="0"/>
          <w:w w:val="100"/>
          <w:position w:val="0"/>
        </w:rPr>
        <w:t>808.51</w:t>
      </w:r>
      <w:r>
        <w:rPr>
          <w:color w:val="000000"/>
          <w:spacing w:val="0"/>
          <w:w w:val="100"/>
          <w:position w:val="0"/>
        </w:rPr>
        <w:t>万个，累计开立个人钱包</w:t>
      </w:r>
      <w:r>
        <w:rPr>
          <w:color w:val="000000"/>
          <w:spacing w:val="0"/>
          <w:w w:val="100"/>
          <w:position w:val="0"/>
        </w:rPr>
        <w:t>2.61</w:t>
      </w:r>
      <w:r>
        <w:rPr>
          <w:color w:val="000000"/>
          <w:spacing w:val="0"/>
          <w:w w:val="100"/>
          <w:position w:val="0"/>
        </w:rPr>
        <w:t>亿个，交易金额</w:t>
      </w:r>
      <w:r>
        <w:rPr>
          <w:color w:val="000000"/>
          <w:spacing w:val="0"/>
          <w:w w:val="100"/>
          <w:position w:val="0"/>
        </w:rPr>
        <w:t>875.65</w:t>
      </w:r>
      <w:r>
        <w:rPr>
          <w:color w:val="000000"/>
          <w:spacing w:val="0"/>
          <w:w w:val="100"/>
          <w:position w:val="0"/>
        </w:rPr>
        <w:t>亿元。覆盖生活缴费、餐饮服务、交通出行、购物消 费、政务服务等领域。2022年1月4日，数字人民币</w:t>
      </w:r>
      <w:r>
        <w:rPr>
          <w:color w:val="000000"/>
          <w:spacing w:val="0"/>
          <w:w w:val="100"/>
          <w:position w:val="0"/>
        </w:rPr>
        <w:t>App</w:t>
      </w:r>
      <w:r>
        <w:rPr>
          <w:color w:val="000000"/>
          <w:spacing w:val="0"/>
          <w:w w:val="100"/>
          <w:position w:val="0"/>
        </w:rPr>
        <w:t>（试点版）在苹果</w:t>
      </w:r>
      <w:r>
        <w:rPr>
          <w:color w:val="000000"/>
          <w:spacing w:val="0"/>
          <w:w w:val="100"/>
          <w:position w:val="0"/>
        </w:rPr>
        <w:t>AppStore、</w:t>
      </w:r>
      <w:r>
        <w:rPr>
          <w:color w:val="000000"/>
          <w:spacing w:val="0"/>
          <w:w w:val="100"/>
          <w:position w:val="0"/>
        </w:rPr>
        <w:t>华为应用市场等公开上架发布，开启了 数字人民币大规模公测的序幕，也意味着数字人民币的应用推广步入快车道。2022年4月，第三批数字人民币试点城市正式 公布，北京及张家口全城、天津、重庆、广州、福州、厦门及第19届亚运会所在的杭州、宁波、温州、金华、绍兴、湖州等 地将纳入数字人民币试点范围，试点又迎来一个新阶段。数字人民币的加速落地将推动包括芯片和基础技术行业，银行</w:t>
      </w:r>
      <w:r>
        <w:rPr>
          <w:color w:val="000000"/>
          <w:spacing w:val="0"/>
          <w:w w:val="100"/>
          <w:position w:val="0"/>
        </w:rPr>
        <w:t xml:space="preserve">IT </w:t>
      </w:r>
      <w:r>
        <w:rPr>
          <w:color w:val="000000"/>
          <w:spacing w:val="0"/>
          <w:w w:val="100"/>
          <w:position w:val="0"/>
        </w:rPr>
        <w:t>行业-包括数字加密和网络安全、银行核心系统、银行</w:t>
      </w:r>
      <w:r>
        <w:rPr>
          <w:color w:val="000000"/>
          <w:spacing w:val="0"/>
          <w:w w:val="100"/>
          <w:position w:val="0"/>
        </w:rPr>
        <w:t>IT</w:t>
      </w:r>
      <w:r>
        <w:rPr>
          <w:color w:val="000000"/>
          <w:spacing w:val="0"/>
          <w:w w:val="100"/>
          <w:position w:val="0"/>
        </w:rPr>
        <w:t>系统，数字人民币钱包，支付终端行业-包括</w:t>
      </w:r>
      <w:r>
        <w:rPr>
          <w:color w:val="000000"/>
          <w:spacing w:val="0"/>
          <w:w w:val="100"/>
          <w:position w:val="0"/>
        </w:rPr>
        <w:t>ATM</w:t>
      </w:r>
      <w:r>
        <w:rPr>
          <w:color w:val="000000"/>
          <w:spacing w:val="0"/>
          <w:w w:val="100"/>
          <w:position w:val="0"/>
        </w:rPr>
        <w:t>和智能</w:t>
      </w:r>
      <w:r>
        <w:rPr>
          <w:color w:val="000000"/>
          <w:spacing w:val="0"/>
          <w:w w:val="100"/>
          <w:position w:val="0"/>
        </w:rPr>
        <w:t>POS</w:t>
      </w:r>
      <w:r>
        <w:rPr>
          <w:color w:val="000000"/>
          <w:spacing w:val="0"/>
          <w:w w:val="100"/>
          <w:position w:val="0"/>
        </w:rPr>
        <w:t>机等数字 人民币上下游产业链的高速发展。《央行数字产业及产业规模研究报告》显示，数字人民币将为相关行业带来超过百万亿元 的市场增量，并将在近两年进行释放。</w:t>
      </w:r>
    </w:p>
    <w:p>
      <w:pPr>
        <w:pStyle w:val="Style18"/>
        <w:keepNext w:val="0"/>
        <w:keepLines w:val="0"/>
        <w:widowControl w:val="0"/>
        <w:shd w:val="clear" w:color="auto" w:fill="auto"/>
        <w:bidi w:val="0"/>
        <w:spacing w:before="0" w:after="480" w:line="312" w:lineRule="exact"/>
        <w:ind w:left="0" w:right="0"/>
        <w:jc w:val="both"/>
      </w:pPr>
      <w:r>
        <w:rPr>
          <w:color w:val="000000"/>
          <w:spacing w:val="0"/>
          <w:w w:val="100"/>
          <w:position w:val="0"/>
        </w:rPr>
        <w:t>作为首批参与</w:t>
      </w:r>
      <w:r>
        <w:rPr>
          <w:rFonts w:ascii="Times New Roman" w:eastAsia="Times New Roman" w:hAnsi="Times New Roman" w:cs="Times New Roman"/>
          <w:color w:val="000000"/>
          <w:spacing w:val="0"/>
          <w:w w:val="100"/>
          <w:position w:val="0"/>
        </w:rPr>
        <w:t>“</w:t>
      </w:r>
      <w:r>
        <w:rPr>
          <w:color w:val="000000"/>
          <w:spacing w:val="0"/>
          <w:w w:val="100"/>
          <w:position w:val="0"/>
        </w:rPr>
        <w:t>数字人民币试点</w:t>
      </w:r>
      <w:r>
        <w:rPr>
          <w:rFonts w:ascii="Times New Roman" w:eastAsia="Times New Roman" w:hAnsi="Times New Roman" w:cs="Times New Roman"/>
          <w:color w:val="000000"/>
          <w:spacing w:val="0"/>
          <w:w w:val="100"/>
          <w:position w:val="0"/>
        </w:rPr>
        <w:t>”</w:t>
      </w:r>
      <w:r>
        <w:rPr>
          <w:color w:val="000000"/>
          <w:spacing w:val="0"/>
          <w:w w:val="100"/>
          <w:position w:val="0"/>
        </w:rPr>
        <w:t>工作的金融科技公司之一，公司充分利用公司多年在金融、通信、政务、交通领域累积 的服务经验、渠道资源等优势，建立了完善的数字人民币产品及服务体系，打造了包含发行终端、受理终端、数币硬件钱包 等在内的数字人民币全系列产品及解决方案，助力央行数字人民币推广和落地，赋能数字经济。报告期内，公司携数字人民 币全系列产品和解决方案亮相由商务部和北京市人民政府共同主办的中国国际服务贸易交易会金融服务专题展，并与多家银 行客户共同探索数字人民币应用场景落地，实现了数字人民币在零售、交通出行、公共服务、数字旅游、数字园区、冬奥会 等多个应用场景的有益探索及拓展，实现了少量供货，为公司数字人民币业务的开拓奠定了基础。</w:t>
      </w:r>
    </w:p>
    <w:p>
      <w:pPr>
        <w:pStyle w:val="Style18"/>
        <w:keepNext w:val="0"/>
        <w:keepLines w:val="0"/>
        <w:widowControl w:val="0"/>
        <w:shd w:val="clear" w:color="auto" w:fill="auto"/>
        <w:tabs>
          <w:tab w:pos="298" w:val="left"/>
        </w:tabs>
        <w:bidi w:val="0"/>
        <w:spacing w:before="0" w:after="0"/>
        <w:ind w:left="0" w:right="0" w:firstLine="0"/>
        <w:jc w:val="both"/>
      </w:pPr>
      <w:bookmarkStart w:id="73" w:name="bookmark73"/>
      <w:r>
        <w:rPr>
          <w:rFonts w:ascii="Times New Roman" w:eastAsia="Times New Roman" w:hAnsi="Times New Roman" w:cs="Times New Roman"/>
          <w:b/>
          <w:bCs/>
          <w:color w:val="000000"/>
          <w:spacing w:val="0"/>
          <w:w w:val="100"/>
          <w:position w:val="0"/>
        </w:rPr>
        <w:t>2</w:t>
      </w:r>
      <w:bookmarkEnd w:id="73"/>
      <w:r>
        <w:rPr>
          <w:b/>
          <w:bCs/>
          <w:color w:val="000000"/>
          <w:spacing w:val="0"/>
          <w:w w:val="100"/>
          <w:position w:val="0"/>
        </w:rPr>
        <w:t>、</w:t>
        <w:tab/>
        <w:t>电子身份证业务</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数字经济正在逐渐成形，数字政府建设将与数字经济并驾齐驱，为行业提供一个长期迭代创新发展的风口期。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日，国务院颁发《</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数字经济发展规划》指出要建立健全政务数据共享协调机制，加快数字身份统一认证和电子 证照、电子签章、电子公文等互信互认</w:t>
      </w:r>
      <w:r>
        <w:rPr>
          <w:color w:val="000000"/>
          <w:spacing w:val="0"/>
          <w:w w:val="100"/>
          <w:position w:val="0"/>
        </w:rPr>
        <w:t xml:space="preserve">o </w:t>
      </w:r>
      <w:r>
        <w:rPr>
          <w:rFonts w:ascii="Times New Roman" w:eastAsia="Times New Roman" w:hAnsi="Times New Roman" w:cs="Times New Roman"/>
          <w:color w:val="000000"/>
          <w:spacing w:val="0"/>
          <w:w w:val="100"/>
          <w:position w:val="0"/>
        </w:rPr>
        <w:t>2022</w:t>
      </w:r>
      <w:r>
        <w:rPr>
          <w:color w:val="000000"/>
          <w:spacing w:val="0"/>
          <w:w w:val="100"/>
          <w:position w:val="0"/>
        </w:rPr>
        <w:t>年全国两会期间，国务院总理李克强表示，今年要加强数字中国建设整体布局， 建设数字信息基础设施；逐步构建全国一体化大数据中心体系，拖进</w:t>
      </w:r>
      <w:r>
        <w:rPr>
          <w:color w:val="000000"/>
          <w:spacing w:val="0"/>
          <w:w w:val="100"/>
          <w:position w:val="0"/>
        </w:rPr>
        <w:t>5G</w:t>
      </w:r>
      <w:r>
        <w:rPr>
          <w:color w:val="000000"/>
          <w:spacing w:val="0"/>
          <w:w w:val="100"/>
          <w:position w:val="0"/>
        </w:rPr>
        <w:t>规模化应用，发展智慧城市，培育壮大人工智能等数 字产业；完善书记经济治理，强化网络安全、数据安全和个人信息保护，并在会后的记者会上指出，基本民生和日常生活息 息相连，我们今年要实施一项政策，就是把人们常用的身份证电子化。</w:t>
      </w:r>
    </w:p>
    <w:p>
      <w:pPr>
        <w:pStyle w:val="Style18"/>
        <w:keepNext w:val="0"/>
        <w:keepLines w:val="0"/>
        <w:widowControl w:val="0"/>
        <w:shd w:val="clear" w:color="auto" w:fill="auto"/>
        <w:bidi w:val="0"/>
        <w:spacing w:before="0" w:after="180" w:line="319" w:lineRule="exact"/>
        <w:ind w:left="0" w:right="0"/>
        <w:jc w:val="both"/>
      </w:pPr>
      <w:r>
        <w:rPr>
          <w:color w:val="000000"/>
          <w:spacing w:val="0"/>
          <w:w w:val="100"/>
          <w:position w:val="0"/>
        </w:rPr>
        <w:t>公司在电子身份证业务领域进行了探索及布局，目前已取得公安部三所颁发的</w:t>
      </w:r>
      <w:r>
        <w:rPr>
          <w:rFonts w:ascii="Times New Roman" w:eastAsia="Times New Roman" w:hAnsi="Times New Roman" w:cs="Times New Roman"/>
          <w:color w:val="000000"/>
          <w:spacing w:val="0"/>
          <w:w w:val="100"/>
          <w:position w:val="0"/>
        </w:rPr>
        <w:t>eID</w:t>
      </w:r>
      <w:r>
        <w:rPr>
          <w:color w:val="000000"/>
          <w:spacing w:val="0"/>
          <w:w w:val="100"/>
          <w:position w:val="0"/>
        </w:rPr>
        <w:t>个人化定点单位资质证书。未来公司 将加大在网络空间安全、新型智慧城市、政务数字化、数字经济治理、数据安全和个人化信息安全领域的布局及投入，助力 现代化社会治理和网络空间安全，助力数字中国建设。</w:t>
      </w:r>
    </w:p>
    <w:p>
      <w:pPr>
        <w:pStyle w:val="Style18"/>
        <w:keepNext w:val="0"/>
        <w:keepLines w:val="0"/>
        <w:widowControl w:val="0"/>
        <w:shd w:val="clear" w:color="auto" w:fill="auto"/>
        <w:bidi w:val="0"/>
        <w:spacing w:before="0" w:after="40" w:line="313" w:lineRule="exact"/>
        <w:ind w:left="0" w:right="0" w:firstLine="0"/>
        <w:jc w:val="both"/>
      </w:pPr>
      <w:bookmarkStart w:id="74" w:name="bookmark74"/>
      <w:r>
        <w:rPr>
          <w:rFonts w:ascii="Times New Roman" w:eastAsia="Times New Roman" w:hAnsi="Times New Roman" w:cs="Times New Roman"/>
          <w:b/>
          <w:bCs/>
          <w:color w:val="000000"/>
          <w:spacing w:val="0"/>
          <w:w w:val="100"/>
          <w:position w:val="0"/>
        </w:rPr>
        <w:t>3</w:t>
      </w:r>
      <w:bookmarkEnd w:id="74"/>
      <w:r>
        <w:rPr>
          <w:b/>
          <w:bCs/>
          <w:color w:val="000000"/>
          <w:spacing w:val="0"/>
          <w:w w:val="100"/>
          <w:position w:val="0"/>
        </w:rPr>
        <w:t>、社会保障业务</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稳步推进各项社会保障制度改革，完善社会保障体系是践行中国特色社会主义，实现共同富裕的重要保障，探索以社会 保障卡为载体建立居民服务</w:t>
      </w:r>
      <w:r>
        <w:rPr>
          <w:rFonts w:ascii="Times New Roman" w:eastAsia="Times New Roman" w:hAnsi="Times New Roman" w:cs="Times New Roman"/>
          <w:color w:val="000000"/>
          <w:spacing w:val="0"/>
          <w:w w:val="100"/>
          <w:position w:val="0"/>
        </w:rPr>
        <w:t>“</w:t>
      </w:r>
      <w:r>
        <w:rPr>
          <w:color w:val="000000"/>
          <w:spacing w:val="0"/>
          <w:w w:val="100"/>
          <w:position w:val="0"/>
        </w:rPr>
        <w:t>一卡通</w:t>
      </w:r>
      <w:r>
        <w:rPr>
          <w:rFonts w:ascii="Times New Roman" w:eastAsia="Times New Roman" w:hAnsi="Times New Roman" w:cs="Times New Roman"/>
          <w:color w:val="000000"/>
          <w:spacing w:val="0"/>
          <w:w w:val="100"/>
          <w:position w:val="0"/>
        </w:rPr>
        <w:t>”</w:t>
      </w:r>
      <w:r>
        <w:rPr>
          <w:color w:val="000000"/>
          <w:spacing w:val="0"/>
          <w:w w:val="100"/>
          <w:position w:val="0"/>
        </w:rPr>
        <w:t>，在交通出行、旅游观光、文化体验等方面率先实现</w:t>
      </w:r>
      <w:r>
        <w:rPr>
          <w:rFonts w:ascii="Times New Roman" w:eastAsia="Times New Roman" w:hAnsi="Times New Roman" w:cs="Times New Roman"/>
          <w:color w:val="000000"/>
          <w:spacing w:val="0"/>
          <w:w w:val="100"/>
          <w:position w:val="0"/>
        </w:rPr>
        <w:t>“</w:t>
      </w:r>
      <w:r>
        <w:rPr>
          <w:color w:val="000000"/>
          <w:spacing w:val="0"/>
          <w:w w:val="100"/>
          <w:position w:val="0"/>
        </w:rPr>
        <w:t>同城待遇</w:t>
      </w:r>
      <w:r>
        <w:rPr>
          <w:rFonts w:ascii="Times New Roman" w:eastAsia="Times New Roman" w:hAnsi="Times New Roman" w:cs="Times New Roman"/>
          <w:color w:val="000000"/>
          <w:spacing w:val="0"/>
          <w:w w:val="100"/>
          <w:position w:val="0"/>
        </w:rPr>
        <w:t>”</w:t>
      </w:r>
      <w:r>
        <w:rPr>
          <w:color w:val="000000"/>
          <w:spacing w:val="0"/>
          <w:w w:val="100"/>
          <w:position w:val="0"/>
        </w:rPr>
        <w:t>，是民生保障工作前进 的方向。</w:t>
      </w:r>
    </w:p>
    <w:p>
      <w:pPr>
        <w:pStyle w:val="Style18"/>
        <w:keepNext w:val="0"/>
        <w:keepLines w:val="0"/>
        <w:widowControl w:val="0"/>
        <w:shd w:val="clear" w:color="auto" w:fill="auto"/>
        <w:bidi w:val="0"/>
        <w:spacing w:before="0" w:after="40" w:line="311" w:lineRule="exact"/>
        <w:ind w:left="0" w:right="0"/>
        <w:jc w:val="both"/>
      </w:pPr>
      <w:r>
        <w:rPr>
          <w:color w:val="000000"/>
          <w:spacing w:val="0"/>
          <w:w w:val="100"/>
          <w:position w:val="0"/>
        </w:rPr>
        <w:t>2020年，人力资源社会保障部办公厅、中国人民银行办公厅发布的《关于推广应用具有金融功能的第三代社会保障卡的 通知》（人社厅发〔2020〕 101号），指出2020年底前全面完成第三代社保卡发行准备，自2021年起，全国所有地区新发、补 领、换领社保卡时全部采用支持</w:t>
      </w:r>
      <w:r>
        <w:rPr>
          <w:color w:val="000000"/>
          <w:spacing w:val="0"/>
          <w:w w:val="100"/>
          <w:position w:val="0"/>
        </w:rPr>
        <w:t>SM</w:t>
      </w:r>
      <w:r>
        <w:rPr>
          <w:color w:val="000000"/>
          <w:spacing w:val="0"/>
          <w:w w:val="100"/>
          <w:position w:val="0"/>
        </w:rPr>
        <w:t>系列算法的第三代社保卡，并加快签发电子社保卡，实现线上线下</w:t>
      </w:r>
      <w:r>
        <w:rPr>
          <w:rFonts w:ascii="Times New Roman" w:eastAsia="Times New Roman" w:hAnsi="Times New Roman" w:cs="Times New Roman"/>
          <w:color w:val="000000"/>
          <w:spacing w:val="0"/>
          <w:w w:val="100"/>
          <w:position w:val="0"/>
        </w:rPr>
        <w:t>“</w:t>
      </w:r>
      <w:r>
        <w:rPr>
          <w:color w:val="000000"/>
          <w:spacing w:val="0"/>
          <w:w w:val="100"/>
          <w:position w:val="0"/>
        </w:rPr>
        <w:t>一卡通用、一网通办</w:t>
      </w:r>
      <w:r>
        <w:rPr>
          <w:rFonts w:ascii="Times New Roman" w:eastAsia="Times New Roman" w:hAnsi="Times New Roman" w:cs="Times New Roman"/>
          <w:color w:val="000000"/>
          <w:spacing w:val="0"/>
          <w:w w:val="100"/>
          <w:position w:val="0"/>
        </w:rPr>
        <w:t>”</w:t>
      </w:r>
      <w:r>
        <w:rPr>
          <w:color w:val="000000"/>
          <w:spacing w:val="0"/>
          <w:w w:val="100"/>
          <w:position w:val="0"/>
        </w:rPr>
        <w:t>。 加强部门间合作，支撑更多民生和金融服务，探索以社保卡为载体建立居民服务</w:t>
      </w:r>
      <w:r>
        <w:rPr>
          <w:rFonts w:ascii="Times New Roman" w:eastAsia="Times New Roman" w:hAnsi="Times New Roman" w:cs="Times New Roman"/>
          <w:color w:val="000000"/>
          <w:spacing w:val="0"/>
          <w:w w:val="100"/>
          <w:position w:val="0"/>
        </w:rPr>
        <w:t>“</w:t>
      </w:r>
      <w:r>
        <w:rPr>
          <w:color w:val="000000"/>
          <w:spacing w:val="0"/>
          <w:w w:val="100"/>
          <w:position w:val="0"/>
        </w:rPr>
        <w:t>一卡通匚2021年6月29日，人力资源社会 保障部发布的《人力资源和社会保障事业发展</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规划》中，提出要实施人力资源和社会保障信息化便民服务创新提升 行动，推动人力资源和社会保障系统</w:t>
      </w:r>
      <w:r>
        <w:rPr>
          <w:rFonts w:ascii="Times New Roman" w:eastAsia="Times New Roman" w:hAnsi="Times New Roman" w:cs="Times New Roman"/>
          <w:color w:val="000000"/>
          <w:spacing w:val="0"/>
          <w:w w:val="100"/>
          <w:position w:val="0"/>
        </w:rPr>
        <w:t>“</w:t>
      </w:r>
      <w:r>
        <w:rPr>
          <w:color w:val="000000"/>
          <w:spacing w:val="0"/>
          <w:w w:val="100"/>
          <w:position w:val="0"/>
        </w:rPr>
        <w:t>全数据共享、全服务上网、全业务用卡</w:t>
      </w:r>
      <w:r>
        <w:rPr>
          <w:rFonts w:ascii="Times New Roman" w:eastAsia="Times New Roman" w:hAnsi="Times New Roman" w:cs="Times New Roman"/>
          <w:color w:val="000000"/>
          <w:spacing w:val="0"/>
          <w:w w:val="100"/>
          <w:position w:val="0"/>
        </w:rPr>
        <w:t>”</w:t>
      </w:r>
      <w:r>
        <w:rPr>
          <w:color w:val="000000"/>
          <w:spacing w:val="0"/>
          <w:w w:val="100"/>
          <w:position w:val="0"/>
        </w:rPr>
        <w:t>，促进互联网、大数据、区块链、人工智能与 人力资源和社会保障工作深度融合。推动建立以社会保障卡为载体的居民服务</w:t>
      </w:r>
      <w:r>
        <w:rPr>
          <w:rFonts w:ascii="Times New Roman" w:eastAsia="Times New Roman" w:hAnsi="Times New Roman" w:cs="Times New Roman"/>
          <w:color w:val="000000"/>
          <w:spacing w:val="0"/>
          <w:w w:val="100"/>
          <w:position w:val="0"/>
        </w:rPr>
        <w:t>“</w:t>
      </w:r>
      <w:r>
        <w:rPr>
          <w:color w:val="000000"/>
          <w:spacing w:val="0"/>
          <w:w w:val="100"/>
          <w:position w:val="0"/>
        </w:rPr>
        <w:t>一卡通</w:t>
      </w:r>
      <w:r>
        <w:rPr>
          <w:rFonts w:ascii="Times New Roman" w:eastAsia="Times New Roman" w:hAnsi="Times New Roman" w:cs="Times New Roman"/>
          <w:color w:val="000000"/>
          <w:spacing w:val="0"/>
          <w:w w:val="100"/>
          <w:position w:val="0"/>
        </w:rPr>
        <w:t>”</w:t>
      </w:r>
      <w:r>
        <w:rPr>
          <w:color w:val="000000"/>
          <w:spacing w:val="0"/>
          <w:w w:val="100"/>
          <w:position w:val="0"/>
        </w:rPr>
        <w:t>新格局。根据人力资源和社会保障部 数据显示，截至2021年底全国社会保障卡持卡人数达</w:t>
      </w:r>
      <w:r>
        <w:rPr>
          <w:color w:val="000000"/>
          <w:spacing w:val="0"/>
          <w:w w:val="100"/>
          <w:position w:val="0"/>
        </w:rPr>
        <w:t>13.52</w:t>
      </w:r>
      <w:r>
        <w:rPr>
          <w:color w:val="000000"/>
          <w:spacing w:val="0"/>
          <w:w w:val="100"/>
          <w:position w:val="0"/>
        </w:rPr>
        <w:t>亿人，普及率95.7%，其中以一代、二代社保卡居多，第三代社保 卡持卡人数仅1</w:t>
      </w:r>
      <w:r>
        <w:rPr>
          <w:color w:val="000000"/>
          <w:spacing w:val="0"/>
          <w:w w:val="100"/>
          <w:position w:val="0"/>
        </w:rPr>
        <w:t>.38</w:t>
      </w:r>
      <w:r>
        <w:rPr>
          <w:color w:val="000000"/>
          <w:spacing w:val="0"/>
          <w:w w:val="100"/>
          <w:position w:val="0"/>
        </w:rPr>
        <w:t>亿，存在约12亿的增量市场。</w:t>
      </w:r>
    </w:p>
    <w:p>
      <w:pPr>
        <w:pStyle w:val="Style18"/>
        <w:keepNext w:val="0"/>
        <w:keepLines w:val="0"/>
        <w:widowControl w:val="0"/>
        <w:shd w:val="clear" w:color="auto" w:fill="auto"/>
        <w:bidi w:val="0"/>
        <w:spacing w:before="0" w:after="360" w:line="313" w:lineRule="exact"/>
        <w:ind w:left="0" w:right="0"/>
        <w:jc w:val="both"/>
      </w:pPr>
      <w:r>
        <w:rPr>
          <w:color w:val="000000"/>
          <w:spacing w:val="0"/>
          <w:w w:val="100"/>
          <w:position w:val="0"/>
        </w:rPr>
        <w:t>公司深耕社保民生行业多年，在各类应用场景建设中积累了丰富的经验，同时在芯片</w:t>
      </w:r>
      <w:r>
        <w:rPr>
          <w:color w:val="000000"/>
          <w:spacing w:val="0"/>
          <w:w w:val="100"/>
          <w:position w:val="0"/>
        </w:rPr>
        <w:t>、cos、</w:t>
      </w:r>
      <w:r>
        <w:rPr>
          <w:color w:val="000000"/>
          <w:spacing w:val="0"/>
          <w:w w:val="100"/>
          <w:position w:val="0"/>
        </w:rPr>
        <w:t>密钥安全、硬件终端等领 域具备丰富的技术储备，可提供社保卡制发、自助及柜面发卡终端、柜面即时制卡发卡系统建设及运营管理服务等全产业链 综合解决方案，产品符合人社部《社会保障（个人）卡规范》、《中国金融集成电路</w:t>
      </w:r>
      <w:r>
        <w:rPr>
          <w:color w:val="000000"/>
          <w:spacing w:val="0"/>
          <w:w w:val="100"/>
          <w:position w:val="0"/>
        </w:rPr>
        <w:t>（IC）</w:t>
      </w:r>
      <w:r>
        <w:rPr>
          <w:color w:val="000000"/>
          <w:spacing w:val="0"/>
          <w:w w:val="100"/>
          <w:position w:val="0"/>
        </w:rPr>
        <w:t>卡规范（</w:t>
      </w:r>
      <w:r>
        <w:rPr>
          <w:color w:val="000000"/>
          <w:spacing w:val="0"/>
          <w:w w:val="100"/>
          <w:position w:val="0"/>
        </w:rPr>
        <w:t>V2.0）》</w:t>
      </w:r>
      <w:r>
        <w:rPr>
          <w:color w:val="000000"/>
          <w:spacing w:val="0"/>
          <w:w w:val="100"/>
          <w:position w:val="0"/>
        </w:rPr>
        <w:t>以及</w:t>
      </w:r>
      <w:r>
        <w:rPr>
          <w:color w:val="000000"/>
          <w:spacing w:val="0"/>
          <w:w w:val="100"/>
          <w:position w:val="0"/>
        </w:rPr>
        <w:t>PBOC2.0</w:t>
      </w:r>
      <w:r>
        <w:rPr>
          <w:color w:val="000000"/>
          <w:spacing w:val="0"/>
          <w:w w:val="100"/>
          <w:position w:val="0"/>
        </w:rPr>
        <w:t>借/ 贷卡（支持小额支付）规范。公司将紧抓建立以社会保障卡为载体的居民服务</w:t>
      </w:r>
      <w:r>
        <w:rPr>
          <w:rFonts w:ascii="Times New Roman" w:eastAsia="Times New Roman" w:hAnsi="Times New Roman" w:cs="Times New Roman"/>
          <w:color w:val="000000"/>
          <w:spacing w:val="0"/>
          <w:w w:val="100"/>
          <w:position w:val="0"/>
        </w:rPr>
        <w:t>“</w:t>
      </w:r>
      <w:r>
        <w:rPr>
          <w:color w:val="000000"/>
          <w:spacing w:val="0"/>
          <w:w w:val="100"/>
          <w:position w:val="0"/>
        </w:rPr>
        <w:t>一卡通</w:t>
      </w:r>
      <w:r>
        <w:rPr>
          <w:rFonts w:ascii="Times New Roman" w:eastAsia="Times New Roman" w:hAnsi="Times New Roman" w:cs="Times New Roman"/>
          <w:color w:val="000000"/>
          <w:spacing w:val="0"/>
          <w:w w:val="100"/>
          <w:position w:val="0"/>
        </w:rPr>
        <w:t>”</w:t>
      </w:r>
      <w:r>
        <w:rPr>
          <w:color w:val="000000"/>
          <w:spacing w:val="0"/>
          <w:w w:val="100"/>
          <w:position w:val="0"/>
        </w:rPr>
        <w:t>新格局的机遇，加大开拓三代社保卡 增量市场，助力社会保障体系建设，助力普惠金融建设。</w:t>
      </w:r>
    </w:p>
    <w:p>
      <w:pPr>
        <w:pStyle w:val="Style23"/>
        <w:keepNext/>
        <w:keepLines/>
        <w:widowControl w:val="0"/>
        <w:shd w:val="clear" w:color="auto" w:fill="auto"/>
        <w:bidi w:val="0"/>
        <w:spacing w:before="0" w:after="260" w:line="240" w:lineRule="auto"/>
        <w:ind w:left="0" w:right="0" w:firstLine="0"/>
        <w:jc w:val="both"/>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、报告期内公司从事的主要业务</w:t>
      </w:r>
      <w:bookmarkEnd w:id="75"/>
      <w:bookmarkEnd w:id="76"/>
      <w:bookmarkEnd w:id="78"/>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公司是中国金融科技、物联网、数字安全和数字化服务领域的领军企业，致力于为银行、通信、政府公共服务部门、防 务、交通和先进制造等领域提供金融科技、物联网和数字安全及数字化服务整套解决方案，从安全设备到支付安全、身份与 隐私保护、移动支付解决方案、云认证访问服务、智能设备远程管理、数字化服务、数据安全和区块链技术等，公司以雄厚 的技术实力和多年在金融、物联网和数字安全领域独特的经验助力客户为数十亿用户设备提供服务。</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业务方面，公司主要面向致力于为银行、通信、政府公共服务部门、防务、交通等多个行业提供高端智能化产品及数字 安全解决方案等服务。具体包括：通信和物联网连接、安全产品、系统平台、身份认证识别、数据安全、移动支付解决方案、 智能终端、智能卡、智能卡模块封装，以及金融科技服务等。目前，公司的客户遍布海内外。一方面，在国内取得了国家十 大部委等政府机关的信赖，并与100多家银行、三大通信运营商建立了稳定的合作；另一方面，为助力</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建设，与 银联国际达成了多项战略合作，先后在柬埔寨、缅甸、澳大利亚等地区，首发恒宝银联卡，是银联海外新兴支付业务布局中， 参与项目最多、合作最紧密的企业，也是国内入围银行智能卡及数据安全解决方案等服务提供商最全的企业之一。</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金融业务方面，公司是最早获得银联、维萨</w:t>
      </w:r>
      <w:r>
        <w:rPr>
          <w:color w:val="000000"/>
          <w:spacing w:val="0"/>
          <w:w w:val="100"/>
          <w:position w:val="0"/>
        </w:rPr>
        <w:t>（VISA）、</w:t>
      </w:r>
      <w:r>
        <w:rPr>
          <w:color w:val="000000"/>
          <w:spacing w:val="0"/>
          <w:w w:val="100"/>
          <w:position w:val="0"/>
        </w:rPr>
        <w:t>万事达</w:t>
      </w:r>
      <w:r>
        <w:rPr>
          <w:color w:val="000000"/>
          <w:spacing w:val="0"/>
          <w:w w:val="100"/>
          <w:position w:val="0"/>
        </w:rPr>
        <w:t>（MasterCard）、</w:t>
      </w:r>
      <w:r>
        <w:rPr>
          <w:color w:val="000000"/>
          <w:spacing w:val="0"/>
          <w:w w:val="100"/>
          <w:position w:val="0"/>
        </w:rPr>
        <w:t>美国运通</w:t>
      </w:r>
      <w:r>
        <w:rPr>
          <w:color w:val="000000"/>
          <w:spacing w:val="0"/>
          <w:w w:val="100"/>
          <w:position w:val="0"/>
        </w:rPr>
        <w:t>（American Express）、</w:t>
      </w:r>
      <w:r>
        <w:rPr>
          <w:color w:val="000000"/>
          <w:spacing w:val="0"/>
          <w:w w:val="100"/>
          <w:position w:val="0"/>
        </w:rPr>
        <w:t>日本</w:t>
      </w:r>
      <w:r>
        <w:rPr>
          <w:color w:val="000000"/>
          <w:spacing w:val="0"/>
          <w:w w:val="100"/>
          <w:position w:val="0"/>
        </w:rPr>
        <w:t xml:space="preserve">JCB </w:t>
      </w:r>
      <w:r>
        <w:rPr>
          <w:color w:val="000000"/>
          <w:spacing w:val="0"/>
          <w:w w:val="100"/>
          <w:position w:val="0"/>
        </w:rPr>
        <w:t>等组织认证的特许制造商之一，并连续多年荣膺</w:t>
      </w:r>
      <w:r>
        <w:rPr>
          <w:rFonts w:ascii="Times New Roman" w:eastAsia="Times New Roman" w:hAnsi="Times New Roman" w:cs="Times New Roman"/>
          <w:color w:val="000000"/>
          <w:spacing w:val="0"/>
          <w:w w:val="100"/>
          <w:position w:val="0"/>
        </w:rPr>
        <w:t>“</w:t>
      </w:r>
      <w:r>
        <w:rPr>
          <w:color w:val="000000"/>
          <w:spacing w:val="0"/>
          <w:w w:val="100"/>
          <w:position w:val="0"/>
        </w:rPr>
        <w:t>国家金卡工程金蚂蚁奖</w:t>
      </w:r>
      <w:r>
        <w:rPr>
          <w:rFonts w:ascii="Times New Roman" w:eastAsia="Times New Roman" w:hAnsi="Times New Roman" w:cs="Times New Roman"/>
          <w:color w:val="000000"/>
          <w:spacing w:val="0"/>
          <w:w w:val="100"/>
          <w:position w:val="0"/>
        </w:rPr>
        <w:t>”</w:t>
      </w:r>
      <w:r>
        <w:rPr>
          <w:color w:val="000000"/>
          <w:spacing w:val="0"/>
          <w:w w:val="100"/>
          <w:position w:val="0"/>
        </w:rPr>
        <w:t>，是国家发改委批准的国家级智能卡研发和产业化 基地、江苏省认定的</w:t>
      </w:r>
      <w:r>
        <w:rPr>
          <w:rFonts w:ascii="Times New Roman" w:eastAsia="Times New Roman" w:hAnsi="Times New Roman" w:cs="Times New Roman"/>
          <w:color w:val="000000"/>
          <w:spacing w:val="0"/>
          <w:w w:val="100"/>
          <w:position w:val="0"/>
        </w:rPr>
        <w:t>“</w:t>
      </w:r>
      <w:r>
        <w:rPr>
          <w:color w:val="000000"/>
          <w:spacing w:val="0"/>
          <w:w w:val="100"/>
          <w:position w:val="0"/>
        </w:rPr>
        <w:t>江苏省智能卡工程技术研究中心</w:t>
      </w:r>
      <w:r>
        <w:rPr>
          <w:rFonts w:ascii="Times New Roman" w:eastAsia="Times New Roman" w:hAnsi="Times New Roman" w:cs="Times New Roman"/>
          <w:color w:val="000000"/>
          <w:spacing w:val="0"/>
          <w:w w:val="100"/>
          <w:position w:val="0"/>
        </w:rPr>
        <w:t>”</w:t>
      </w:r>
      <w:r>
        <w:rPr>
          <w:color w:val="000000"/>
          <w:spacing w:val="0"/>
          <w:w w:val="100"/>
          <w:position w:val="0"/>
        </w:rPr>
        <w:t>，是行业内率先获得车规级智能卡设计和制造企业之一。主要服务于 各大国有大型商业银行、股权制银行、城市银行、农村金融机构等，同时可根据客户要求，加载社保、政务、交通、校园等 行业应用，提供定制化服务及综合解决方案。主要产品包括发行终端、受理终端及丰富的钱包端产品及解决方案服务。报告 期内，公司继续保持与各大金融机构良好合作，各项集采项目执行情况良好；持续推进芯片国产化开发工作与导入工作，整 合供应链上下游，持续推进产品设计及工艺水平，进一步挖掘产品差异化价值。此外，公司作为首批参与中国人民银行数字 货币研究所</w:t>
      </w:r>
      <w:r>
        <w:rPr>
          <w:rFonts w:ascii="Times New Roman" w:eastAsia="Times New Roman" w:hAnsi="Times New Roman" w:cs="Times New Roman"/>
          <w:color w:val="000000"/>
          <w:spacing w:val="0"/>
          <w:w w:val="100"/>
          <w:position w:val="0"/>
        </w:rPr>
        <w:t>“</w:t>
      </w:r>
      <w:r>
        <w:rPr>
          <w:color w:val="000000"/>
          <w:spacing w:val="0"/>
          <w:w w:val="100"/>
          <w:position w:val="0"/>
        </w:rPr>
        <w:t>数字人民币试点</w:t>
      </w:r>
      <w:r>
        <w:rPr>
          <w:rFonts w:ascii="Times New Roman" w:eastAsia="Times New Roman" w:hAnsi="Times New Roman" w:cs="Times New Roman"/>
          <w:color w:val="000000"/>
          <w:spacing w:val="0"/>
          <w:w w:val="100"/>
          <w:position w:val="0"/>
        </w:rPr>
        <w:t>“</w:t>
      </w:r>
      <w:r>
        <w:rPr>
          <w:color w:val="000000"/>
          <w:spacing w:val="0"/>
          <w:w w:val="100"/>
          <w:position w:val="0"/>
        </w:rPr>
        <w:t>工作的金融科技公司之一，建立了完善的数字人民币产品和服务体系，致力成为一流的数字人 民币产品及应用服务提供商。报告期内，公司携数字人民币全系列产品和解决方案亮相由商务部和北京市人民政府共同主办 的中国国际服务贸易交易会金融服务专题展，并与多家银行客户共同探索数字人民币应用场景，实现了数字人民币在零售、 交通出行、公共服务、数字旅游、数字园区、冬奥会等多个应用场景的有益探索与拓展，实现了少量供货，为公司数字人民 币业务的开拓奠定了基础。</w:t>
      </w:r>
    </w:p>
    <w:p>
      <w:pPr>
        <w:pStyle w:val="Style18"/>
        <w:keepNext w:val="0"/>
        <w:keepLines w:val="0"/>
        <w:widowControl w:val="0"/>
        <w:shd w:val="clear" w:color="auto" w:fill="auto"/>
        <w:bidi w:val="0"/>
        <w:spacing w:before="0" w:after="40" w:line="313" w:lineRule="exact"/>
        <w:ind w:left="0" w:right="0"/>
        <w:jc w:val="both"/>
      </w:pPr>
      <w:r>
        <w:rPr>
          <w:color w:val="000000"/>
          <w:spacing w:val="0"/>
          <w:w w:val="100"/>
          <w:position w:val="0"/>
        </w:rPr>
        <w:t xml:space="preserve">通信和物联网连接业务方面，公司是中国移动、中国电信、中国联通的重要供应商，公司通信业务连续多年稳居全国细 </w:t>
      </w:r>
      <w:r>
        <w:rPr>
          <w:color w:val="000000"/>
          <w:spacing w:val="0"/>
          <w:w w:val="100"/>
          <w:position w:val="0"/>
        </w:rPr>
        <w:t>分市场龙头地位，产品包括手机卡、移动支付产品、密码卡、可穿戴设备、物联网解决方案等。公司物联网连接解决方案， 通过</w:t>
      </w:r>
      <w:r>
        <w:rPr>
          <w:rFonts w:ascii="Times New Roman" w:eastAsia="Times New Roman" w:hAnsi="Times New Roman" w:cs="Times New Roman"/>
          <w:color w:val="000000"/>
          <w:spacing w:val="0"/>
          <w:w w:val="100"/>
          <w:position w:val="0"/>
        </w:rPr>
        <w:t>M2M</w:t>
      </w:r>
      <w:r>
        <w:rPr>
          <w:color w:val="000000"/>
          <w:spacing w:val="0"/>
          <w:w w:val="100"/>
          <w:position w:val="0"/>
        </w:rPr>
        <w:t>、</w:t>
      </w:r>
      <w:r>
        <w:rPr>
          <w:rFonts w:ascii="Times New Roman" w:eastAsia="Times New Roman" w:hAnsi="Times New Roman" w:cs="Times New Roman"/>
          <w:color w:val="000000"/>
          <w:spacing w:val="0"/>
          <w:w w:val="100"/>
          <w:position w:val="0"/>
        </w:rPr>
        <w:t>eSIM</w:t>
      </w:r>
      <w:r>
        <w:rPr>
          <w:color w:val="000000"/>
          <w:spacing w:val="0"/>
          <w:w w:val="100"/>
          <w:position w:val="0"/>
        </w:rPr>
        <w:t>安全连接模块，配套连接管理后台，可以协助客户实现蜂窝网络的快速接入，支持开机即联网的即时连接 服务，为众多物联网设备提供完整的安全连接生命周期管理。</w:t>
      </w:r>
    </w:p>
    <w:p>
      <w:pPr>
        <w:pStyle w:val="Style18"/>
        <w:keepNext w:val="0"/>
        <w:keepLines w:val="0"/>
        <w:widowControl w:val="0"/>
        <w:shd w:val="clear" w:color="auto" w:fill="auto"/>
        <w:bidi w:val="0"/>
        <w:spacing w:before="0" w:after="40" w:line="314" w:lineRule="exact"/>
        <w:ind w:left="0" w:right="0" w:firstLine="400"/>
        <w:jc w:val="both"/>
      </w:pPr>
      <w:r>
        <w:rPr>
          <w:color w:val="000000"/>
          <w:spacing w:val="0"/>
          <w:w w:val="100"/>
          <w:position w:val="0"/>
        </w:rPr>
        <w:t>交通、政务等行业业务方面，公司深耕社保民生、交通等行业多年，在各类应用场景建设中积累了丰富的经验，同时在 芯片、</w:t>
      </w:r>
      <w:r>
        <w:rPr>
          <w:rFonts w:ascii="Times New Roman" w:eastAsia="Times New Roman" w:hAnsi="Times New Roman" w:cs="Times New Roman"/>
          <w:color w:val="000000"/>
          <w:spacing w:val="0"/>
          <w:w w:val="100"/>
          <w:position w:val="0"/>
        </w:rPr>
        <w:t>cos</w:t>
      </w:r>
      <w:r>
        <w:rPr>
          <w:color w:val="000000"/>
          <w:spacing w:val="0"/>
          <w:w w:val="100"/>
          <w:position w:val="0"/>
        </w:rPr>
        <w:t>、</w:t>
      </w:r>
      <w:r>
        <w:rPr>
          <w:color w:val="000000"/>
          <w:spacing w:val="0"/>
          <w:w w:val="100"/>
          <w:position w:val="0"/>
        </w:rPr>
        <w:t>密钥安全、硬件终端等方面具备丰富的技术储备，可根据客户定制化要求提供相关产品的研发及制作、自助及 柜面服务终端、柜面即时制卡发卡系统建设及运营管理服务等全产业链综合解决方案，产品涵盖智慧交通、智慧园区、智慧 医疗、智慧教育等领域。</w:t>
      </w:r>
    </w:p>
    <w:p>
      <w:pPr>
        <w:pStyle w:val="Style18"/>
        <w:keepNext w:val="0"/>
        <w:keepLines w:val="0"/>
        <w:widowControl w:val="0"/>
        <w:shd w:val="clear" w:color="auto" w:fill="auto"/>
        <w:bidi w:val="0"/>
        <w:spacing w:before="0" w:after="360" w:line="314" w:lineRule="exact"/>
        <w:ind w:left="0" w:right="0" w:firstLine="400"/>
        <w:jc w:val="both"/>
      </w:pPr>
      <w:r>
        <w:rPr>
          <w:color w:val="000000"/>
          <w:spacing w:val="0"/>
          <w:w w:val="100"/>
          <w:position w:val="0"/>
        </w:rPr>
        <w:t>模块封装业务，公司该业务除满足公司自用需求外，可模块化为客户提供智能卡专用芯片封装等服务，该业务产线采用 国际先进设备，多项工艺技术获得国家发明专利，产品质量高于行业标准，多年零外部质量反馈和投诉，产品广泛应用于金 融、大数据、物联网、社会保障、政府项目等。</w:t>
      </w:r>
    </w:p>
    <w:p>
      <w:pPr>
        <w:pStyle w:val="Style23"/>
        <w:keepNext/>
        <w:keepLines/>
        <w:widowControl w:val="0"/>
        <w:shd w:val="clear" w:color="auto" w:fill="auto"/>
        <w:tabs>
          <w:tab w:pos="473" w:val="left"/>
        </w:tabs>
        <w:bidi w:val="0"/>
        <w:spacing w:before="0" w:after="26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三</w:t>
      </w:r>
      <w:bookmarkEnd w:id="81"/>
      <w:r>
        <w:rPr>
          <w:color w:val="000000"/>
          <w:spacing w:val="0"/>
          <w:w w:val="100"/>
          <w:position w:val="0"/>
          <w:sz w:val="24"/>
          <w:szCs w:val="24"/>
        </w:rPr>
        <w:t>、</w:t>
        <w:tab/>
        <w:t>核心竞争力分析</w:t>
      </w:r>
      <w:bookmarkEnd w:id="79"/>
      <w:bookmarkEnd w:id="80"/>
      <w:bookmarkEnd w:id="82"/>
    </w:p>
    <w:p>
      <w:pPr>
        <w:pStyle w:val="Style18"/>
        <w:keepNext w:val="0"/>
        <w:keepLines w:val="0"/>
        <w:widowControl w:val="0"/>
        <w:shd w:val="clear" w:color="auto" w:fill="auto"/>
        <w:tabs>
          <w:tab w:pos="702" w:val="left"/>
        </w:tabs>
        <w:bidi w:val="0"/>
        <w:spacing w:before="0" w:after="40" w:line="313" w:lineRule="exact"/>
        <w:ind w:left="0" w:right="0" w:firstLine="440"/>
        <w:jc w:val="both"/>
      </w:pPr>
      <w:bookmarkStart w:id="83" w:name="bookmark83"/>
      <w:r>
        <w:rPr>
          <w:rFonts w:ascii="Times New Roman" w:eastAsia="Times New Roman" w:hAnsi="Times New Roman" w:cs="Times New Roman"/>
          <w:color w:val="000000"/>
          <w:spacing w:val="0"/>
          <w:w w:val="100"/>
          <w:position w:val="0"/>
        </w:rPr>
        <w:t>1</w:t>
      </w:r>
      <w:bookmarkEnd w:id="83"/>
      <w:r>
        <w:rPr>
          <w:color w:val="000000"/>
          <w:spacing w:val="0"/>
          <w:w w:val="100"/>
          <w:position w:val="0"/>
        </w:rPr>
        <w:t>、</w:t>
        <w:tab/>
        <w:t>综合服务优势。作为中国数据安全领域的领军企业，公司</w:t>
      </w:r>
      <w:r>
        <w:rPr>
          <w:color w:val="252525"/>
          <w:spacing w:val="0"/>
          <w:w w:val="100"/>
          <w:position w:val="0"/>
        </w:rPr>
        <w:t>致力于为银行、通信、政府公共服务部门、防务、交通等 领域提供数据安全、身份认证、智能模组、平台服务、大数据和区块链技术解决方案等，从安全设备到支付安全、身份与隐 私保护、移动支付解决方案、云认证访问服务及物联网等，</w:t>
      </w:r>
      <w:r>
        <w:rPr>
          <w:color w:val="000000"/>
          <w:spacing w:val="0"/>
          <w:w w:val="100"/>
          <w:position w:val="0"/>
        </w:rPr>
        <w:t>公司凭借突出的市场能力、技术能力和服务能力，是三大通信运 营商、各大商业银行、住建部、交通部、卫生部、国税总局、铁路公司等重要客户相关产品的主要供应商。公司是目前国内 智能卡行业中拥有各种资质最多的企业之一，这些资质是智能卡企业进入重要细分市场的必要条件。</w:t>
      </w:r>
    </w:p>
    <w:p>
      <w:pPr>
        <w:pStyle w:val="Style18"/>
        <w:keepNext w:val="0"/>
        <w:keepLines w:val="0"/>
        <w:widowControl w:val="0"/>
        <w:shd w:val="clear" w:color="auto" w:fill="auto"/>
        <w:tabs>
          <w:tab w:pos="702" w:val="left"/>
        </w:tabs>
        <w:bidi w:val="0"/>
        <w:spacing w:before="0" w:after="40" w:line="312" w:lineRule="exact"/>
        <w:ind w:left="0" w:right="0" w:firstLine="440"/>
        <w:jc w:val="both"/>
      </w:pPr>
      <w:bookmarkStart w:id="84" w:name="bookmark84"/>
      <w:r>
        <w:rPr>
          <w:rFonts w:ascii="Times New Roman" w:eastAsia="Times New Roman" w:hAnsi="Times New Roman" w:cs="Times New Roman"/>
          <w:color w:val="000000"/>
          <w:spacing w:val="0"/>
          <w:w w:val="100"/>
          <w:position w:val="0"/>
        </w:rPr>
        <w:t>2</w:t>
      </w:r>
      <w:bookmarkEnd w:id="84"/>
      <w:r>
        <w:rPr>
          <w:color w:val="000000"/>
          <w:spacing w:val="0"/>
          <w:w w:val="100"/>
          <w:position w:val="0"/>
        </w:rPr>
        <w:t>、</w:t>
        <w:tab/>
        <w:t>技术优势。公司是国家火炬重点高新技术企业、国家软件百强企业、国家高新技术企业和</w:t>
      </w:r>
      <w:r>
        <w:rPr>
          <w:rFonts w:ascii="Times New Roman" w:eastAsia="Times New Roman" w:hAnsi="Times New Roman" w:cs="Times New Roman"/>
          <w:color w:val="000000"/>
          <w:spacing w:val="0"/>
          <w:w w:val="100"/>
          <w:position w:val="0"/>
        </w:rPr>
        <w:t>“</w:t>
      </w:r>
      <w:r>
        <w:rPr>
          <w:color w:val="000000"/>
          <w:spacing w:val="0"/>
          <w:w w:val="100"/>
          <w:position w:val="0"/>
        </w:rPr>
        <w:t>双软</w:t>
      </w:r>
      <w:r>
        <w:rPr>
          <w:rFonts w:ascii="Times New Roman" w:eastAsia="Times New Roman" w:hAnsi="Times New Roman" w:cs="Times New Roman"/>
          <w:color w:val="000000"/>
          <w:spacing w:val="0"/>
          <w:w w:val="100"/>
          <w:position w:val="0"/>
        </w:rPr>
        <w:t>”</w:t>
      </w:r>
      <w:r>
        <w:rPr>
          <w:color w:val="000000"/>
          <w:spacing w:val="0"/>
          <w:w w:val="100"/>
          <w:position w:val="0"/>
        </w:rPr>
        <w:t>认证的企业、也是 江苏省智能卡工程技术研究开发中心。公司以智能卡、安全终端、移动支付及系统整体解决方案为主要技术方向，不断探索 新产品市场。截至2021年末，公司及子公司累计申请600余项专利，300余项软件著作权、注册商标30余件、40项软件产品登 记证书，12个产品获得国家密码管理局颁发的证书，参与制4项国家标准、7项行业标准、1项团体标准，是国家知识产权优 势企业、国家知识产权示范企业。</w:t>
      </w:r>
    </w:p>
    <w:p>
      <w:pPr>
        <w:pStyle w:val="Style18"/>
        <w:keepNext w:val="0"/>
        <w:keepLines w:val="0"/>
        <w:widowControl w:val="0"/>
        <w:shd w:val="clear" w:color="auto" w:fill="auto"/>
        <w:tabs>
          <w:tab w:pos="711" w:val="left"/>
        </w:tabs>
        <w:bidi w:val="0"/>
        <w:spacing w:before="0" w:after="40" w:line="315" w:lineRule="exact"/>
        <w:ind w:left="0" w:right="0" w:firstLine="440"/>
        <w:jc w:val="both"/>
      </w:pPr>
      <w:bookmarkStart w:id="85" w:name="bookmark85"/>
      <w:r>
        <w:rPr>
          <w:rFonts w:ascii="Times New Roman" w:eastAsia="Times New Roman" w:hAnsi="Times New Roman" w:cs="Times New Roman"/>
          <w:color w:val="000000"/>
          <w:spacing w:val="0"/>
          <w:w w:val="100"/>
          <w:position w:val="0"/>
        </w:rPr>
        <w:t>3</w:t>
      </w:r>
      <w:bookmarkEnd w:id="85"/>
      <w:r>
        <w:rPr>
          <w:color w:val="000000"/>
          <w:spacing w:val="0"/>
          <w:w w:val="100"/>
          <w:position w:val="0"/>
        </w:rPr>
        <w:t>、</w:t>
        <w:tab/>
        <w:t>人才和管理优势。公司经过多年沉淀，已建立一支稳定、高素质、结构合理的管理队伍，并制定了符合市场化的考 核机制及激励机制，为公司产品研发、技术创新、稳定生产、精细管理奠定良好的人力资源基础；公司拥有较完善的法人治 理结构和良好的现代化企业运营机制，公司通过建立健全内部控制，持续不断的深化内部管理提升机制，使得公司应变能力 和抗风险能力不断加强。</w:t>
      </w:r>
    </w:p>
    <w:p>
      <w:pPr>
        <w:pStyle w:val="Style18"/>
        <w:keepNext w:val="0"/>
        <w:keepLines w:val="0"/>
        <w:widowControl w:val="0"/>
        <w:shd w:val="clear" w:color="auto" w:fill="auto"/>
        <w:tabs>
          <w:tab w:pos="702" w:val="left"/>
        </w:tabs>
        <w:bidi w:val="0"/>
        <w:spacing w:before="0" w:after="40" w:line="314" w:lineRule="exact"/>
        <w:ind w:left="0" w:right="0" w:firstLine="440"/>
        <w:jc w:val="both"/>
      </w:pPr>
      <w:bookmarkStart w:id="86" w:name="bookmark86"/>
      <w:r>
        <w:rPr>
          <w:rFonts w:ascii="Times New Roman" w:eastAsia="Times New Roman" w:hAnsi="Times New Roman" w:cs="Times New Roman"/>
          <w:color w:val="000000"/>
          <w:spacing w:val="0"/>
          <w:w w:val="100"/>
          <w:position w:val="0"/>
        </w:rPr>
        <w:t>4</w:t>
      </w:r>
      <w:bookmarkEnd w:id="86"/>
      <w:r>
        <w:rPr>
          <w:color w:val="000000"/>
          <w:spacing w:val="0"/>
          <w:w w:val="100"/>
          <w:position w:val="0"/>
        </w:rPr>
        <w:t>、</w:t>
        <w:tab/>
        <w:t>规模优势。公司经过多年、在多个领域的沉淀与积累，产品线齐全、产能规模居于行业前列，拥有丰富的生产制造 经验和供应链优势，有助于公司更好地降低成本，并且在更大的范围内调控资源，提供产品市场竞争能力。同时，公司搭建 了大营销网络，服务网络覆盖全国26个重点战略省市，并在新加坡、肯尼亚、印度尼西亚、非洲、马来西亚等海外国家和地 区建立了全方位的服务体系，可提供优质的售前咨询、售中保障和售后服务，实现对客户需求的快速反应，及时满足客户对 产品和服务的需求。</w:t>
      </w:r>
    </w:p>
    <w:p>
      <w:pPr>
        <w:pStyle w:val="Style18"/>
        <w:keepNext w:val="0"/>
        <w:keepLines w:val="0"/>
        <w:widowControl w:val="0"/>
        <w:shd w:val="clear" w:color="auto" w:fill="auto"/>
        <w:tabs>
          <w:tab w:pos="706" w:val="left"/>
        </w:tabs>
        <w:bidi w:val="0"/>
        <w:spacing w:before="0" w:after="360" w:line="322" w:lineRule="exact"/>
        <w:ind w:left="0" w:right="0" w:firstLine="440"/>
        <w:jc w:val="both"/>
      </w:pPr>
      <w:bookmarkStart w:id="87" w:name="bookmark87"/>
      <w:r>
        <w:rPr>
          <w:rFonts w:ascii="Times New Roman" w:eastAsia="Times New Roman" w:hAnsi="Times New Roman" w:cs="Times New Roman"/>
          <w:color w:val="000000"/>
          <w:spacing w:val="0"/>
          <w:w w:val="100"/>
          <w:position w:val="0"/>
        </w:rPr>
        <w:t>5</w:t>
      </w:r>
      <w:bookmarkEnd w:id="87"/>
      <w:r>
        <w:rPr>
          <w:color w:val="000000"/>
          <w:spacing w:val="0"/>
          <w:w w:val="100"/>
          <w:position w:val="0"/>
        </w:rPr>
        <w:t>、</w:t>
        <w:tab/>
        <w:t>产品结构优势。公司的业务覆盖通信、金融、政府公共服务部门、交通、税务、防务等多个领域，解决方案覆盖金 融行业解决方案、通信与物联网解决方案、汽车行业解决方案、移动支付云平台等解决方案，产品结构丰富。</w:t>
      </w:r>
    </w:p>
    <w:p>
      <w:pPr>
        <w:pStyle w:val="Style23"/>
        <w:keepNext/>
        <w:keepLines/>
        <w:widowControl w:val="0"/>
        <w:shd w:val="clear" w:color="auto" w:fill="auto"/>
        <w:tabs>
          <w:tab w:pos="473" w:val="left"/>
        </w:tabs>
        <w:bidi w:val="0"/>
        <w:spacing w:before="0" w:after="36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四</w:t>
      </w:r>
      <w:bookmarkEnd w:id="90"/>
      <w:r>
        <w:rPr>
          <w:color w:val="000000"/>
          <w:spacing w:val="0"/>
          <w:w w:val="100"/>
          <w:position w:val="0"/>
          <w:sz w:val="24"/>
          <w:szCs w:val="24"/>
        </w:rPr>
        <w:t>、</w:t>
        <w:tab/>
        <w:t>主营业务分析</w:t>
      </w:r>
      <w:bookmarkEnd w:id="88"/>
      <w:bookmarkEnd w:id="89"/>
      <w:bookmarkEnd w:id="91"/>
    </w:p>
    <w:p>
      <w:pPr>
        <w:pStyle w:val="Style27"/>
        <w:keepNext/>
        <w:keepLines/>
        <w:widowControl w:val="0"/>
        <w:shd w:val="clear" w:color="auto" w:fill="auto"/>
        <w:bidi w:val="0"/>
        <w:spacing w:before="0" w:after="26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1</w:t>
      </w:r>
      <w:bookmarkEnd w:id="94"/>
      <w:r>
        <w:rPr>
          <w:color w:val="000000"/>
          <w:spacing w:val="0"/>
          <w:w w:val="100"/>
          <w:position w:val="0"/>
        </w:rPr>
        <w:t>、概述</w:t>
      </w:r>
      <w:bookmarkEnd w:id="92"/>
      <w:bookmarkEnd w:id="93"/>
      <w:bookmarkEnd w:id="95"/>
    </w:p>
    <w:p>
      <w:pPr>
        <w:pStyle w:val="Style18"/>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报告期内，公司实现营业收入</w:t>
      </w:r>
      <w:r>
        <w:rPr>
          <w:color w:val="000000"/>
          <w:spacing w:val="0"/>
          <w:w w:val="100"/>
          <w:position w:val="0"/>
        </w:rPr>
        <w:t>959,885,268.79</w:t>
      </w:r>
      <w:r>
        <w:rPr>
          <w:color w:val="000000"/>
          <w:spacing w:val="0"/>
          <w:w w:val="100"/>
          <w:position w:val="0"/>
        </w:rPr>
        <w:t>元，较上年同期减少8.77%，归属于上市公司股东的净利润</w:t>
      </w:r>
      <w:r>
        <w:rPr>
          <w:color w:val="000000"/>
          <w:spacing w:val="0"/>
          <w:w w:val="100"/>
          <w:position w:val="0"/>
        </w:rPr>
        <w:t xml:space="preserve">53,082,673.76 </w:t>
      </w:r>
      <w:r>
        <w:rPr>
          <w:color w:val="000000"/>
          <w:spacing w:val="0"/>
          <w:w w:val="100"/>
          <w:position w:val="0"/>
        </w:rPr>
        <w:t>元，较上年同期增加2,978.31%，主要是因为去年同期，公司合并报表范围内子公司一卡易经营业绩持续下滑，同时鉴于公 司已无法控制一卡易的财务和经营决策，无法正常行使股东权利并实质实施控制的事实影响，经公司委托北京北方亚事资产 评估事务所（特殊普通合伙）评估，公司对合并一卡易形成的商誉与无形资产共计提</w:t>
      </w:r>
      <w:r>
        <w:rPr>
          <w:color w:val="000000"/>
          <w:spacing w:val="0"/>
          <w:w w:val="100"/>
          <w:position w:val="0"/>
        </w:rPr>
        <w:t>10,871.28</w:t>
      </w:r>
      <w:r>
        <w:rPr>
          <w:color w:val="000000"/>
          <w:spacing w:val="0"/>
          <w:w w:val="100"/>
          <w:position w:val="0"/>
        </w:rPr>
        <w:t>万元资产减值损失，相应减 少公司2020年度利润。同时，报告期内，面对持续复杂的内外部形势及市场环境，公司始终秉承</w:t>
      </w:r>
      <w:r>
        <w:rPr>
          <w:rFonts w:ascii="Times New Roman" w:eastAsia="Times New Roman" w:hAnsi="Times New Roman" w:cs="Times New Roman"/>
          <w:color w:val="000000"/>
          <w:spacing w:val="0"/>
          <w:w w:val="100"/>
          <w:position w:val="0"/>
        </w:rPr>
        <w:t>“</w:t>
      </w:r>
      <w:r>
        <w:rPr>
          <w:color w:val="000000"/>
          <w:spacing w:val="0"/>
          <w:w w:val="100"/>
          <w:position w:val="0"/>
        </w:rPr>
        <w:t xml:space="preserve">开放创新、成就客户、质 </w:t>
      </w:r>
      <w:r>
        <w:rPr>
          <w:color w:val="000000"/>
          <w:spacing w:val="0"/>
          <w:w w:val="100"/>
          <w:position w:val="0"/>
        </w:rPr>
        <w:t>量为本、持续发展、尊重员工</w:t>
      </w:r>
      <w:r>
        <w:rPr>
          <w:rFonts w:ascii="Times New Roman" w:eastAsia="Times New Roman" w:hAnsi="Times New Roman" w:cs="Times New Roman"/>
          <w:color w:val="000000"/>
          <w:spacing w:val="0"/>
          <w:w w:val="100"/>
          <w:position w:val="0"/>
        </w:rPr>
        <w:t>”</w:t>
      </w:r>
      <w:r>
        <w:rPr>
          <w:color w:val="000000"/>
          <w:spacing w:val="0"/>
          <w:w w:val="100"/>
          <w:position w:val="0"/>
        </w:rPr>
        <w:t>的核心价值观，通过持续提升供应链与管理协同效益、优化产品销售结构，维持公司智能卡 产品的利润水平；加强产品质量控制，优化产品性能，提升服务质量，进一步提高客户满意度；不断调整市场策略，拓展新 业务，优化产品结构，保证公司健康稳定发展。</w:t>
      </w:r>
    </w:p>
    <w:p>
      <w:pPr>
        <w:pStyle w:val="Style18"/>
        <w:keepNext w:val="0"/>
        <w:keepLines w:val="0"/>
        <w:widowControl w:val="0"/>
        <w:shd w:val="clear" w:color="auto" w:fill="auto"/>
        <w:tabs>
          <w:tab w:pos="663" w:val="left"/>
        </w:tabs>
        <w:bidi w:val="0"/>
        <w:spacing w:before="0" w:after="0" w:line="313" w:lineRule="exact"/>
        <w:ind w:left="0" w:right="0"/>
        <w:jc w:val="both"/>
      </w:pPr>
      <w:bookmarkStart w:id="96" w:name="bookmark96"/>
      <w:r>
        <w:rPr>
          <w:color w:val="000000"/>
          <w:spacing w:val="0"/>
          <w:w w:val="100"/>
          <w:position w:val="0"/>
        </w:rPr>
        <w:t>1</w:t>
      </w:r>
      <w:bookmarkEnd w:id="96"/>
      <w:r>
        <w:rPr>
          <w:color w:val="000000"/>
          <w:spacing w:val="0"/>
          <w:w w:val="100"/>
          <w:position w:val="0"/>
        </w:rPr>
        <w:t>、</w:t>
        <w:tab/>
        <w:t>卡类产品</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报告期内，公司继续保持与各大金融机构、各运营商及政务、交通、税务等客户的良好合作，保持良好的集采市场份额， 各项集采项目执行情况良好。报告期内，制卡类业务收入</w:t>
      </w:r>
      <w:r>
        <w:rPr>
          <w:color w:val="000000"/>
          <w:spacing w:val="0"/>
          <w:w w:val="100"/>
          <w:position w:val="0"/>
        </w:rPr>
        <w:t>790,209,665.61</w:t>
      </w:r>
      <w:r>
        <w:rPr>
          <w:color w:val="000000"/>
          <w:spacing w:val="0"/>
          <w:w w:val="100"/>
          <w:position w:val="0"/>
        </w:rPr>
        <w:t>元，占本期营业收入的82.32%，较去年同期减少 4.67%，主要是因为报告期内受国际政治经济环境变化、芯片市场供需波动及行业竞争加剧等影响，产品单价略有下降，2022 年，卡类单位产品附加值将进一步提升，产品价格有望回调。此外，公司将通过不断优化调整产品销售结构，提升产品整体 毛利；根据客户需求及上游产能情况科学制定采购和生产计划，调整备货水平，优化库存管理，提高供应链稳定性及风险应 对能力；持续推进芯片国产化开发工作与导入工作，整合供应链上下游，持续推进产品设计及工艺水平，进一步挖掘产品差 异化价值。</w:t>
      </w:r>
    </w:p>
    <w:p>
      <w:pPr>
        <w:pStyle w:val="Style18"/>
        <w:keepNext w:val="0"/>
        <w:keepLines w:val="0"/>
        <w:widowControl w:val="0"/>
        <w:shd w:val="clear" w:color="auto" w:fill="auto"/>
        <w:tabs>
          <w:tab w:pos="672" w:val="left"/>
        </w:tabs>
        <w:bidi w:val="0"/>
        <w:spacing w:before="0" w:after="0" w:line="313" w:lineRule="exact"/>
        <w:ind w:left="0" w:right="0"/>
        <w:jc w:val="both"/>
      </w:pPr>
      <w:bookmarkStart w:id="97" w:name="bookmark97"/>
      <w:r>
        <w:rPr>
          <w:color w:val="000000"/>
          <w:spacing w:val="0"/>
          <w:w w:val="100"/>
          <w:position w:val="0"/>
        </w:rPr>
        <w:t>2</w:t>
      </w:r>
      <w:bookmarkEnd w:id="97"/>
      <w:r>
        <w:rPr>
          <w:color w:val="000000"/>
          <w:spacing w:val="0"/>
          <w:w w:val="100"/>
          <w:position w:val="0"/>
        </w:rPr>
        <w:t>、</w:t>
        <w:tab/>
        <w:t>模块封装业务</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报告期内，公司模块封装业务营业收入</w:t>
      </w:r>
      <w:r>
        <w:rPr>
          <w:color w:val="000000"/>
          <w:spacing w:val="0"/>
          <w:w w:val="100"/>
          <w:position w:val="0"/>
        </w:rPr>
        <w:t>162,675,800.52</w:t>
      </w:r>
      <w:r>
        <w:rPr>
          <w:color w:val="000000"/>
          <w:spacing w:val="0"/>
          <w:w w:val="100"/>
          <w:position w:val="0"/>
        </w:rPr>
        <w:t>元，较去年同期增长83.55%，主要原因为报告期内受芯片市场供 需波动影响，下游客户调整备货水平，同时，报告期公司受疫情不利影响程度较2020年度有所下降，公司模块封装加工业务 实际接单量增加。</w:t>
      </w:r>
    </w:p>
    <w:p>
      <w:pPr>
        <w:pStyle w:val="Style18"/>
        <w:keepNext w:val="0"/>
        <w:keepLines w:val="0"/>
        <w:widowControl w:val="0"/>
        <w:shd w:val="clear" w:color="auto" w:fill="auto"/>
        <w:tabs>
          <w:tab w:pos="672" w:val="left"/>
        </w:tabs>
        <w:bidi w:val="0"/>
        <w:spacing w:before="0" w:after="0" w:line="313" w:lineRule="exact"/>
        <w:ind w:left="0" w:right="0"/>
        <w:jc w:val="both"/>
      </w:pPr>
      <w:bookmarkStart w:id="98" w:name="bookmark98"/>
      <w:r>
        <w:rPr>
          <w:color w:val="000000"/>
          <w:spacing w:val="0"/>
          <w:w w:val="100"/>
          <w:position w:val="0"/>
        </w:rPr>
        <w:t>3</w:t>
      </w:r>
      <w:bookmarkEnd w:id="98"/>
      <w:r>
        <w:rPr>
          <w:color w:val="000000"/>
          <w:spacing w:val="0"/>
          <w:w w:val="100"/>
          <w:position w:val="0"/>
        </w:rPr>
        <w:t>、</w:t>
        <w:tab/>
        <w:t>智能支付设备、网络版会员软件产品</w:t>
      </w:r>
    </w:p>
    <w:p>
      <w:pPr>
        <w:pStyle w:val="Style18"/>
        <w:keepNext w:val="0"/>
        <w:keepLines w:val="0"/>
        <w:widowControl w:val="0"/>
        <w:shd w:val="clear" w:color="auto" w:fill="auto"/>
        <w:bidi w:val="0"/>
        <w:spacing w:before="0" w:after="680" w:line="313" w:lineRule="exact"/>
        <w:ind w:left="0" w:right="0"/>
        <w:jc w:val="both"/>
      </w:pPr>
      <w:r>
        <w:rPr>
          <w:color w:val="000000"/>
          <w:spacing w:val="0"/>
          <w:w w:val="100"/>
          <w:position w:val="0"/>
        </w:rPr>
        <w:t>报告期内，公司电子智能支付设备、网络版会员软件较去年减少100%，主要原因为公司于2021年3月31日召开第七届董 事会第十二次临时会议，审议通过了《关于深圳一卡易科技股份有限公司不再纳入公司合并报表范围的议案》，公司董事会 同意本报告期不再将一卡易及其相关业务纳入公司合并报表范围。一卡易公司主营业务为聚合支付系统、会员营销系统、以 及刷脸支付设备的研发与销售，主要客户为中小微零售商家，与上市公司现有主营业务的关联性较低。上一报告年度，一卡 易相关业务占公司营业收入的比重合计为5.73%，占比较低，对公司整体主营业务影响较小。</w:t>
      </w:r>
    </w:p>
    <w:p>
      <w:pPr>
        <w:pStyle w:val="Style27"/>
        <w:keepNext/>
        <w:keepLines/>
        <w:widowControl w:val="0"/>
        <w:shd w:val="clear" w:color="auto" w:fill="auto"/>
        <w:bidi w:val="0"/>
        <w:spacing w:before="0" w:line="240" w:lineRule="auto"/>
        <w:ind w:left="0" w:right="0" w:firstLine="0"/>
        <w:jc w:val="both"/>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2</w:t>
      </w:r>
      <w:bookmarkEnd w:id="101"/>
      <w:r>
        <w:rPr>
          <w:color w:val="000000"/>
          <w:spacing w:val="0"/>
          <w:w w:val="100"/>
          <w:position w:val="0"/>
        </w:rPr>
        <w:t>、收入与成本</w:t>
      </w:r>
      <w:bookmarkEnd w:id="100"/>
      <w:bookmarkEnd w:id="102"/>
      <w:bookmarkEnd w:id="99"/>
    </w:p>
    <w:p>
      <w:pPr>
        <w:pStyle w:val="Style27"/>
        <w:keepNext/>
        <w:keepLines/>
        <w:widowControl w:val="0"/>
        <w:shd w:val="clear" w:color="auto" w:fill="auto"/>
        <w:bidi w:val="0"/>
        <w:spacing w:before="0" w:line="240" w:lineRule="auto"/>
        <w:ind w:left="0" w:right="0" w:firstLine="0"/>
        <w:jc w:val="both"/>
      </w:pPr>
      <w:bookmarkStart w:id="100" w:name="bookmark100"/>
      <w:bookmarkStart w:id="103" w:name="bookmark103"/>
      <w:bookmarkStart w:id="104" w:name="bookmark104"/>
      <w:bookmarkStart w:id="99" w:name="bookmark99"/>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104"/>
      <w:bookmarkEnd w:id="9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959,885,268.79</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1,052,163,738.15</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-8.77%</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958,187,270.13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99.82%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982,960,603.96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-2.52%</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60,292,817.16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1,697,998.66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8,910,317.03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-80.94%</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票证类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5,301,804.00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5,792,081.29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-8.46%</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制卡类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790,209,665.61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82.32%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828,949,360.25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-4.67%</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模块类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162,675,800.52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88,628,897.06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83.55%</w:t>
            </w:r>
          </w:p>
        </w:tc>
      </w:tr>
      <w:tr>
        <w:trPr>
          <w:trHeight w:val="41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网络版会员软件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40"/>
              <w:jc w:val="left"/>
            </w:pPr>
            <w:r>
              <w:rPr>
                <w:color w:val="000000"/>
                <w:spacing w:val="0"/>
                <w:w w:val="100"/>
                <w:position w:val="0"/>
              </w:rPr>
              <w:t>45,155,452.35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1020" w:right="0" w:firstLine="0"/>
              <w:jc w:val="both"/>
            </w:pPr>
            <w:r>
              <w:rPr>
                <w:color w:val="000000"/>
                <w:spacing w:val="0"/>
                <w:w w:val="100"/>
                <w:position w:val="0"/>
              </w:rPr>
              <w:t>4.29%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780"/>
              <w:jc w:val="left"/>
            </w:pPr>
            <w:r>
              <w:rPr>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电子智能支付设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15,137,364.81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特种物联网业务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59,590,265.36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1,697,998.66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8,910,317.03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-80.94%</w:t>
            </w:r>
          </w:p>
        </w:tc>
      </w:tr>
      <w:tr>
        <w:trPr>
          <w:trHeight w:val="39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344,574,101.30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35.90%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392,580,883.07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37.31%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-12.23%</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195,931,695.38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20.41%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185,233,329.13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124,082,389.10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167,849,292.15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-26.08%</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65,722,164.95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82,718,825.08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-20.55%</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87,439,608.08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92,267,346.96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-5.23%</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55,232,350.28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60,809,744.76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-9.17%</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86,902,959.70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70,704,317.00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22.91%</w:t>
            </w:r>
          </w:p>
        </w:tc>
      </w:tr>
      <w:tr>
        <w:trPr>
          <w:trHeight w:val="39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直销</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959,885,268.79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1,052,163,738.15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-8.77%</w:t>
            </w:r>
          </w:p>
        </w:tc>
      </w:tr>
    </w:tbl>
    <w:p>
      <w:pPr>
        <w:widowControl w:val="0"/>
        <w:spacing w:after="299" w:line="1" w:lineRule="exact"/>
      </w:pPr>
    </w:p>
    <w:p>
      <w:pPr>
        <w:pStyle w:val="Style27"/>
        <w:keepNext/>
        <w:keepLines/>
        <w:widowControl w:val="0"/>
        <w:numPr>
          <w:ilvl w:val="0"/>
          <w:numId w:val="1"/>
        </w:numPr>
        <w:shd w:val="clear" w:color="auto" w:fill="auto"/>
        <w:bidi w:val="0"/>
        <w:spacing w:before="0" w:after="380" w:line="240" w:lineRule="auto"/>
        <w:ind w:left="0" w:right="0" w:firstLine="0"/>
        <w:jc w:val="left"/>
      </w:pPr>
      <w:bookmarkStart w:id="105" w:name="bookmark105"/>
      <w:bookmarkStart w:id="106" w:name="bookmark106"/>
      <w:bookmarkStart w:id="107" w:name="bookmark107"/>
      <w:bookmarkStart w:id="108" w:name="bookmark108"/>
      <w:bookmarkEnd w:id="10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5"/>
      <w:bookmarkEnd w:id="106"/>
      <w:bookmarkEnd w:id="10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958,187,270.13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719,498,229.05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3.48%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-4.35%</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票证类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5,301,804.00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3,921,722.33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-8.46%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1.57%</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制卡类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790,209,665.61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573,545,906.09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0.37%</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模块类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162,675,800.52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142,030,600.63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83.55%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76.18%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3.65%</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特种物联网业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-90.60%</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344,374,092.53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276,497,958.89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9.10%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-6.35%</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195,032,207.83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138,774,406.74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124,082,389.10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92,267,664.54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1.04%</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65,722,164.95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49,055,023.92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-9.94%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-0.70%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87,439,608.08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62,799,126.52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1.79%</w:t>
            </w:r>
          </w:p>
        </w:tc>
      </w:tr>
      <w:tr>
        <w:trPr>
          <w:trHeight w:val="40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境外地区</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both"/>
            </w:pPr>
            <w:r>
              <w:rPr>
                <w:color w:val="000000"/>
                <w:spacing w:val="0"/>
                <w:w w:val="100"/>
                <w:position w:val="0"/>
              </w:rPr>
              <w:t>54,883,654.60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both"/>
            </w:pPr>
            <w:r>
              <w:rPr>
                <w:color w:val="000000"/>
                <w:spacing w:val="0"/>
                <w:w w:val="100"/>
                <w:position w:val="0"/>
              </w:rPr>
              <w:t>37,441,251.24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700"/>
              <w:jc w:val="both"/>
            </w:pPr>
            <w:r>
              <w:rPr>
                <w:color w:val="000000"/>
                <w:spacing w:val="0"/>
                <w:w w:val="100"/>
                <w:position w:val="0"/>
              </w:rPr>
              <w:t>31.78%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700"/>
              <w:jc w:val="both"/>
            </w:pPr>
            <w:r>
              <w:rPr>
                <w:color w:val="000000"/>
                <w:spacing w:val="0"/>
                <w:w w:val="100"/>
                <w:position w:val="0"/>
              </w:rPr>
              <w:t>-9.75%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700"/>
              <w:jc w:val="both"/>
            </w:pPr>
            <w:r>
              <w:rPr>
                <w:color w:val="000000"/>
                <w:spacing w:val="0"/>
                <w:w w:val="100"/>
                <w:position w:val="0"/>
              </w:rPr>
              <w:t>-8.18%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740"/>
              <w:jc w:val="left"/>
            </w:pPr>
            <w:r>
              <w:rPr>
                <w:color w:val="000000"/>
                <w:spacing w:val="0"/>
                <w:w w:val="100"/>
                <w:position w:val="0"/>
              </w:rPr>
              <w:t>-1.16%</w:t>
            </w:r>
          </w:p>
        </w:tc>
      </w:tr>
    </w:tbl>
    <w:p>
      <w:pPr>
        <w:spacing w:lineRule="exact" w:line="1"/>
        <w:rPr>
          <w:sz w:val="2"/>
          <w:szCs w:val="2"/>
        </w:rPr>
      </w:pPr>
      <w:r>
        <w:br w:type="page"/>
      </w:r>
    </w:p>
    <w:tbl>
      <w:tblPr>
        <w:tblOverlap w:val="never"/>
        <w:jc w:val="center"/>
        <w:tblLayout w:type="fixed"/>
      </w:tblPr>
      <w:tblGrid>
        <w:gridCol w:w="1368"/>
        <w:gridCol w:w="1368"/>
        <w:gridCol w:w="1363"/>
        <w:gridCol w:w="1368"/>
        <w:gridCol w:w="1368"/>
        <w:gridCol w:w="1368"/>
        <w:gridCol w:w="1378"/>
      </w:tblGrid>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86,653,153.04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62,662,797.20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27.69%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直销</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958,187,270.13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719,498,229.05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700"/>
              <w:jc w:val="left"/>
            </w:pPr>
            <w:r>
              <w:rPr>
                <w:color w:val="000000"/>
                <w:spacing w:val="0"/>
                <w:w w:val="100"/>
                <w:position w:val="0"/>
              </w:rPr>
              <w:t>24.91%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-2.52%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780"/>
              <w:jc w:val="left"/>
            </w:pPr>
            <w:r>
              <w:rPr>
                <w:color w:val="000000"/>
                <w:spacing w:val="0"/>
                <w:w w:val="100"/>
                <w:position w:val="0"/>
              </w:rPr>
              <w:t>3.48%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-4.35%</w:t>
            </w:r>
          </w:p>
        </w:tc>
      </w:tr>
    </w:tbl>
    <w:p>
      <w:pPr>
        <w:pStyle w:val="Style1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口适用”不适用</w:t>
      </w:r>
    </w:p>
    <w:p>
      <w:pPr>
        <w:pStyle w:val="Style27"/>
        <w:keepNext/>
        <w:keepLines/>
        <w:widowControl w:val="0"/>
        <w:numPr>
          <w:ilvl w:val="0"/>
          <w:numId w:val="1"/>
        </w:numPr>
        <w:shd w:val="clear" w:color="auto" w:fill="auto"/>
        <w:bidi w:val="0"/>
        <w:spacing w:before="0" w:after="380" w:line="240" w:lineRule="auto"/>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公司实物销售收入是否大于劳务收入</w:t>
      </w:r>
      <w:bookmarkEnd w:id="109"/>
      <w:bookmarkEnd w:id="110"/>
      <w:bookmarkEnd w:id="112"/>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”是□否</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制卡类</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74,673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57,857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29.06%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76,541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59,155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29.39%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8,432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6,564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28.46%</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模块类</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39,396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17,347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127.11%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46,576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22,192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109.88%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12,806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127.62%</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票证类</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3,021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-46.12%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3,029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5,579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-45.71%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万张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118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110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7.27%</w:t>
            </w:r>
          </w:p>
        </w:tc>
      </w:tr>
      <w:tr>
        <w:trPr>
          <w:trHeight w:val="3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特种物联网业务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0.207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0.207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”适用口不适用</w:t>
      </w:r>
    </w:p>
    <w:p>
      <w:pPr>
        <w:pStyle w:val="Style18"/>
        <w:keepNext w:val="0"/>
        <w:keepLines w:val="0"/>
        <w:widowControl w:val="0"/>
        <w:shd w:val="clear" w:color="auto" w:fill="auto"/>
        <w:tabs>
          <w:tab w:pos="344" w:val="left"/>
        </w:tabs>
        <w:bidi w:val="0"/>
        <w:spacing w:before="0" w:after="0" w:line="314" w:lineRule="exact"/>
        <w:ind w:left="0" w:right="0" w:firstLine="0"/>
        <w:jc w:val="both"/>
      </w:pPr>
      <w:bookmarkStart w:id="113" w:name="bookmark113"/>
      <w:r>
        <w:rPr>
          <w:color w:val="000000"/>
          <w:spacing w:val="0"/>
          <w:w w:val="100"/>
          <w:position w:val="0"/>
        </w:rPr>
        <w:t>1</w:t>
      </w:r>
      <w:bookmarkEnd w:id="113"/>
      <w:r>
        <w:rPr>
          <w:color w:val="000000"/>
          <w:spacing w:val="0"/>
          <w:w w:val="100"/>
          <w:position w:val="0"/>
        </w:rPr>
        <w:t>、</w:t>
        <w:tab/>
        <w:t>报告期，公司模块类产品的销售量、生产量比去年同期增加127.11%、109.88%，报告期内受芯片市场供需波动影响，下 游客户调整备货水平，同时，报告期受疫情不利影响程度较2020年有所下降，公司模块封装加工业务实际接单量增加。因生 产量同比增加量大于销售量同比增加量，导致库存量比去年同期增加127.62%。</w:t>
      </w:r>
    </w:p>
    <w:p>
      <w:pPr>
        <w:pStyle w:val="Style18"/>
        <w:keepNext w:val="0"/>
        <w:keepLines w:val="0"/>
        <w:widowControl w:val="0"/>
        <w:shd w:val="clear" w:color="auto" w:fill="auto"/>
        <w:tabs>
          <w:tab w:pos="344" w:val="left"/>
        </w:tabs>
        <w:bidi w:val="0"/>
        <w:spacing w:before="0" w:after="0" w:line="314" w:lineRule="exact"/>
        <w:ind w:left="0" w:right="0" w:firstLine="0"/>
        <w:jc w:val="both"/>
      </w:pPr>
      <w:bookmarkStart w:id="114" w:name="bookmark114"/>
      <w:r>
        <w:rPr>
          <w:color w:val="000000"/>
          <w:spacing w:val="0"/>
          <w:w w:val="100"/>
          <w:position w:val="0"/>
        </w:rPr>
        <w:t>2</w:t>
      </w:r>
      <w:bookmarkEnd w:id="114"/>
      <w:r>
        <w:rPr>
          <w:color w:val="000000"/>
          <w:spacing w:val="0"/>
          <w:w w:val="100"/>
          <w:position w:val="0"/>
        </w:rPr>
        <w:t>、</w:t>
        <w:tab/>
        <w:t>报告期，公司票证类业务受接单影响，销售量和生产量同比减少46.12%、45.71%。</w:t>
      </w:r>
    </w:p>
    <w:p>
      <w:pPr>
        <w:pStyle w:val="Style18"/>
        <w:keepNext w:val="0"/>
        <w:keepLines w:val="0"/>
        <w:widowControl w:val="0"/>
        <w:shd w:val="clear" w:color="auto" w:fill="auto"/>
        <w:tabs>
          <w:tab w:pos="344" w:val="left"/>
        </w:tabs>
        <w:bidi w:val="0"/>
        <w:spacing w:before="0" w:after="720" w:line="314" w:lineRule="exact"/>
        <w:ind w:left="0" w:right="0" w:firstLine="0"/>
        <w:jc w:val="both"/>
      </w:pPr>
      <w:bookmarkStart w:id="115" w:name="bookmark115"/>
      <w:r>
        <w:rPr>
          <w:color w:val="000000"/>
          <w:spacing w:val="0"/>
          <w:w w:val="100"/>
          <w:position w:val="0"/>
        </w:rPr>
        <w:t>3</w:t>
      </w:r>
      <w:bookmarkEnd w:id="115"/>
      <w:r>
        <w:rPr>
          <w:color w:val="000000"/>
          <w:spacing w:val="0"/>
          <w:w w:val="100"/>
          <w:position w:val="0"/>
        </w:rPr>
        <w:t>、</w:t>
        <w:tab/>
        <w:t>报告期，公司对特种物联网业务不再接单，因此同比减少100%。</w:t>
      </w:r>
    </w:p>
    <w:p>
      <w:pPr>
        <w:pStyle w:val="Style27"/>
        <w:keepNext/>
        <w:keepLines/>
        <w:widowControl w:val="0"/>
        <w:numPr>
          <w:ilvl w:val="0"/>
          <w:numId w:val="1"/>
        </w:numPr>
        <w:shd w:val="clear" w:color="auto" w:fill="auto"/>
        <w:tabs>
          <w:tab w:pos="498" w:val="left"/>
        </w:tabs>
        <w:bidi w:val="0"/>
        <w:spacing w:before="0" w:after="380" w:line="240" w:lineRule="auto"/>
        <w:ind w:left="0" w:right="0" w:firstLine="0"/>
        <w:jc w:val="both"/>
      </w:pPr>
      <w:bookmarkStart w:id="116" w:name="bookmark116"/>
      <w:bookmarkStart w:id="117" w:name="bookmark117"/>
      <w:bookmarkStart w:id="118" w:name="bookmark118"/>
      <w:bookmarkStart w:id="119" w:name="bookmark119"/>
      <w:bookmarkEnd w:id="118"/>
      <w:r>
        <w:rPr>
          <w:color w:val="000000"/>
          <w:spacing w:val="0"/>
          <w:w w:val="100"/>
          <w:position w:val="0"/>
        </w:rPr>
        <w:t>公司已签订的重大销售合同、重大采购合同截至本报告期的履行情况</w:t>
      </w:r>
      <w:bookmarkEnd w:id="116"/>
      <w:bookmarkEnd w:id="117"/>
      <w:bookmarkEnd w:id="119"/>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口适用”不适用</w:t>
      </w:r>
    </w:p>
    <w:p>
      <w:pPr>
        <w:pStyle w:val="Style27"/>
        <w:keepNext/>
        <w:keepLines/>
        <w:widowControl w:val="0"/>
        <w:numPr>
          <w:ilvl w:val="0"/>
          <w:numId w:val="1"/>
        </w:numPr>
        <w:shd w:val="clear" w:color="auto" w:fill="auto"/>
        <w:tabs>
          <w:tab w:pos="498" w:val="left"/>
        </w:tabs>
        <w:bidi w:val="0"/>
        <w:spacing w:before="0" w:after="380" w:line="240" w:lineRule="auto"/>
        <w:ind w:left="0" w:right="0" w:firstLine="0"/>
        <w:jc w:val="both"/>
      </w:pPr>
      <w:bookmarkStart w:id="120" w:name="bookmark120"/>
      <w:bookmarkStart w:id="121" w:name="bookmark121"/>
      <w:bookmarkStart w:id="122" w:name="bookmark122"/>
      <w:bookmarkStart w:id="123" w:name="bookmark123"/>
      <w:bookmarkEnd w:id="122"/>
      <w:r>
        <w:rPr>
          <w:color w:val="000000"/>
          <w:spacing w:val="0"/>
          <w:w w:val="100"/>
          <w:position w:val="0"/>
        </w:rPr>
        <w:t>营业成本构成</w:t>
      </w:r>
      <w:bookmarkEnd w:id="120"/>
      <w:bookmarkEnd w:id="121"/>
      <w:bookmarkEnd w:id="123"/>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行业分类</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行业分类</w:t>
      </w:r>
      <w:r>
        <w:br w:type="page"/>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占营业成本比 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635,481,605.42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648,730,309.82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-2.04%</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62,625,525.08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8.69%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56,333,718.87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7.67%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11.17%</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6,129,034.15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5,146,585.15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19.09%</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15,262,064.40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18,215,000.06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-16.21%</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933,386.08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6,066,635.35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-84.61%</w:t>
            </w:r>
          </w:p>
        </w:tc>
      </w:tr>
      <w:tr>
        <w:trPr>
          <w:trHeight w:val="41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720,431,615.13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58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734,492,249.25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58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700"/>
              <w:jc w:val="left"/>
            </w:pPr>
            <w:r>
              <w:rPr>
                <w:color w:val="000000"/>
                <w:spacing w:val="0"/>
                <w:w w:val="100"/>
                <w:position w:val="0"/>
              </w:rPr>
              <w:t>-1.91%</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28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4"/>
      <w:bookmarkEnd w:id="125"/>
      <w:bookmarkEnd w:id="127"/>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w:t>
      </w:r>
    </w:p>
    <w:p>
      <w:pPr>
        <w:pStyle w:val="Style18"/>
        <w:keepNext w:val="0"/>
        <w:keepLines w:val="0"/>
        <w:widowControl w:val="0"/>
        <w:shd w:val="clear" w:color="auto" w:fill="auto"/>
        <w:bidi w:val="0"/>
        <w:spacing w:before="0" w:after="1080" w:line="317" w:lineRule="exact"/>
        <w:ind w:left="0" w:right="0"/>
        <w:jc w:val="both"/>
      </w:pPr>
      <w:r>
        <w:rPr>
          <w:color w:val="000000"/>
          <w:spacing w:val="0"/>
          <w:w w:val="100"/>
          <w:position w:val="0"/>
        </w:rPr>
        <w:t>公司于2021年3月31日召开第七届董事会第十二次临时会议、第七届监事会第九次临时会议审议通过了《关于深圳一卡 易股份科技股份有限公司不再纳入公司合并报表范围的议案》，一卡易股份本期不再纳入公司合并报表范围。同时，深圳一 卡易股份科技股份有限公司子公司深圳钱客多信息科技有限公司及深圳一卡易网络科技有限公司本期不再纳入公司合并报 表范围。</w:t>
      </w:r>
    </w:p>
    <w:p>
      <w:pPr>
        <w:pStyle w:val="Style27"/>
        <w:keepNext/>
        <w:keepLines/>
        <w:widowControl w:val="0"/>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28"/>
      <w:bookmarkEnd w:id="129"/>
      <w:bookmarkEnd w:id="131"/>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7"/>
        <w:keepNext/>
        <w:keepLines/>
        <w:widowControl w:val="0"/>
        <w:shd w:val="clear" w:color="auto" w:fill="auto"/>
        <w:bidi w:val="0"/>
        <w:spacing w:before="0" w:line="240" w:lineRule="auto"/>
        <w:ind w:left="0" w:right="0" w:firstLine="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2"/>
      <w:bookmarkEnd w:id="133"/>
      <w:bookmarkEnd w:id="135"/>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58"/>
        <w:gridCol w:w="5323"/>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238,788,318.52</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w:t>
            </w:r>
          </w:p>
        </w:tc>
      </w:tr>
      <w:tr>
        <w:trPr>
          <w:trHeight w:val="725"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298"/>
        <w:gridCol w:w="2323"/>
        <w:gridCol w:w="315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123,828,680.67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33,930,156.05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r>
      <w:tr>
        <w:trPr>
          <w:trHeight w:val="413"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1180" w:right="0" w:firstLine="0"/>
              <w:jc w:val="left"/>
            </w:pPr>
            <w:r>
              <w:rPr>
                <w:color w:val="000000"/>
                <w:spacing w:val="0"/>
                <w:w w:val="100"/>
                <w:position w:val="0"/>
              </w:rPr>
              <w:t>30,840,292.40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3.21%</w:t>
            </w:r>
          </w:p>
        </w:tc>
      </w:tr>
    </w:tbl>
    <w:p>
      <w:pPr>
        <w:spacing w:lineRule="exact" w:line="1"/>
        <w:rPr>
          <w:sz w:val="2"/>
          <w:szCs w:val="2"/>
        </w:rPr>
      </w:pPr>
      <w:r>
        <w:br w:type="page"/>
      </w:r>
    </w:p>
    <w:tbl>
      <w:tblPr>
        <w:tblOverlap w:val="never"/>
        <w:jc w:val="center"/>
        <w:tblLayout w:type="fixed"/>
      </w:tblPr>
      <w:tblGrid>
        <w:gridCol w:w="806"/>
        <w:gridCol w:w="3298"/>
        <w:gridCol w:w="2323"/>
        <w:gridCol w:w="3154"/>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30,181,932.01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3.14%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20,007,257.39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2.08%</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238,788,318.52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80" w:right="0" w:firstLine="0"/>
              <w:jc w:val="both"/>
            </w:pPr>
            <w:r>
              <w:rPr>
                <w:color w:val="000000"/>
                <w:spacing w:val="0"/>
                <w:w w:val="100"/>
                <w:position w:val="0"/>
              </w:rPr>
              <w:t>24.86%</w:t>
            </w:r>
          </w:p>
        </w:tc>
      </w:tr>
    </w:tbl>
    <w:p>
      <w:pPr>
        <w:pStyle w:val="Style18"/>
        <w:keepNext w:val="0"/>
        <w:keepLines w:val="0"/>
        <w:widowControl w:val="0"/>
        <w:shd w:val="clear" w:color="auto" w:fill="auto"/>
        <w:bidi w:val="0"/>
        <w:spacing w:before="0" w:after="60" w:line="353" w:lineRule="exact"/>
        <w:ind w:left="0" w:right="0" w:firstLine="0"/>
        <w:jc w:val="left"/>
      </w:pPr>
      <w:r>
        <w:rPr>
          <w:color w:val="000000"/>
          <w:spacing w:val="0"/>
          <w:w w:val="100"/>
          <w:position w:val="0"/>
        </w:rPr>
        <w:t>主要客户其他情况说明 口适用”不适用 公司主要供应商情况</w:t>
      </w:r>
    </w:p>
    <w:tbl>
      <w:tblPr>
        <w:tblOverlap w:val="never"/>
        <w:jc w:val="center"/>
        <w:tblLayout w:type="fixed"/>
      </w:tblPr>
      <w:tblGrid>
        <w:gridCol w:w="4258"/>
        <w:gridCol w:w="5323"/>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470,787,025.79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57.76%</w:t>
            </w:r>
          </w:p>
        </w:tc>
      </w:tr>
      <w:tr>
        <w:trPr>
          <w:trHeight w:val="720"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36"/>
        <w:gridCol w:w="3168"/>
        <w:gridCol w:w="2323"/>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188,968,937.46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80" w:right="0" w:firstLine="0"/>
              <w:jc w:val="both"/>
            </w:pPr>
            <w:r>
              <w:rPr>
                <w:color w:val="000000"/>
                <w:spacing w:val="0"/>
                <w:w w:val="100"/>
                <w:position w:val="0"/>
              </w:rPr>
              <w:t>23.18%</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130,386,703.42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16.00%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86,715,384.73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10.64%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49,912,183.58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6.12%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14,803,816.60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1.82%</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470,787,025.79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80" w:right="0" w:firstLine="0"/>
              <w:jc w:val="both"/>
            </w:pPr>
            <w:r>
              <w:rPr>
                <w:color w:val="000000"/>
                <w:spacing w:val="0"/>
                <w:w w:val="100"/>
                <w:position w:val="0"/>
              </w:rPr>
              <w:t>57.76%</w:t>
            </w:r>
          </w:p>
        </w:tc>
      </w:tr>
    </w:tbl>
    <w:p>
      <w:pPr>
        <w:pStyle w:val="Style18"/>
        <w:keepNext w:val="0"/>
        <w:keepLines w:val="0"/>
        <w:widowControl w:val="0"/>
        <w:shd w:val="clear" w:color="auto" w:fill="auto"/>
        <w:bidi w:val="0"/>
        <w:spacing w:before="0" w:after="360" w:line="360" w:lineRule="exact"/>
        <w:ind w:left="0" w:right="0" w:firstLine="0"/>
        <w:jc w:val="left"/>
      </w:pPr>
      <w:r>
        <w:rPr>
          <w:color w:val="000000"/>
          <w:spacing w:val="0"/>
          <w:w w:val="100"/>
          <w:position w:val="0"/>
        </w:rPr>
        <w:t>主要供应商其他情况说明 口适用”不适用</w:t>
      </w:r>
    </w:p>
    <w:p>
      <w:pPr>
        <w:pStyle w:val="Style27"/>
        <w:keepNext/>
        <w:keepLines/>
        <w:widowControl w:val="0"/>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3</w:t>
      </w:r>
      <w:bookmarkEnd w:id="138"/>
      <w:r>
        <w:rPr>
          <w:color w:val="000000"/>
          <w:spacing w:val="0"/>
          <w:w w:val="100"/>
          <w:position w:val="0"/>
        </w:rPr>
        <w:t>、费用</w:t>
      </w:r>
      <w:bookmarkEnd w:id="136"/>
      <w:bookmarkEnd w:id="137"/>
      <w:bookmarkEnd w:id="13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642"/>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48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48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重大变动说明</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47,884,928.65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63,509,759.30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77,590,526.70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79,542,294.55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2,470,868.98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-2,815,271.16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187.77%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报告期，公司财务费用比去年同期 增加</w:t>
            </w:r>
            <w:r>
              <w:rPr>
                <w:color w:val="000000"/>
                <w:spacing w:val="0"/>
                <w:w w:val="100"/>
                <w:position w:val="0"/>
              </w:rPr>
              <w:t>187.77%</w:t>
            </w:r>
            <w:r>
              <w:rPr>
                <w:rFonts w:ascii="SimSun" w:eastAsia="SimSun" w:hAnsi="SimSun" w:cs="SimSun"/>
                <w:color w:val="000000"/>
                <w:spacing w:val="0"/>
                <w:w w:val="100"/>
                <w:position w:val="0"/>
              </w:rPr>
              <w:t>,主要是因为报告期 子公司支付借款利息同比增加及银 行存款利息收入同比减少，共同影 响所致。</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100,363,256.11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127,474,839.43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52,130,497.30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27,627,189.19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报告期，公司投资收益比去年同期 增加</w:t>
            </w:r>
            <w:r>
              <w:rPr>
                <w:color w:val="000000"/>
                <w:spacing w:val="0"/>
                <w:w w:val="100"/>
                <w:position w:val="0"/>
              </w:rPr>
              <w:t>88.69%</w:t>
            </w:r>
            <w:r>
              <w:rPr>
                <w:rFonts w:ascii="SimSun" w:eastAsia="SimSun" w:hAnsi="SimSun" w:cs="SimSun"/>
                <w:color w:val="000000"/>
                <w:spacing w:val="0"/>
                <w:w w:val="100"/>
                <w:position w:val="0"/>
              </w:rPr>
              <w:t>,主要是因为报告期按 权益法核算的上海恒毓投资中心</w:t>
            </w:r>
          </w:p>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（有限合伙）确认投资收益同比增 加影响所致。</w:t>
            </w:r>
          </w:p>
        </w:tc>
      </w:tr>
    </w:tbl>
    <w:p>
      <w:pPr>
        <w:spacing w:lineRule="exact" w:line="1"/>
        <w:rPr>
          <w:sz w:val="2"/>
          <w:szCs w:val="2"/>
        </w:rPr>
      </w:pPr>
      <w:r>
        <w:br w:type="page"/>
      </w:r>
    </w:p>
    <w:tbl>
      <w:tblPr>
        <w:tblOverlap w:val="never"/>
        <w:jc w:val="center"/>
        <w:tblLayout w:type="fixed"/>
      </w:tblPr>
      <w:tblGrid>
        <w:gridCol w:w="1915"/>
        <w:gridCol w:w="1642"/>
        <w:gridCol w:w="1637"/>
        <w:gridCol w:w="1459"/>
        <w:gridCol w:w="2928"/>
      </w:tblGrid>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4,850,792.37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3,542,886.64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报告期，公司公允价值变动收益比 去年同期增加</w:t>
            </w:r>
            <w:r>
              <w:rPr>
                <w:color w:val="000000"/>
                <w:spacing w:val="0"/>
                <w:w w:val="100"/>
                <w:position w:val="0"/>
              </w:rPr>
              <w:t>36.92%</w:t>
            </w:r>
            <w:r>
              <w:rPr>
                <w:rFonts w:ascii="SimSun" w:eastAsia="SimSun" w:hAnsi="SimSun" w:cs="SimSun"/>
                <w:color w:val="000000"/>
                <w:spacing w:val="0"/>
                <w:w w:val="100"/>
                <w:position w:val="0"/>
              </w:rPr>
              <w:t>，主要是因为 公司到期未结算的理财产品以公允 价值计量收益同比增加影响所致。</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-2,744,899.84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-5,235,020.59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报告期，公司信用减值损失比去年 同期计提减少</w:t>
            </w:r>
            <w:r>
              <w:rPr>
                <w:color w:val="000000"/>
                <w:spacing w:val="0"/>
                <w:w w:val="100"/>
                <w:position w:val="0"/>
              </w:rPr>
              <w:t>249.01</w:t>
            </w:r>
            <w:r>
              <w:rPr>
                <w:rFonts w:ascii="SimSun" w:eastAsia="SimSun" w:hAnsi="SimSun" w:cs="SimSun"/>
                <w:color w:val="000000"/>
                <w:spacing w:val="0"/>
                <w:w w:val="100"/>
                <w:position w:val="0"/>
              </w:rPr>
              <w:t>万元，主要是 因为报告期应收账款期末余额与期 初余额变动小于去年同期变动额， 导致计提的坏账准备同比减少影响 所致。</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-11,024,282.76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-112,816,892.94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90.23%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报告期，公司资产减值损失比去年 同期计提减少</w:t>
            </w:r>
            <w:r>
              <w:rPr>
                <w:color w:val="000000"/>
                <w:spacing w:val="0"/>
                <w:w w:val="100"/>
                <w:position w:val="0"/>
              </w:rPr>
              <w:t>10,179.26</w:t>
            </w:r>
            <w:r>
              <w:rPr>
                <w:rFonts w:ascii="SimSun" w:eastAsia="SimSun" w:hAnsi="SimSun" w:cs="SimSun"/>
                <w:color w:val="000000"/>
                <w:spacing w:val="0"/>
                <w:w w:val="100"/>
                <w:position w:val="0"/>
              </w:rPr>
              <w:t xml:space="preserve">万元，主要 是因为去年同期计提无形资产减值 </w:t>
            </w:r>
            <w:r>
              <w:rPr>
                <w:color w:val="000000"/>
                <w:spacing w:val="0"/>
                <w:w w:val="100"/>
                <w:position w:val="0"/>
              </w:rPr>
              <w:t>5,619.83</w:t>
            </w:r>
            <w:r>
              <w:rPr>
                <w:rFonts w:ascii="SimSun" w:eastAsia="SimSun" w:hAnsi="SimSun" w:cs="SimSun"/>
                <w:color w:val="000000"/>
                <w:spacing w:val="0"/>
                <w:w w:val="100"/>
                <w:position w:val="0"/>
              </w:rPr>
              <w:t>万元和商誉减值</w:t>
            </w:r>
            <w:r>
              <w:rPr>
                <w:color w:val="000000"/>
                <w:spacing w:val="0"/>
                <w:w w:val="100"/>
                <w:position w:val="0"/>
              </w:rPr>
              <w:t xml:space="preserve">5,251.45 </w:t>
            </w:r>
            <w:r>
              <w:rPr>
                <w:rFonts w:ascii="SimSun" w:eastAsia="SimSun" w:hAnsi="SimSun" w:cs="SimSun"/>
                <w:color w:val="000000"/>
                <w:spacing w:val="0"/>
                <w:w w:val="100"/>
                <w:position w:val="0"/>
              </w:rPr>
              <w:t>万元影响所致。</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资产处置收益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29,593.98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-1,023,212.06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102.89%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报告期，公司资产处置收益比去年 同期增加</w:t>
            </w:r>
            <w:r>
              <w:rPr>
                <w:color w:val="000000"/>
                <w:spacing w:val="0"/>
                <w:w w:val="100"/>
                <w:position w:val="0"/>
              </w:rPr>
              <w:t>102.89%</w:t>
            </w:r>
            <w:r>
              <w:rPr>
                <w:rFonts w:ascii="SimSun" w:eastAsia="SimSun" w:hAnsi="SimSun" w:cs="SimSun"/>
                <w:color w:val="000000"/>
                <w:spacing w:val="0"/>
                <w:w w:val="100"/>
                <w:position w:val="0"/>
              </w:rPr>
              <w:t>，主要是因为报 告期公司处置非流动资产获得收 益，而去年同期处置非流动资产产 生损失影响所致。</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587,881.63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2,634,881.58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报告期，公司营业外收入比去年同 期减少</w:t>
            </w:r>
            <w:r>
              <w:rPr>
                <w:color w:val="000000"/>
                <w:spacing w:val="0"/>
                <w:w w:val="100"/>
                <w:position w:val="0"/>
              </w:rPr>
              <w:t>77.69%</w:t>
            </w:r>
            <w:r>
              <w:rPr>
                <w:rFonts w:ascii="SimSun" w:eastAsia="SimSun" w:hAnsi="SimSun" w:cs="SimSun"/>
                <w:color w:val="000000"/>
                <w:spacing w:val="0"/>
                <w:w w:val="100"/>
                <w:position w:val="0"/>
              </w:rPr>
              <w:t>，主要是因为去年子 公司收到客户违约金</w:t>
            </w:r>
            <w:r>
              <w:rPr>
                <w:color w:val="000000"/>
                <w:spacing w:val="0"/>
                <w:w w:val="100"/>
                <w:position w:val="0"/>
              </w:rPr>
              <w:t>241.14</w:t>
            </w:r>
            <w:r>
              <w:rPr>
                <w:rFonts w:ascii="SimSun" w:eastAsia="SimSun" w:hAnsi="SimSun" w:cs="SimSun"/>
                <w:color w:val="000000"/>
                <w:spacing w:val="0"/>
                <w:w w:val="100"/>
                <w:position w:val="0"/>
              </w:rPr>
              <w:t>万元影 响所致。</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6,092,582.52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-4,647,861.02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231.08%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报告期，公司所得税费用比去年同 期增加</w:t>
            </w:r>
            <w:r>
              <w:rPr>
                <w:color w:val="000000"/>
                <w:spacing w:val="0"/>
                <w:w w:val="100"/>
                <w:position w:val="0"/>
              </w:rPr>
              <w:t>231.08%</w:t>
            </w:r>
            <w:r>
              <w:rPr>
                <w:rFonts w:ascii="SimSun" w:eastAsia="SimSun" w:hAnsi="SimSun" w:cs="SimSun"/>
                <w:color w:val="000000"/>
                <w:spacing w:val="0"/>
                <w:w w:val="100"/>
                <w:position w:val="0"/>
              </w:rPr>
              <w:t>，主要是因为报告 期公司利润总额同比增加，计提所 得税费用增加影响所致。</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-28,196,814.78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报告期，公司少数股东损益比去年 同期增加</w:t>
            </w:r>
            <w:r>
              <w:rPr>
                <w:color w:val="000000"/>
                <w:spacing w:val="0"/>
                <w:w w:val="100"/>
                <w:position w:val="0"/>
              </w:rPr>
              <w:t>100.00%</w:t>
            </w:r>
            <w:r>
              <w:rPr>
                <w:rFonts w:ascii="SimSun" w:eastAsia="SimSun" w:hAnsi="SimSun" w:cs="SimSun"/>
                <w:color w:val="000000"/>
                <w:spacing w:val="0"/>
                <w:w w:val="100"/>
                <w:position w:val="0"/>
              </w:rPr>
              <w:t>，主要是因为去 年同期少数股东损益为负数，而报 告期子公司深圳一卡易公司未纳入 公司合并报表影响所致。</w:t>
            </w:r>
          </w:p>
        </w:tc>
      </w:tr>
      <w:tr>
        <w:trPr>
          <w:trHeight w:val="196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归属于少数股东的综 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-28,196,814.78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报告期，公司归属于少数股东的综 合收益总额比去年同期增加 </w:t>
            </w:r>
            <w:r>
              <w:rPr>
                <w:color w:val="000000"/>
                <w:spacing w:val="0"/>
                <w:w w:val="100"/>
                <w:position w:val="0"/>
              </w:rPr>
              <w:t>100.00%</w:t>
            </w:r>
            <w:r>
              <w:rPr>
                <w:rFonts w:ascii="SimSun" w:eastAsia="SimSun" w:hAnsi="SimSun" w:cs="SimSun"/>
                <w:color w:val="000000"/>
                <w:spacing w:val="0"/>
                <w:w w:val="100"/>
                <w:position w:val="0"/>
              </w:rPr>
              <w:t>，主要是因为去年同期归 属于少数股东的综合收益总额为负 数，而报告期子公司深圳一卡易公 司未纳入合并报表影响所致。</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4</w:t>
      </w:r>
      <w:bookmarkEnd w:id="142"/>
      <w:r>
        <w:rPr>
          <w:color w:val="000000"/>
          <w:spacing w:val="0"/>
          <w:w w:val="100"/>
          <w:position w:val="0"/>
        </w:rPr>
        <w:t>、研发投入</w:t>
      </w:r>
      <w:bookmarkEnd w:id="140"/>
      <w:bookmarkEnd w:id="141"/>
      <w:bookmarkEnd w:id="143"/>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26"/>
        <w:gridCol w:w="1915"/>
        <w:gridCol w:w="1622"/>
        <w:gridCol w:w="2251"/>
        <w:gridCol w:w="2266"/>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主要研发项目名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项目目的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预计对公司未来发展的影 响</w:t>
            </w:r>
          </w:p>
        </w:tc>
      </w:tr>
      <w:tr>
        <w:trPr>
          <w:trHeight w:val="47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5G</w:t>
            </w:r>
            <w:r>
              <w:rPr>
                <w:rFonts w:ascii="SimSun" w:eastAsia="SimSun" w:hAnsi="SimSun" w:cs="SimSun"/>
                <w:color w:val="000000"/>
                <w:spacing w:val="0"/>
                <w:w w:val="100"/>
                <w:position w:val="0"/>
              </w:rPr>
              <w:t>移动通信网 络身份识别模块 研发及产业化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开发全新产品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试生产阶段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在安全上实现国产</w:t>
            </w:r>
            <w:r>
              <w:rPr>
                <w:color w:val="000000"/>
                <w:spacing w:val="0"/>
                <w:w w:val="100"/>
                <w:position w:val="0"/>
              </w:rPr>
              <w:t>SM1</w:t>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SM2</w:t>
            </w:r>
            <w:r>
              <w:rPr>
                <w:rFonts w:ascii="SimSun" w:eastAsia="SimSun" w:hAnsi="SimSun" w:cs="SimSun"/>
                <w:color w:val="000000"/>
                <w:spacing w:val="0"/>
                <w:w w:val="100"/>
                <w:position w:val="0"/>
              </w:rPr>
              <w:t>、</w:t>
            </w:r>
            <w:r>
              <w:rPr>
                <w:color w:val="000000"/>
                <w:spacing w:val="0"/>
                <w:w w:val="100"/>
                <w:position w:val="0"/>
              </w:rPr>
              <w:t>SM3</w:t>
            </w:r>
            <w:r>
              <w:rPr>
                <w:rFonts w:ascii="SimSun" w:eastAsia="SimSun" w:hAnsi="SimSun" w:cs="SimSun"/>
                <w:color w:val="000000"/>
                <w:spacing w:val="0"/>
                <w:w w:val="100"/>
                <w:position w:val="0"/>
              </w:rPr>
              <w:t>、</w:t>
            </w:r>
            <w:r>
              <w:rPr>
                <w:color w:val="000000"/>
                <w:spacing w:val="0"/>
                <w:w w:val="100"/>
                <w:position w:val="0"/>
              </w:rPr>
              <w:t xml:space="preserve">SM4 </w:t>
            </w:r>
            <w:r>
              <w:rPr>
                <w:rFonts w:ascii="SimSun" w:eastAsia="SimSun" w:hAnsi="SimSun" w:cs="SimSun"/>
                <w:color w:val="000000"/>
                <w:spacing w:val="0"/>
                <w:w w:val="100"/>
                <w:position w:val="0"/>
              </w:rPr>
              <w:t>算法， 同时支持</w:t>
            </w:r>
            <w:r>
              <w:rPr>
                <w:color w:val="000000"/>
                <w:spacing w:val="0"/>
                <w:w w:val="100"/>
                <w:position w:val="0"/>
              </w:rPr>
              <w:t>RSA</w:t>
            </w:r>
            <w:r>
              <w:rPr>
                <w:rFonts w:ascii="SimSun" w:eastAsia="SimSun" w:hAnsi="SimSun" w:cs="SimSun"/>
                <w:color w:val="000000"/>
                <w:spacing w:val="0"/>
                <w:w w:val="100"/>
                <w:position w:val="0"/>
              </w:rPr>
              <w:t>，</w:t>
            </w:r>
            <w:r>
              <w:rPr>
                <w:color w:val="000000"/>
                <w:spacing w:val="0"/>
                <w:w w:val="100"/>
                <w:position w:val="0"/>
              </w:rPr>
              <w:t>ECC</w:t>
            </w:r>
            <w:r>
              <w:rPr>
                <w:rFonts w:ascii="SimSun" w:eastAsia="SimSun" w:hAnsi="SimSun" w:cs="SimSun"/>
                <w:color w:val="000000"/>
                <w:spacing w:val="0"/>
                <w:w w:val="100"/>
                <w:position w:val="0"/>
              </w:rPr>
              <w:t>等国 际安全算法。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通过</w:t>
            </w:r>
            <w:r>
              <w:rPr>
                <w:color w:val="000000"/>
                <w:spacing w:val="0"/>
                <w:w w:val="100"/>
                <w:position w:val="0"/>
              </w:rPr>
              <w:t>SIM</w:t>
            </w:r>
            <w:r>
              <w:rPr>
                <w:rFonts w:ascii="SimSun" w:eastAsia="SimSun" w:hAnsi="SimSun" w:cs="SimSun"/>
                <w:color w:val="000000"/>
                <w:spacing w:val="0"/>
                <w:w w:val="100"/>
                <w:position w:val="0"/>
              </w:rPr>
              <w:t>卡和卡槽的取 消，直接降低成本，极大 的减少了物料的使用，减 轻了环境的压力。通过单 一管理平台以安全距离空 中传输的方式完成运营商 安全认证，实现在不同运 营商间的灵活切换，缩减 了实体</w:t>
            </w:r>
            <w:r>
              <w:rPr>
                <w:color w:val="000000"/>
                <w:spacing w:val="0"/>
                <w:w w:val="100"/>
                <w:position w:val="0"/>
              </w:rPr>
              <w:t>SIM</w:t>
            </w:r>
            <w:r>
              <w:rPr>
                <w:rFonts w:ascii="SimSun" w:eastAsia="SimSun" w:hAnsi="SimSun" w:cs="SimSun"/>
                <w:color w:val="000000"/>
                <w:spacing w:val="0"/>
                <w:w w:val="100"/>
                <w:position w:val="0"/>
              </w:rPr>
              <w:t>卡的生产发 行。在开卡流程方面，运 营商只需要在后台开通业 务和计费系统就能开展业 务，从而制卡的流程也更 简单，节省了人工投入成 本。</w:t>
            </w:r>
          </w:p>
        </w:tc>
      </w:tr>
      <w:tr>
        <w:trPr>
          <w:trHeight w:val="723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 xml:space="preserve">基于国产芯片和 国密算法的物联 网安全认证 </w:t>
            </w:r>
            <w:r>
              <w:rPr>
                <w:color w:val="000000"/>
                <w:spacing w:val="0"/>
                <w:w w:val="100"/>
                <w:position w:val="0"/>
              </w:rPr>
              <w:t>ESIM</w:t>
            </w:r>
            <w:r>
              <w:rPr>
                <w:rFonts w:ascii="SimSun" w:eastAsia="SimSun" w:hAnsi="SimSun" w:cs="SimSun"/>
                <w:color w:val="000000"/>
                <w:spacing w:val="0"/>
                <w:w w:val="100"/>
                <w:position w:val="0"/>
              </w:rPr>
              <w:t>的研发及 产业化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开发全新产品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试生产阶段</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连接中硬件模块、操作系 统的国产化</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可以节省由</w:t>
            </w:r>
            <w:r>
              <w:rPr>
                <w:color w:val="000000"/>
                <w:spacing w:val="0"/>
                <w:w w:val="100"/>
                <w:position w:val="0"/>
              </w:rPr>
              <w:t>SIM</w:t>
            </w:r>
            <w:r>
              <w:rPr>
                <w:rFonts w:ascii="SimSun" w:eastAsia="SimSun" w:hAnsi="SimSun" w:cs="SimSun"/>
                <w:color w:val="000000"/>
                <w:spacing w:val="0"/>
                <w:w w:val="100"/>
                <w:position w:val="0"/>
              </w:rPr>
              <w:t xml:space="preserve">卡槽等附 件带来的设备空间的占 用，在体积方面的优势可 以使终端更为轻便，可以 灵活的在不同运营商之间 进行切换，使得跨运营商 的物联网网络得以灵活组 建，防止运营商码号资源 的浪费，让用户自主的根 据业务需要，灵活的选择、 切换资费套餐，大大降低 管理成本和运营成本；并 且采用远程的配置管理， 用户数据的灵活备份及远 程删除形成了更好的数据 防护机制，避免卡片被强 制破解的威胁，能够实时 掌握设备的生命状态，根 据业务需求灵活的配置设 备的状态。在通信管理、 </w:t>
            </w:r>
            <w:r>
              <w:rPr>
                <w:color w:val="000000"/>
                <w:spacing w:val="0"/>
                <w:w w:val="100"/>
                <w:position w:val="0"/>
              </w:rPr>
              <w:t>ESIM</w:t>
            </w:r>
            <w:r>
              <w:rPr>
                <w:rFonts w:ascii="SimSun" w:eastAsia="SimSun" w:hAnsi="SimSun" w:cs="SimSun"/>
                <w:color w:val="000000"/>
                <w:spacing w:val="0"/>
                <w:w w:val="100"/>
                <w:position w:val="0"/>
              </w:rPr>
              <w:t>管理、安全加密、数 据调度等方面提供业务支 撑，大幅降低客户在连接</w:t>
            </w:r>
          </w:p>
        </w:tc>
      </w:tr>
    </w:tbl>
    <w:p>
      <w:pPr>
        <w:spacing w:lineRule="exact" w:line="1"/>
        <w:rPr>
          <w:sz w:val="2"/>
          <w:szCs w:val="2"/>
        </w:rPr>
      </w:pPr>
      <w:r>
        <w:br w:type="page"/>
      </w:r>
    </w:p>
    <w:tbl>
      <w:tblPr>
        <w:tblOverlap w:val="never"/>
        <w:jc w:val="center"/>
        <w:tblLayout w:type="fixed"/>
      </w:tblPr>
      <w:tblGrid>
        <w:gridCol w:w="1526"/>
        <w:gridCol w:w="1915"/>
        <w:gridCol w:w="1622"/>
        <w:gridCol w:w="2251"/>
        <w:gridCol w:w="226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管理方面的困扰，为用户 提供一站式服务。</w:t>
            </w:r>
          </w:p>
        </w:tc>
      </w:tr>
      <w:tr>
        <w:trPr>
          <w:trHeight w:val="3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5GESIM</w:t>
            </w:r>
            <w:r>
              <w:rPr>
                <w:rFonts w:ascii="SimSun" w:eastAsia="SimSun" w:hAnsi="SimSun" w:cs="SimSun"/>
                <w:color w:val="000000"/>
                <w:spacing w:val="0"/>
                <w:w w:val="100"/>
                <w:position w:val="0"/>
              </w:rPr>
              <w:t>区块</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链智能物联网安</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全模块研发及产</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开发全新产品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融合</w:t>
            </w:r>
            <w:r>
              <w:rPr>
                <w:color w:val="000000"/>
                <w:spacing w:val="0"/>
                <w:w w:val="100"/>
                <w:position w:val="0"/>
              </w:rPr>
              <w:t>5G</w:t>
            </w:r>
            <w:r>
              <w:rPr>
                <w:rFonts w:ascii="SimSun" w:eastAsia="SimSun" w:hAnsi="SimSun" w:cs="SimSun"/>
                <w:color w:val="000000"/>
                <w:spacing w:val="0"/>
                <w:w w:val="100"/>
                <w:position w:val="0"/>
              </w:rPr>
              <w:t>、</w:t>
            </w:r>
            <w:r>
              <w:rPr>
                <w:color w:val="000000"/>
                <w:spacing w:val="0"/>
                <w:w w:val="100"/>
                <w:position w:val="0"/>
              </w:rPr>
              <w:t>ESIM</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区块链、 数字货币电子支付等新技 术，具备支持信息高速传 输、网络泛在连接、数据 安全可信、行业多应用融 合的产品特点。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随着</w:t>
            </w:r>
            <w:r>
              <w:rPr>
                <w:color w:val="000000"/>
                <w:spacing w:val="0"/>
                <w:w w:val="100"/>
                <w:position w:val="0"/>
              </w:rPr>
              <w:t>5G</w:t>
            </w:r>
            <w:r>
              <w:rPr>
                <w:rFonts w:ascii="SimSun" w:eastAsia="SimSun" w:hAnsi="SimSun" w:cs="SimSun"/>
                <w:color w:val="000000"/>
                <w:spacing w:val="0"/>
                <w:w w:val="100"/>
                <w:position w:val="0"/>
              </w:rPr>
              <w:t>国家战略发展及 推广，物联网设备连接数 年增长率增长迅速。据相 关机构统计数据，手机等 非物联网设备连接数保持 稳定，物联网设备的连接 数预计</w:t>
            </w:r>
            <w:r>
              <w:rPr>
                <w:color w:val="000000"/>
                <w:spacing w:val="0"/>
                <w:w w:val="100"/>
                <w:position w:val="0"/>
              </w:rPr>
              <w:t>2025</w:t>
            </w:r>
            <w:r>
              <w:rPr>
                <w:rFonts w:ascii="SimSun" w:eastAsia="SimSun" w:hAnsi="SimSun" w:cs="SimSun"/>
                <w:color w:val="000000"/>
                <w:spacing w:val="0"/>
                <w:w w:val="100"/>
                <w:position w:val="0"/>
              </w:rPr>
              <w:t>年物联网设备 连接数将增长到</w:t>
            </w:r>
            <w:r>
              <w:rPr>
                <w:color w:val="000000"/>
                <w:spacing w:val="0"/>
                <w:w w:val="100"/>
                <w:position w:val="0"/>
              </w:rPr>
              <w:t>309</w:t>
            </w:r>
            <w:r>
              <w:rPr>
                <w:rFonts w:ascii="SimSun" w:eastAsia="SimSun" w:hAnsi="SimSun" w:cs="SimSun"/>
                <w:color w:val="000000"/>
                <w:spacing w:val="0"/>
                <w:w w:val="100"/>
                <w:position w:val="0"/>
              </w:rPr>
              <w:t>亿， 其中</w:t>
            </w:r>
            <w:r>
              <w:rPr>
                <w:color w:val="000000"/>
                <w:spacing w:val="0"/>
                <w:w w:val="100"/>
                <w:position w:val="0"/>
              </w:rPr>
              <w:t>5G</w:t>
            </w:r>
            <w:r>
              <w:rPr>
                <w:rFonts w:ascii="SimSun" w:eastAsia="SimSun" w:hAnsi="SimSun" w:cs="SimSun"/>
                <w:color w:val="000000"/>
                <w:spacing w:val="0"/>
                <w:w w:val="100"/>
                <w:position w:val="0"/>
              </w:rPr>
              <w:t>占比逐年增大。根 据第三方咨询机构市场预 测，产品市场容量巨大， 前景良好。</w:t>
            </w:r>
          </w:p>
        </w:tc>
      </w:tr>
      <w:tr>
        <w:trPr>
          <w:trHeight w:val="32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JAVA UranusPay 2.0</w:t>
            </w:r>
            <w:r>
              <w:rPr>
                <w:rFonts w:ascii="SimSun" w:eastAsia="SimSun" w:hAnsi="SimSun" w:cs="SimSun"/>
                <w:color w:val="000000"/>
                <w:spacing w:val="0"/>
                <w:w w:val="100"/>
                <w:position w:val="0"/>
              </w:rPr>
              <w:t>金融智能卡 操作系统研发及 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增加产品功能或产品 性能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小试阶段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UranusPay2.0</w:t>
            </w:r>
            <w:r>
              <w:rPr>
                <w:rFonts w:ascii="SimSun" w:eastAsia="SimSun" w:hAnsi="SimSun" w:cs="SimSun"/>
                <w:color w:val="000000"/>
                <w:spacing w:val="0"/>
                <w:w w:val="100"/>
                <w:position w:val="0"/>
              </w:rPr>
              <w:t>金融智能卡 操作系统，金融</w:t>
            </w:r>
            <w:r>
              <w:rPr>
                <w:color w:val="000000"/>
                <w:spacing w:val="0"/>
                <w:w w:val="100"/>
                <w:position w:val="0"/>
              </w:rPr>
              <w:t>IC</w:t>
            </w:r>
            <w:r>
              <w:rPr>
                <w:rFonts w:ascii="SimSun" w:eastAsia="SimSun" w:hAnsi="SimSun" w:cs="SimSun"/>
                <w:color w:val="000000"/>
                <w:spacing w:val="0"/>
                <w:w w:val="100"/>
                <w:position w:val="0"/>
              </w:rPr>
              <w:t>卡安全 认证，金融、行业应用研 发，金融卡即时发卡系统 研发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金融智能卡广泛应用于电 子凭证应用，解决这些领 域高安全性的要求；支持 更多卡组织应用加载，包 括美国运通、日本</w:t>
            </w:r>
            <w:r>
              <w:rPr>
                <w:color w:val="000000"/>
                <w:spacing w:val="0"/>
                <w:w w:val="100"/>
                <w:position w:val="0"/>
              </w:rPr>
              <w:t>JCB</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美国维萨和万事达等，满 足中国地区外卡支付；支 持数字人民币应用加载， 满足银行</w:t>
            </w:r>
            <w:r>
              <w:rPr>
                <w:color w:val="000000"/>
                <w:spacing w:val="0"/>
                <w:w w:val="100"/>
                <w:position w:val="0"/>
              </w:rPr>
              <w:t>DCEP</w:t>
            </w:r>
            <w:r>
              <w:rPr>
                <w:rFonts w:ascii="SimSun" w:eastAsia="SimSun" w:hAnsi="SimSun" w:cs="SimSun"/>
                <w:color w:val="000000"/>
                <w:spacing w:val="0"/>
                <w:w w:val="100"/>
                <w:position w:val="0"/>
              </w:rPr>
              <w:t>试点项目 推广。</w:t>
            </w:r>
          </w:p>
        </w:tc>
      </w:tr>
      <w:tr>
        <w:trPr>
          <w:trHeight w:val="352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Uranusafe2.0 </w:t>
            </w:r>
            <w:r>
              <w:rPr>
                <w:rFonts w:ascii="SimSun" w:eastAsia="SimSun" w:hAnsi="SimSun" w:cs="SimSun"/>
                <w:color w:val="000000"/>
                <w:spacing w:val="0"/>
                <w:w w:val="100"/>
                <w:position w:val="0"/>
              </w:rPr>
              <w:t>蓝 牙</w:t>
            </w:r>
            <w:r>
              <w:rPr>
                <w:color w:val="000000"/>
                <w:spacing w:val="0"/>
                <w:w w:val="100"/>
                <w:position w:val="0"/>
              </w:rPr>
              <w:t>KEY</w:t>
            </w:r>
            <w:r>
              <w:rPr>
                <w:rFonts w:ascii="SimSun" w:eastAsia="SimSun" w:hAnsi="SimSun" w:cs="SimSun"/>
                <w:color w:val="000000"/>
                <w:spacing w:val="0"/>
                <w:w w:val="100"/>
                <w:position w:val="0"/>
              </w:rPr>
              <w:t>研发与 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增加产品功能或产品 性能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小试阶段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满足税务机关对发票的管 理要求，保证发票税控数 据的正确生成、可靠存储、 防止篡改。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税务</w:t>
            </w:r>
            <w:r>
              <w:rPr>
                <w:color w:val="000000"/>
                <w:spacing w:val="0"/>
                <w:w w:val="100"/>
                <w:position w:val="0"/>
              </w:rPr>
              <w:t>UKey</w:t>
            </w:r>
            <w:r>
              <w:rPr>
                <w:rFonts w:ascii="SimSun" w:eastAsia="SimSun" w:hAnsi="SimSun" w:cs="SimSun"/>
                <w:color w:val="000000"/>
                <w:spacing w:val="0"/>
                <w:w w:val="100"/>
                <w:position w:val="0"/>
              </w:rPr>
              <w:t>由于其安全、 经济、适用等特性，注定 将会应用到各种税务、金 融、安全等各种网络安全 产品中，这将是一个巨大 的市场，由此而引发的市 场高速成长对企业十分具 有吸引力，税务</w:t>
            </w:r>
            <w:r>
              <w:rPr>
                <w:color w:val="000000"/>
                <w:spacing w:val="0"/>
                <w:w w:val="100"/>
                <w:position w:val="0"/>
              </w:rPr>
              <w:t>UKey</w:t>
            </w:r>
            <w:r>
              <w:rPr>
                <w:rFonts w:ascii="SimSun" w:eastAsia="SimSun" w:hAnsi="SimSun" w:cs="SimSun"/>
                <w:color w:val="000000"/>
                <w:spacing w:val="0"/>
                <w:w w:val="100"/>
                <w:position w:val="0"/>
              </w:rPr>
              <w:t>的 成功应用在改变人们生活 方式的同时也将为企业带 来可观的经济效益。</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个性化卡片与制 卡系统服务研发 与产业化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增加产品功能或产品 性能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小试阶段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完成智能卡个性化定制服 务管理平台建设、制卡运 营服务管理平台及即时制 卡系统建设、智能卡行业 应用管理平台建设。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加速企业从提供单一智能 卡产品向''智能产品</w:t>
            </w:r>
            <w:r>
              <w:rPr>
                <w:color w:val="000000"/>
                <w:spacing w:val="0"/>
                <w:w w:val="100"/>
                <w:position w:val="0"/>
              </w:rPr>
              <w:t>+</w:t>
            </w:r>
            <w:r>
              <w:rPr>
                <w:rFonts w:ascii="SimSun" w:eastAsia="SimSun" w:hAnsi="SimSun" w:cs="SimSun"/>
                <w:color w:val="000000"/>
                <w:spacing w:val="0"/>
                <w:w w:val="100"/>
                <w:position w:val="0"/>
              </w:rPr>
              <w:t>增 值服务”转变，同时增加 客户的联动和粘性，公司 可提供“个性化定制与应 用服务”。</w:t>
            </w:r>
          </w:p>
        </w:tc>
      </w:tr>
      <w:tr>
        <w:trPr>
          <w:trHeight w:val="68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数字资产密保硬</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件及管理系统平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开发全新产品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中试阶段</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打造安全可靠的数字资产 密保硬件及管理系统平</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通过一条全新的路径来促 进人民币的国际化，在一</w:t>
            </w:r>
          </w:p>
        </w:tc>
      </w:tr>
    </w:tbl>
    <w:p>
      <w:pPr>
        <w:spacing w:lineRule="exact" w:line="1"/>
        <w:rPr>
          <w:sz w:val="2"/>
          <w:szCs w:val="2"/>
        </w:rPr>
      </w:pPr>
      <w:r>
        <w:br w:type="page"/>
      </w:r>
    </w:p>
    <w:tbl>
      <w:tblPr>
        <w:tblOverlap w:val="never"/>
        <w:jc w:val="center"/>
        <w:tblLayout w:type="fixed"/>
      </w:tblPr>
      <w:tblGrid>
        <w:gridCol w:w="1526"/>
        <w:gridCol w:w="1915"/>
        <w:gridCol w:w="1622"/>
        <w:gridCol w:w="2251"/>
        <w:gridCol w:w="2266"/>
      </w:tblGrid>
      <w:tr>
        <w:trPr>
          <w:trHeight w:val="223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台研发与产业化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台；加快推进国产自主可 控产品计划，构建安全可 控的数字货币技术体系。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带一路国家和全球经济连 结中发挥作用。利用区块 链不可篡改、透明、可追 溯等技术特性，让数字货 币天然具备跨国界优势， 有效地扩大人民币在境外 的使用，实现了规模商用。</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刷脸支付终端研 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开发全新产品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小试阶段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安全可靠的数字人民币智 能受理终端，全周期安全 业务管理系统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助力数字经济发展，捍卫 国家货币主权。加快推进 国产自主可控产品计划， 构建安全可控的数字人民 币技术体系。有利于促进 我国数字人民币技术和产 业链发展，加速落地应用 场景。</w:t>
            </w:r>
          </w:p>
        </w:tc>
      </w:tr>
      <w:tr>
        <w:trPr>
          <w:trHeight w:val="228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移动支付云平台 研发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开发全新产品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小试阶段</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实现了数字人民币在园区 场景下的综合应用，面向 园区用户提供数字人民币 支付和身份认证服务。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可支持金融机构搭建基础 平台，助力“金融</w:t>
            </w:r>
            <w:r>
              <w:rPr>
                <w:color w:val="000000"/>
                <w:spacing w:val="0"/>
                <w:w w:val="100"/>
                <w:position w:val="0"/>
              </w:rPr>
              <w:t>+</w:t>
            </w:r>
            <w:r>
              <w:rPr>
                <w:rFonts w:ascii="SimSun" w:eastAsia="SimSun" w:hAnsi="SimSun" w:cs="SimSun"/>
                <w:color w:val="000000"/>
                <w:spacing w:val="0"/>
                <w:w w:val="100"/>
                <w:position w:val="0"/>
              </w:rPr>
              <w:t>教育”， “金融</w:t>
            </w:r>
            <w:r>
              <w:rPr>
                <w:color w:val="000000"/>
                <w:spacing w:val="0"/>
                <w:w w:val="100"/>
                <w:position w:val="0"/>
              </w:rPr>
              <w:t>+</w:t>
            </w:r>
            <w:r>
              <w:rPr>
                <w:rFonts w:ascii="SimSun" w:eastAsia="SimSun" w:hAnsi="SimSun" w:cs="SimSun"/>
                <w:color w:val="000000"/>
                <w:spacing w:val="0"/>
                <w:w w:val="100"/>
                <w:position w:val="0"/>
              </w:rPr>
              <w:t>园区”，“金融</w:t>
            </w:r>
            <w:r>
              <w:rPr>
                <w:color w:val="000000"/>
                <w:spacing w:val="0"/>
                <w:w w:val="100"/>
                <w:position w:val="0"/>
              </w:rPr>
              <w:t>+</w:t>
            </w:r>
            <w:r>
              <w:rPr>
                <w:rFonts w:ascii="SimSun" w:eastAsia="SimSun" w:hAnsi="SimSun" w:cs="SimSun"/>
                <w:color w:val="000000"/>
                <w:spacing w:val="0"/>
                <w:w w:val="100"/>
                <w:position w:val="0"/>
              </w:rPr>
              <w:t>社 区”等生态圈的建设，便 于各金融机构下辖各分支 行开展产品营销和数字人 民币行业应用项目拓展。</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1960" w:right="0" w:firstLine="0"/>
              <w:jc w:val="left"/>
            </w:pPr>
            <w:r>
              <w:rPr>
                <w:color w:val="000000"/>
                <w:spacing w:val="0"/>
                <w:w w:val="100"/>
                <w:position w:val="0"/>
              </w:rPr>
              <w:t>279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1960" w:right="0" w:firstLine="0"/>
              <w:jc w:val="left"/>
            </w:pPr>
            <w:r>
              <w:rPr>
                <w:color w:val="000000"/>
                <w:spacing w:val="0"/>
                <w:w w:val="100"/>
                <w:position w:val="0"/>
              </w:rPr>
              <w:t>357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1660" w:right="0" w:firstLine="0"/>
              <w:jc w:val="left"/>
            </w:pPr>
            <w:r>
              <w:rPr>
                <w:color w:val="000000"/>
                <w:spacing w:val="0"/>
                <w:w w:val="100"/>
                <w:position w:val="0"/>
              </w:rPr>
              <w:t>-21.85%</w:t>
            </w: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1720" w:right="0" w:firstLine="0"/>
              <w:jc w:val="left"/>
            </w:pPr>
            <w:r>
              <w:rPr>
                <w:color w:val="000000"/>
                <w:spacing w:val="0"/>
                <w:w w:val="100"/>
                <w:position w:val="0"/>
              </w:rPr>
              <w:t>23.39%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27.59%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-4.20%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研发人员学历结构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-17.86%</w:t>
            </w: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1660" w:right="0" w:firstLine="0"/>
              <w:jc w:val="left"/>
            </w:pPr>
            <w:r>
              <w:rPr>
                <w:color w:val="000000"/>
                <w:spacing w:val="0"/>
                <w:w w:val="100"/>
                <w:position w:val="0"/>
              </w:rPr>
              <w:t>-13.33%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研发人员年龄构成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岁以下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-41.24%</w:t>
            </w:r>
          </w:p>
        </w:tc>
      </w:tr>
      <w:tr>
        <w:trPr>
          <w:trHeight w:val="413"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 xml:space="preserve">30~40 </w:t>
            </w:r>
            <w:r>
              <w:rPr>
                <w:rFonts w:ascii="SimSun" w:eastAsia="SimSun" w:hAnsi="SimSun" w:cs="SimSun"/>
                <w:color w:val="000000"/>
                <w:spacing w:val="0"/>
                <w:w w:val="100"/>
                <w:position w:val="0"/>
              </w:rPr>
              <w:t>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1960" w:right="0" w:firstLine="0"/>
              <w:jc w:val="left"/>
            </w:pPr>
            <w:r>
              <w:rPr>
                <w:color w:val="000000"/>
                <w:spacing w:val="0"/>
                <w:w w:val="100"/>
                <w:position w:val="0"/>
              </w:rPr>
              <w:t>137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1960" w:right="0" w:firstLine="0"/>
              <w:jc w:val="left"/>
            </w:pPr>
            <w:r>
              <w:rPr>
                <w:color w:val="000000"/>
                <w:spacing w:val="0"/>
                <w:w w:val="100"/>
                <w:position w:val="0"/>
              </w:rPr>
              <w:t>182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1660" w:right="0" w:firstLine="0"/>
              <w:jc w:val="left"/>
            </w:pPr>
            <w:r>
              <w:rPr>
                <w:color w:val="000000"/>
                <w:spacing w:val="0"/>
                <w:w w:val="100"/>
                <w:position w:val="0"/>
              </w:rPr>
              <w:t>-24.73%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59" w:line="1" w:lineRule="exact"/>
      </w:pP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变动比例</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100,363,256.11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127,474,839.43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-21.27%</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5</w:t>
      </w:r>
      <w:bookmarkEnd w:id="146"/>
      <w:r>
        <w:rPr>
          <w:color w:val="000000"/>
          <w:spacing w:val="0"/>
          <w:w w:val="100"/>
          <w:position w:val="0"/>
        </w:rPr>
        <w:t>、现金流</w:t>
      </w:r>
      <w:bookmarkEnd w:id="144"/>
      <w:bookmarkEnd w:id="145"/>
      <w:bookmarkEnd w:id="1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1,064,344,867.24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1,661,406,488.56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-35.94%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1,002,021,532.22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1,146,251,035.48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-12.58%</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62,323,335.02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515,155,453.08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-87.90%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3,562,913,392.73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2,729,705,470.53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30.52%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3,715,371,104.46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3,340,872,702.36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11.21%</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-152,457,711.73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-611,167,231.83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75.05%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66,000,000.00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-100.00%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173,852,248.41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5,363,812.20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3,141.21%</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-173,852,248.41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60,636,187.80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-386.71%</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-265,523,631.75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-39,200,506.29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-577.35%</w:t>
            </w:r>
          </w:p>
        </w:tc>
      </w:tr>
    </w:tbl>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”适用口不适用</w:t>
      </w:r>
    </w:p>
    <w:p>
      <w:pPr>
        <w:pStyle w:val="Style18"/>
        <w:keepNext w:val="0"/>
        <w:keepLines w:val="0"/>
        <w:widowControl w:val="0"/>
        <w:shd w:val="clear" w:color="auto" w:fill="auto"/>
        <w:tabs>
          <w:tab w:pos="344" w:val="left"/>
        </w:tabs>
        <w:bidi w:val="0"/>
        <w:spacing w:before="0" w:after="0" w:line="307" w:lineRule="exact"/>
        <w:ind w:left="0" w:right="0" w:firstLine="0"/>
        <w:jc w:val="left"/>
      </w:pPr>
      <w:bookmarkStart w:id="148" w:name="bookmark148"/>
      <w:r>
        <w:rPr>
          <w:color w:val="000000"/>
          <w:spacing w:val="0"/>
          <w:w w:val="100"/>
          <w:position w:val="0"/>
        </w:rPr>
        <w:t>1</w:t>
      </w:r>
      <w:bookmarkEnd w:id="148"/>
      <w:r>
        <w:rPr>
          <w:color w:val="000000"/>
          <w:spacing w:val="0"/>
          <w:w w:val="100"/>
          <w:position w:val="0"/>
        </w:rPr>
        <w:t>、</w:t>
        <w:tab/>
        <w:t>经营活动现金流入小计：报告期，公司经营活动现金流入比去年同期减少35.94%，主要是因为去年同期公司收到物联网 业务回款金额</w:t>
      </w:r>
      <w:r>
        <w:rPr>
          <w:color w:val="000000"/>
          <w:spacing w:val="0"/>
          <w:w w:val="100"/>
          <w:position w:val="0"/>
        </w:rPr>
        <w:t>5.32</w:t>
      </w:r>
      <w:r>
        <w:rPr>
          <w:color w:val="000000"/>
          <w:spacing w:val="0"/>
          <w:w w:val="100"/>
          <w:position w:val="0"/>
        </w:rPr>
        <w:t>亿元，本报告期无相关业务回款，及本报告期未将子公司一卡易并入合并报表范围共同影响所致。</w:t>
      </w:r>
    </w:p>
    <w:p>
      <w:pPr>
        <w:pStyle w:val="Style18"/>
        <w:keepNext w:val="0"/>
        <w:keepLines w:val="0"/>
        <w:widowControl w:val="0"/>
        <w:shd w:val="clear" w:color="auto" w:fill="auto"/>
        <w:tabs>
          <w:tab w:pos="344" w:val="left"/>
        </w:tabs>
        <w:bidi w:val="0"/>
        <w:spacing w:before="0" w:after="0" w:line="317" w:lineRule="exact"/>
        <w:ind w:left="0" w:right="0" w:firstLine="0"/>
        <w:jc w:val="left"/>
      </w:pPr>
      <w:bookmarkStart w:id="149" w:name="bookmark149"/>
      <w:r>
        <w:rPr>
          <w:color w:val="000000"/>
          <w:spacing w:val="0"/>
          <w:w w:val="100"/>
          <w:position w:val="0"/>
        </w:rPr>
        <w:t>2</w:t>
      </w:r>
      <w:bookmarkEnd w:id="149"/>
      <w:r>
        <w:rPr>
          <w:color w:val="000000"/>
          <w:spacing w:val="0"/>
          <w:w w:val="100"/>
          <w:position w:val="0"/>
        </w:rPr>
        <w:t>、</w:t>
        <w:tab/>
        <w:t>经营活动产生的现金流量净额：报告期，公司经营活动产生的现金流量净额比去年同期减少87.90%，主要是因为去年同 期公司收到物联网业务回款金额</w:t>
      </w:r>
      <w:r>
        <w:rPr>
          <w:color w:val="000000"/>
          <w:spacing w:val="0"/>
          <w:w w:val="100"/>
          <w:position w:val="0"/>
        </w:rPr>
        <w:t>5.32</w:t>
      </w:r>
      <w:r>
        <w:rPr>
          <w:color w:val="000000"/>
          <w:spacing w:val="0"/>
          <w:w w:val="100"/>
          <w:position w:val="0"/>
        </w:rPr>
        <w:t>亿元，本报告期无相关业务回款，导致本报告期经营活动现金流入同比减少。</w:t>
      </w:r>
    </w:p>
    <w:p>
      <w:pPr>
        <w:pStyle w:val="Style18"/>
        <w:keepNext w:val="0"/>
        <w:keepLines w:val="0"/>
        <w:widowControl w:val="0"/>
        <w:shd w:val="clear" w:color="auto" w:fill="auto"/>
        <w:tabs>
          <w:tab w:pos="344" w:val="left"/>
        </w:tabs>
        <w:bidi w:val="0"/>
        <w:spacing w:before="0" w:after="0" w:line="317" w:lineRule="exact"/>
        <w:ind w:left="0" w:right="0" w:firstLine="0"/>
        <w:jc w:val="left"/>
      </w:pPr>
      <w:bookmarkStart w:id="150" w:name="bookmark150"/>
      <w:r>
        <w:rPr>
          <w:color w:val="000000"/>
          <w:spacing w:val="0"/>
          <w:w w:val="100"/>
          <w:position w:val="0"/>
        </w:rPr>
        <w:t>3</w:t>
      </w:r>
      <w:bookmarkEnd w:id="150"/>
      <w:r>
        <w:rPr>
          <w:color w:val="000000"/>
          <w:spacing w:val="0"/>
          <w:w w:val="100"/>
          <w:position w:val="0"/>
        </w:rPr>
        <w:t>、</w:t>
        <w:tab/>
        <w:t>投资活动现金流入小计：报告期，公司投资活动现金流入比去年同期增加30.52%，主要是因为公司收回投资收到的现金 和取得投资收益收到的现金同比增加</w:t>
      </w:r>
      <w:r>
        <w:rPr>
          <w:color w:val="000000"/>
          <w:spacing w:val="0"/>
          <w:w w:val="100"/>
          <w:position w:val="0"/>
        </w:rPr>
        <w:t>8.33</w:t>
      </w:r>
      <w:r>
        <w:rPr>
          <w:color w:val="000000"/>
          <w:spacing w:val="0"/>
          <w:w w:val="100"/>
          <w:position w:val="0"/>
        </w:rPr>
        <w:t>亿元影响所致。</w:t>
      </w:r>
    </w:p>
    <w:p>
      <w:pPr>
        <w:pStyle w:val="Style18"/>
        <w:keepNext w:val="0"/>
        <w:keepLines w:val="0"/>
        <w:widowControl w:val="0"/>
        <w:shd w:val="clear" w:color="auto" w:fill="auto"/>
        <w:tabs>
          <w:tab w:pos="349" w:val="left"/>
        </w:tabs>
        <w:bidi w:val="0"/>
        <w:spacing w:before="0" w:after="0" w:line="312" w:lineRule="exact"/>
        <w:ind w:left="0" w:right="0" w:firstLine="0"/>
        <w:jc w:val="left"/>
      </w:pPr>
      <w:bookmarkStart w:id="151" w:name="bookmark151"/>
      <w:r>
        <w:rPr>
          <w:color w:val="000000"/>
          <w:spacing w:val="0"/>
          <w:w w:val="100"/>
          <w:position w:val="0"/>
        </w:rPr>
        <w:t>4</w:t>
      </w:r>
      <w:bookmarkEnd w:id="151"/>
      <w:r>
        <w:rPr>
          <w:color w:val="000000"/>
          <w:spacing w:val="0"/>
          <w:w w:val="100"/>
          <w:position w:val="0"/>
        </w:rPr>
        <w:t>、</w:t>
        <w:tab/>
        <w:t>投资活动产生的现金流量净额：报告期，公司投资活动产生的现金流量净额比去年同期增加75.05%，主要是因为公司收 回投资收到的现金增加额比投资支付的现金增加额多</w:t>
      </w:r>
      <w:r>
        <w:rPr>
          <w:color w:val="000000"/>
          <w:spacing w:val="0"/>
          <w:w w:val="100"/>
          <w:position w:val="0"/>
        </w:rPr>
        <w:t>3.94</w:t>
      </w:r>
      <w:r>
        <w:rPr>
          <w:color w:val="000000"/>
          <w:spacing w:val="0"/>
          <w:w w:val="100"/>
          <w:position w:val="0"/>
        </w:rPr>
        <w:t>亿元，及购建固定资产、无形资产和其他长期资产支付的现金同比 减少1</w:t>
      </w:r>
      <w:r>
        <w:rPr>
          <w:color w:val="000000"/>
          <w:spacing w:val="0"/>
          <w:w w:val="100"/>
          <w:position w:val="0"/>
        </w:rPr>
        <w:t>.45</w:t>
      </w:r>
      <w:r>
        <w:rPr>
          <w:color w:val="000000"/>
          <w:spacing w:val="0"/>
          <w:w w:val="100"/>
          <w:position w:val="0"/>
        </w:rPr>
        <w:t>亿元共同影响所致。</w:t>
      </w:r>
    </w:p>
    <w:p>
      <w:pPr>
        <w:pStyle w:val="Style18"/>
        <w:keepNext w:val="0"/>
        <w:keepLines w:val="0"/>
        <w:widowControl w:val="0"/>
        <w:shd w:val="clear" w:color="auto" w:fill="auto"/>
        <w:tabs>
          <w:tab w:pos="349" w:val="left"/>
        </w:tabs>
        <w:bidi w:val="0"/>
        <w:spacing w:before="0" w:after="0" w:line="312" w:lineRule="exact"/>
        <w:ind w:left="0" w:right="0" w:firstLine="0"/>
        <w:jc w:val="left"/>
      </w:pPr>
      <w:bookmarkStart w:id="152" w:name="bookmark152"/>
      <w:r>
        <w:rPr>
          <w:color w:val="000000"/>
          <w:spacing w:val="0"/>
          <w:w w:val="100"/>
          <w:position w:val="0"/>
        </w:rPr>
        <w:t>5</w:t>
      </w:r>
      <w:bookmarkEnd w:id="152"/>
      <w:r>
        <w:rPr>
          <w:color w:val="000000"/>
          <w:spacing w:val="0"/>
          <w:w w:val="100"/>
          <w:position w:val="0"/>
        </w:rPr>
        <w:t>、</w:t>
        <w:tab/>
        <w:t>筹资活动现金流入小计：报告期，公司筹资活动现金流入比去年同期减少100.00%，主要是因为去年子公司润芯为支付购 房款取得银行借款</w:t>
      </w:r>
      <w:r>
        <w:rPr>
          <w:color w:val="000000"/>
          <w:spacing w:val="0"/>
          <w:w w:val="100"/>
          <w:position w:val="0"/>
        </w:rPr>
        <w:t>0.6</w:t>
      </w:r>
      <w:r>
        <w:rPr>
          <w:color w:val="000000"/>
          <w:spacing w:val="0"/>
          <w:w w:val="100"/>
          <w:position w:val="0"/>
        </w:rPr>
        <w:t>1亿元影响所致。</w:t>
      </w:r>
    </w:p>
    <w:p>
      <w:pPr>
        <w:pStyle w:val="Style18"/>
        <w:keepNext w:val="0"/>
        <w:keepLines w:val="0"/>
        <w:widowControl w:val="0"/>
        <w:shd w:val="clear" w:color="auto" w:fill="auto"/>
        <w:tabs>
          <w:tab w:pos="349" w:val="left"/>
        </w:tabs>
        <w:bidi w:val="0"/>
        <w:spacing w:before="0" w:after="80" w:line="326" w:lineRule="exact"/>
        <w:ind w:left="0" w:right="0" w:firstLine="0"/>
        <w:jc w:val="left"/>
      </w:pPr>
      <w:bookmarkStart w:id="153" w:name="bookmark153"/>
      <w:r>
        <w:rPr>
          <w:color w:val="000000"/>
          <w:spacing w:val="0"/>
          <w:w w:val="100"/>
          <w:position w:val="0"/>
        </w:rPr>
        <w:t>6</w:t>
      </w:r>
      <w:bookmarkEnd w:id="153"/>
      <w:r>
        <w:rPr>
          <w:color w:val="000000"/>
          <w:spacing w:val="0"/>
          <w:w w:val="100"/>
          <w:position w:val="0"/>
        </w:rPr>
        <w:t>、</w:t>
        <w:tab/>
        <w:t>筹资活动现金流出小计：报告期，公司筹资活动现金流出比去年同期增加3,141.21%，主要是因为分配21年半年度股利支 付的现金影响所致。</w:t>
      </w:r>
    </w:p>
    <w:p>
      <w:pPr>
        <w:pStyle w:val="Style18"/>
        <w:keepNext w:val="0"/>
        <w:keepLines w:val="0"/>
        <w:widowControl w:val="0"/>
        <w:shd w:val="clear" w:color="auto" w:fill="auto"/>
        <w:tabs>
          <w:tab w:pos="344" w:val="left"/>
        </w:tabs>
        <w:bidi w:val="0"/>
        <w:spacing w:before="0" w:after="0" w:line="307" w:lineRule="exact"/>
        <w:ind w:left="0" w:right="0" w:firstLine="0"/>
        <w:jc w:val="both"/>
      </w:pPr>
      <w:bookmarkStart w:id="154" w:name="bookmark154"/>
      <w:r>
        <w:rPr>
          <w:color w:val="000000"/>
          <w:spacing w:val="0"/>
          <w:w w:val="100"/>
          <w:position w:val="0"/>
        </w:rPr>
        <w:t>7</w:t>
      </w:r>
      <w:bookmarkEnd w:id="154"/>
      <w:r>
        <w:rPr>
          <w:color w:val="000000"/>
          <w:spacing w:val="0"/>
          <w:w w:val="100"/>
          <w:position w:val="0"/>
        </w:rPr>
        <w:t>、</w:t>
        <w:tab/>
        <w:t>筹资活动产生的现金流量净额：报告期，公司筹资活动产生的现金流量净额比去年同期减少386.71%,主要是因为报告期 未取得借款收到的现金比去年同期减少</w:t>
      </w:r>
      <w:r>
        <w:rPr>
          <w:color w:val="000000"/>
          <w:spacing w:val="0"/>
          <w:w w:val="100"/>
          <w:position w:val="0"/>
        </w:rPr>
        <w:t>0.66</w:t>
      </w:r>
      <w:r>
        <w:rPr>
          <w:color w:val="000000"/>
          <w:spacing w:val="0"/>
          <w:w w:val="100"/>
          <w:position w:val="0"/>
        </w:rPr>
        <w:t xml:space="preserve">亿元，及偿还债务支付的现金、分配股利、利润或偿付利息支付的现金同比增加 </w:t>
      </w:r>
      <w:r>
        <w:rPr>
          <w:color w:val="000000"/>
          <w:spacing w:val="0"/>
          <w:w w:val="100"/>
          <w:position w:val="0"/>
        </w:rPr>
        <w:t xml:space="preserve">1.6 </w:t>
      </w:r>
      <w:r>
        <w:rPr>
          <w:color w:val="000000"/>
          <w:spacing w:val="0"/>
          <w:w w:val="100"/>
          <w:position w:val="0"/>
        </w:rPr>
        <w:t>7亿元，两者共同影响所致。</w:t>
      </w:r>
    </w:p>
    <w:p>
      <w:pPr>
        <w:pStyle w:val="Style18"/>
        <w:keepNext w:val="0"/>
        <w:keepLines w:val="0"/>
        <w:widowControl w:val="0"/>
        <w:shd w:val="clear" w:color="auto" w:fill="auto"/>
        <w:tabs>
          <w:tab w:pos="344" w:val="left"/>
        </w:tabs>
        <w:bidi w:val="0"/>
        <w:spacing w:before="0" w:after="0" w:line="326" w:lineRule="exact"/>
        <w:ind w:left="0" w:right="0" w:firstLine="0"/>
        <w:jc w:val="both"/>
      </w:pPr>
      <w:bookmarkStart w:id="155" w:name="bookmark155"/>
      <w:r>
        <w:rPr>
          <w:color w:val="000000"/>
          <w:spacing w:val="0"/>
          <w:w w:val="100"/>
          <w:position w:val="0"/>
        </w:rPr>
        <w:t>8</w:t>
      </w:r>
      <w:bookmarkEnd w:id="155"/>
      <w:r>
        <w:rPr>
          <w:color w:val="000000"/>
          <w:spacing w:val="0"/>
          <w:w w:val="100"/>
          <w:position w:val="0"/>
        </w:rPr>
        <w:t>、</w:t>
        <w:tab/>
        <w:t>现金及现金等价物净增加额：报告期，公司现金及现金等价物净增加额比去年同期减少577.35%，主要是因为公司报告期 上述经营、投资、筹资活动产生的现金流量与去年同期相比发生变化，共同影响所致。</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340" w:line="317" w:lineRule="exact"/>
        <w:ind w:left="0" w:right="0" w:firstLine="0"/>
        <w:jc w:val="both"/>
      </w:pPr>
      <w:r>
        <w:rPr>
          <w:color w:val="000000"/>
          <w:spacing w:val="0"/>
          <w:w w:val="100"/>
          <w:position w:val="0"/>
        </w:rPr>
        <w:t>口适用”不适用</w:t>
      </w:r>
    </w:p>
    <w:p>
      <w:pPr>
        <w:pStyle w:val="Style23"/>
        <w:keepNext/>
        <w:keepLines/>
        <w:widowControl w:val="0"/>
        <w:shd w:val="clear" w:color="auto" w:fill="auto"/>
        <w:bidi w:val="0"/>
        <w:spacing w:before="0" w:after="240" w:line="240" w:lineRule="auto"/>
        <w:ind w:left="0" w:right="0" w:firstLine="0"/>
        <w:jc w:val="both"/>
      </w:pPr>
      <w:bookmarkStart w:id="156" w:name="bookmark156"/>
      <w:bookmarkStart w:id="157" w:name="bookmark157"/>
      <w:bookmarkStart w:id="158" w:name="bookmark158"/>
      <w:bookmarkStart w:id="159" w:name="bookmark159"/>
      <w:r>
        <w:rPr>
          <w:color w:val="000000"/>
          <w:spacing w:val="0"/>
          <w:w w:val="100"/>
          <w:position w:val="0"/>
          <w:sz w:val="24"/>
          <w:szCs w:val="24"/>
        </w:rPr>
        <w:t>五</w:t>
      </w:r>
      <w:bookmarkEnd w:id="158"/>
      <w:r>
        <w:rPr>
          <w:color w:val="000000"/>
          <w:spacing w:val="0"/>
          <w:w w:val="100"/>
          <w:position w:val="0"/>
          <w:sz w:val="24"/>
          <w:szCs w:val="24"/>
        </w:rPr>
        <w:t>、非主营业务分析</w:t>
      </w:r>
      <w:bookmarkEnd w:id="156"/>
      <w:bookmarkEnd w:id="157"/>
      <w:bookmarkEnd w:id="159"/>
    </w:p>
    <w:p>
      <w:pPr>
        <w:pStyle w:val="Style1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65"/>
        <w:gridCol w:w="235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是否具有可持续性</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52,130,497.30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88.10%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权益法核算的长期股权 投资收益及委托他人投 资或管理资产的投资收 益等组成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80" w:line="240" w:lineRule="auto"/>
              <w:ind w:left="0" w:right="0" w:firstLine="0"/>
              <w:jc w:val="left"/>
            </w:pPr>
            <w:r>
              <w:rPr>
                <w:rFonts w:ascii="SimSun" w:eastAsia="SimSun" w:hAnsi="SimSun" w:cs="SimSun"/>
                <w:color w:val="000000"/>
                <w:spacing w:val="0"/>
                <w:w w:val="100"/>
                <w:position w:val="0"/>
              </w:rPr>
              <w:t>公允价值变动损</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4,850,792.37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期末理财产品以公允价 值计量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-11,024,282.76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计提存货跌价准备、计提 商誉减值准备共同形成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587,881.63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政府奖励款等形成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234,532.85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捐款捐赠等形成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-2,744,899.84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计提应收款项坏账准备 形成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11,438,199.30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软件产品退税及科研项 目政府补助款等形成</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软件产品退税具有可持续 性；科研项目政府补助款不 具有可持续性</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sz w:val="24"/>
          <w:szCs w:val="24"/>
        </w:rPr>
        <w:t>六</w:t>
      </w:r>
      <w:bookmarkEnd w:id="162"/>
      <w:r>
        <w:rPr>
          <w:color w:val="000000"/>
          <w:spacing w:val="0"/>
          <w:w w:val="100"/>
          <w:position w:val="0"/>
          <w:sz w:val="24"/>
          <w:szCs w:val="24"/>
        </w:rPr>
        <w:t>、资产及负债状况分析</w:t>
      </w:r>
      <w:bookmarkEnd w:id="160"/>
      <w:bookmarkEnd w:id="161"/>
      <w:bookmarkEnd w:id="163"/>
    </w:p>
    <w:p>
      <w:pPr>
        <w:pStyle w:val="Style27"/>
        <w:keepNext/>
        <w:keepLines/>
        <w:widowControl w:val="0"/>
        <w:shd w:val="clear" w:color="auto" w:fill="auto"/>
        <w:bidi w:val="0"/>
        <w:spacing w:before="0" w:after="34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1</w:t>
      </w:r>
      <w:bookmarkEnd w:id="166"/>
      <w:r>
        <w:rPr>
          <w:color w:val="000000"/>
          <w:spacing w:val="0"/>
          <w:w w:val="100"/>
          <w:position w:val="0"/>
        </w:rPr>
        <w:t>、资产构成重大变动情况</w:t>
      </w:r>
      <w:bookmarkEnd w:id="164"/>
      <w:bookmarkEnd w:id="165"/>
      <w:bookmarkEnd w:id="16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1"/>
        <w:gridCol w:w="1195"/>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1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201,488,305.</w:t>
            </w:r>
          </w:p>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9.23%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466,594,220.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报告期末，货币资金比年初减少</w:t>
            </w:r>
          </w:p>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56.82%</w:t>
            </w:r>
            <w:r>
              <w:rPr>
                <w:rFonts w:ascii="SimSun" w:eastAsia="SimSun" w:hAnsi="SimSun" w:cs="SimSun"/>
                <w:color w:val="000000"/>
                <w:spacing w:val="0"/>
                <w:w w:val="100"/>
                <w:position w:val="0"/>
              </w:rPr>
              <w:t>，主要是因为购买理财产品 增加、销售商品收回的现金减少及 控股子公司一卡易未纳入公司合并</w:t>
            </w:r>
          </w:p>
        </w:tc>
      </w:tr>
    </w:tbl>
    <w:p>
      <w:pPr>
        <w:spacing w:lineRule="exact" w:line="1"/>
        <w:rPr>
          <w:sz w:val="2"/>
          <w:szCs w:val="2"/>
        </w:rPr>
      </w:pPr>
      <w:r>
        <w:br w:type="page"/>
      </w:r>
    </w:p>
    <w:tbl>
      <w:tblPr>
        <w:tblOverlap w:val="never"/>
        <w:jc w:val="center"/>
        <w:tblLayout w:type="fixed"/>
      </w:tblPr>
      <w:tblGrid>
        <w:gridCol w:w="1373"/>
        <w:gridCol w:w="1162"/>
        <w:gridCol w:w="1061"/>
        <w:gridCol w:w="1195"/>
        <w:gridCol w:w="1066"/>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报表，共同影响所致。</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149,088,833.</w:t>
            </w:r>
          </w:p>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149,066,277.</w:t>
            </w:r>
          </w:p>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无重大变化。</w:t>
            </w:r>
          </w:p>
        </w:tc>
      </w:tr>
      <w:tr>
        <w:trPr>
          <w:trHeight w:val="39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229,059,143.</w:t>
            </w:r>
          </w:p>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244,435,874.</w:t>
            </w:r>
          </w:p>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无重大变化。</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170,732,650.</w:t>
            </w:r>
          </w:p>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216,686,984.</w:t>
            </w:r>
          </w:p>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无重大变化。</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306,758,374.</w:t>
            </w:r>
          </w:p>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313,581,913.</w:t>
            </w:r>
          </w:p>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无重大变化。</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1,262,376.23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3,837,623.75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报告期末，在建工程比年初减少 </w:t>
            </w:r>
            <w:r>
              <w:rPr>
                <w:color w:val="000000"/>
                <w:spacing w:val="0"/>
                <w:w w:val="100"/>
                <w:position w:val="0"/>
              </w:rPr>
              <w:t>67.11%</w:t>
            </w:r>
            <w:r>
              <w:rPr>
                <w:rFonts w:ascii="SimSun" w:eastAsia="SimSun" w:hAnsi="SimSun" w:cs="SimSun"/>
                <w:color w:val="000000"/>
                <w:spacing w:val="0"/>
                <w:w w:val="100"/>
                <w:position w:val="0"/>
              </w:rPr>
              <w:t>，主要是因为股份公司车间 改造及办公楼装修达到可使用状态 转固所致。</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3,904,546.82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5,437,061.05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无重大变化。</w:t>
            </w: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不适用。</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40,557,106.0</w:t>
            </w:r>
          </w:p>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75,481,072.0</w:t>
            </w:r>
          </w:p>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 xml:space="preserve">报告期末，合同负债比年初减少 </w:t>
            </w:r>
            <w:r>
              <w:rPr>
                <w:color w:val="000000"/>
                <w:spacing w:val="0"/>
                <w:w w:val="100"/>
                <w:position w:val="0"/>
              </w:rPr>
              <w:t>46.27%</w:t>
            </w:r>
            <w:r>
              <w:rPr>
                <w:rFonts w:ascii="SimSun" w:eastAsia="SimSun" w:hAnsi="SimSun" w:cs="SimSun"/>
                <w:color w:val="000000"/>
                <w:spacing w:val="0"/>
                <w:w w:val="100"/>
                <w:position w:val="0"/>
              </w:rPr>
              <w:t>，主要是因为预收款减少所 致。</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20,320,000.0</w:t>
            </w:r>
          </w:p>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40,660,000.0</w:t>
            </w:r>
          </w:p>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-0.79%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 xml:space="preserve">报告期末，长期借款比年初减少 </w:t>
            </w:r>
            <w:r>
              <w:rPr>
                <w:color w:val="000000"/>
                <w:spacing w:val="0"/>
                <w:w w:val="100"/>
                <w:position w:val="0"/>
              </w:rPr>
              <w:t>50.02%</w:t>
            </w:r>
            <w:r>
              <w:rPr>
                <w:rFonts w:ascii="SimSun" w:eastAsia="SimSun" w:hAnsi="SimSun" w:cs="SimSun"/>
                <w:color w:val="000000"/>
                <w:spacing w:val="0"/>
                <w:w w:val="100"/>
                <w:position w:val="0"/>
              </w:rPr>
              <w:t>，主要是因为银行借款归还 影响所致。</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2,451,837.61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3,905,571.58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无重大变化。</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209,888.00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47,636.80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报告期末，应收款项融资比年初增 加</w:t>
            </w:r>
            <w:r>
              <w:rPr>
                <w:color w:val="000000"/>
                <w:spacing w:val="0"/>
                <w:w w:val="100"/>
                <w:position w:val="0"/>
              </w:rPr>
              <w:t>340.60%</w:t>
            </w:r>
            <w:r>
              <w:rPr>
                <w:rFonts w:ascii="SimSun" w:eastAsia="SimSun" w:hAnsi="SimSun" w:cs="SimSun"/>
                <w:color w:val="000000"/>
                <w:spacing w:val="0"/>
                <w:w w:val="100"/>
                <w:position w:val="0"/>
              </w:rPr>
              <w:t>，主要是因为报告期公 司银行承兑汇票结算业务增加影响 所致。</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其他权益工具 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报告期末，其他权益工具投资比年 初减少</w:t>
            </w:r>
            <w:r>
              <w:rPr>
                <w:color w:val="000000"/>
                <w:spacing w:val="0"/>
                <w:w w:val="100"/>
                <w:position w:val="0"/>
              </w:rPr>
              <w:t>50.25%</w:t>
            </w:r>
            <w:r>
              <w:rPr>
                <w:rFonts w:ascii="SimSun" w:eastAsia="SimSun" w:hAnsi="SimSun" w:cs="SimSun"/>
                <w:color w:val="000000"/>
                <w:spacing w:val="0"/>
                <w:w w:val="100"/>
                <w:position w:val="0"/>
              </w:rPr>
              <w:t>，主要是因为报告期 公司收回南京盛宇涌鑫股权投资中 心（有限合伙）投资款</w:t>
            </w:r>
            <w:r>
              <w:rPr>
                <w:color w:val="000000"/>
                <w:spacing w:val="0"/>
                <w:w w:val="100"/>
                <w:position w:val="0"/>
              </w:rPr>
              <w:t>300.00</w:t>
            </w:r>
            <w:r>
              <w:rPr>
                <w:rFonts w:ascii="SimSun" w:eastAsia="SimSun" w:hAnsi="SimSun" w:cs="SimSun"/>
                <w:color w:val="000000"/>
                <w:spacing w:val="0"/>
                <w:w w:val="100"/>
                <w:position w:val="0"/>
              </w:rPr>
              <w:t>万元 影响所致。</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4,425,017.47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报告期末，商誉比年初减少</w:t>
            </w:r>
            <w:r>
              <w:rPr>
                <w:color w:val="000000"/>
                <w:spacing w:val="0"/>
                <w:w w:val="100"/>
                <w:position w:val="0"/>
              </w:rPr>
              <w:t>100%</w:t>
            </w:r>
            <w:r>
              <w:rPr>
                <w:rFonts w:ascii="SimSun" w:eastAsia="SimSun" w:hAnsi="SimSun" w:cs="SimSun"/>
                <w:color w:val="000000"/>
                <w:spacing w:val="0"/>
                <w:w w:val="100"/>
                <w:position w:val="0"/>
              </w:rPr>
              <w:t xml:space="preserve">， 主要是因为报告期收购马来西亚的 </w:t>
            </w:r>
            <w:r>
              <w:rPr>
                <w:color w:val="000000"/>
                <w:spacing w:val="0"/>
                <w:w w:val="100"/>
                <w:position w:val="0"/>
              </w:rPr>
              <w:t>MOD</w:t>
            </w:r>
            <w:r>
              <w:rPr>
                <w:rFonts w:ascii="SimSun" w:eastAsia="SimSun" w:hAnsi="SimSun" w:cs="SimSun"/>
                <w:color w:val="000000"/>
                <w:spacing w:val="0"/>
                <w:w w:val="100"/>
                <w:position w:val="0"/>
              </w:rPr>
              <w:t>和</w:t>
            </w:r>
            <w:r>
              <w:rPr>
                <w:color w:val="000000"/>
                <w:spacing w:val="0"/>
                <w:w w:val="100"/>
                <w:position w:val="0"/>
              </w:rPr>
              <w:t>ASCC</w:t>
            </w:r>
            <w:r>
              <w:rPr>
                <w:rFonts w:ascii="SimSun" w:eastAsia="SimSun" w:hAnsi="SimSun" w:cs="SimSun"/>
                <w:color w:val="000000"/>
                <w:spacing w:val="0"/>
                <w:w w:val="100"/>
                <w:position w:val="0"/>
              </w:rPr>
              <w:t>两个孙公司产生的 商誉发生减值影响所致。</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2,419,088.70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10,792,283.8</w:t>
            </w:r>
          </w:p>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-0.35%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报告期末，长期待摊费用比年初减 少</w:t>
            </w:r>
            <w:r>
              <w:rPr>
                <w:color w:val="000000"/>
                <w:spacing w:val="0"/>
                <w:w w:val="100"/>
                <w:position w:val="0"/>
              </w:rPr>
              <w:t>77.59%</w:t>
            </w:r>
            <w:r>
              <w:rPr>
                <w:rFonts w:ascii="SimSun" w:eastAsia="SimSun" w:hAnsi="SimSun" w:cs="SimSun"/>
                <w:color w:val="000000"/>
                <w:spacing w:val="0"/>
                <w:w w:val="100"/>
                <w:position w:val="0"/>
              </w:rPr>
              <w:t>，主要是因为报告期公司</w:t>
            </w:r>
          </w:p>
        </w:tc>
      </w:tr>
    </w:tbl>
    <w:p>
      <w:pPr>
        <w:spacing w:lineRule="exact" w:line="1"/>
        <w:rPr>
          <w:sz w:val="2"/>
          <w:szCs w:val="2"/>
        </w:rPr>
      </w:pPr>
      <w:r>
        <w:br w:type="page"/>
      </w:r>
    </w:p>
    <w:tbl>
      <w:tblPr>
        <w:tblOverlap w:val="never"/>
        <w:jc w:val="center"/>
        <w:tblLayout w:type="fixed"/>
      </w:tblPr>
      <w:tblGrid>
        <w:gridCol w:w="1373"/>
        <w:gridCol w:w="1162"/>
        <w:gridCol w:w="1061"/>
        <w:gridCol w:w="1195"/>
        <w:gridCol w:w="1066"/>
        <w:gridCol w:w="797"/>
        <w:gridCol w:w="292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摊销了长期服务费影响所致。</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递延所得税资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9,460,430.95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5,837,778.65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报告期末，递延所得税资产比年初 增加</w:t>
            </w:r>
            <w:r>
              <w:rPr>
                <w:color w:val="000000"/>
                <w:spacing w:val="0"/>
                <w:w w:val="100"/>
                <w:position w:val="0"/>
              </w:rPr>
              <w:t>62.06%</w:t>
            </w:r>
            <w:r>
              <w:rPr>
                <w:rFonts w:ascii="SimSun" w:eastAsia="SimSun" w:hAnsi="SimSun" w:cs="SimSun"/>
                <w:color w:val="000000"/>
                <w:spacing w:val="0"/>
                <w:w w:val="100"/>
                <w:position w:val="0"/>
              </w:rPr>
              <w:t>，主要是因为报告期公 司税率调整导致递延所得税资产增 加及增加股权激励费用计提递延所 得税资产共同影响所致。</w:t>
            </w:r>
          </w:p>
        </w:tc>
      </w:tr>
      <w:tr>
        <w:trPr>
          <w:trHeight w:val="32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其他非流动资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63,927,034.6</w:t>
            </w:r>
          </w:p>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1,169,561.90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报告期末，其他非流动资产比年初 增加</w:t>
            </w:r>
            <w:r>
              <w:rPr>
                <w:color w:val="000000"/>
                <w:spacing w:val="0"/>
                <w:w w:val="100"/>
                <w:position w:val="0"/>
              </w:rPr>
              <w:t>5,365.90%</w:t>
            </w:r>
            <w:r>
              <w:rPr>
                <w:rFonts w:ascii="SimSun" w:eastAsia="SimSun" w:hAnsi="SimSun" w:cs="SimSun"/>
                <w:color w:val="000000"/>
                <w:spacing w:val="0"/>
                <w:w w:val="100"/>
                <w:position w:val="0"/>
              </w:rPr>
              <w:t>，主要是因公司已 失去对控股子公司一卡易的控制， 自</w:t>
            </w:r>
            <w:r>
              <w:rPr>
                <w:color w:val="000000"/>
                <w:spacing w:val="0"/>
                <w:w w:val="100"/>
                <w:position w:val="0"/>
              </w:rPr>
              <w:t>2021</w:t>
            </w:r>
            <w:r>
              <w:rPr>
                <w:rFonts w:ascii="SimSun" w:eastAsia="SimSun" w:hAnsi="SimSun" w:cs="SimSun"/>
                <w:color w:val="000000"/>
                <w:spacing w:val="0"/>
                <w:w w:val="100"/>
                <w:position w:val="0"/>
              </w:rPr>
              <w:t xml:space="preserve">年起不再将其纳入合并报 表范围。公司管理层认为公司持有 的一卡易股权及其相应的减值准备 作为一项长期资产具有价值并予以 管理，于是将持有的一卡易 </w:t>
            </w:r>
            <w:r>
              <w:rPr>
                <w:color w:val="000000"/>
                <w:spacing w:val="0"/>
                <w:w w:val="100"/>
                <w:position w:val="0"/>
              </w:rPr>
              <w:t>51.102%</w:t>
            </w:r>
            <w:r>
              <w:rPr>
                <w:rFonts w:ascii="SimSun" w:eastAsia="SimSun" w:hAnsi="SimSun" w:cs="SimSun"/>
                <w:color w:val="000000"/>
                <w:spacing w:val="0"/>
                <w:w w:val="100"/>
                <w:position w:val="0"/>
              </w:rPr>
              <w:t>股权及相应的减值准备转 入该科目列示。</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287,500.00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 xml:space="preserve">报告期末，应付票据比年初减少 </w:t>
            </w:r>
            <w:r>
              <w:rPr>
                <w:color w:val="000000"/>
                <w:spacing w:val="0"/>
                <w:w w:val="100"/>
                <w:position w:val="0"/>
              </w:rPr>
              <w:t>75.00%</w:t>
            </w:r>
            <w:r>
              <w:rPr>
                <w:rFonts w:ascii="SimSun" w:eastAsia="SimSun" w:hAnsi="SimSun" w:cs="SimSun"/>
                <w:color w:val="000000"/>
                <w:spacing w:val="0"/>
                <w:w w:val="100"/>
                <w:position w:val="0"/>
              </w:rPr>
              <w:t>，主要是因为报告期公司采 用银行承兑汇票结算方式的采购业 务减少所致。</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2,288,160.16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3,709,637.83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报告期末，应付职工薪酬比年初减 少</w:t>
            </w:r>
            <w:r>
              <w:rPr>
                <w:color w:val="000000"/>
                <w:spacing w:val="0"/>
                <w:w w:val="100"/>
                <w:position w:val="0"/>
              </w:rPr>
              <w:t>38.32%</w:t>
            </w:r>
            <w:r>
              <w:rPr>
                <w:rFonts w:ascii="SimSun" w:eastAsia="SimSun" w:hAnsi="SimSun" w:cs="SimSun"/>
                <w:color w:val="000000"/>
                <w:spacing w:val="0"/>
                <w:w w:val="100"/>
                <w:position w:val="0"/>
              </w:rPr>
              <w:t>，主要是因为上年末控股 子公司一卡易应付职工薪酬</w:t>
            </w:r>
            <w:r>
              <w:rPr>
                <w:color w:val="000000"/>
                <w:spacing w:val="0"/>
                <w:w w:val="100"/>
                <w:position w:val="0"/>
              </w:rPr>
              <w:t xml:space="preserve">241.05 </w:t>
            </w:r>
            <w:r>
              <w:rPr>
                <w:rFonts w:ascii="SimSun" w:eastAsia="SimSun" w:hAnsi="SimSun" w:cs="SimSun"/>
                <w:color w:val="000000"/>
                <w:spacing w:val="0"/>
                <w:w w:val="100"/>
                <w:position w:val="0"/>
              </w:rPr>
              <w:t>万元，今年报告期控股子公司深圳 一卡易公司未纳入合并报表影响所 致。</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12,297,576.9</w:t>
            </w:r>
          </w:p>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8,161,297.22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0.21%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报告期末，应交税费比年初增加 </w:t>
            </w:r>
            <w:r>
              <w:rPr>
                <w:color w:val="000000"/>
                <w:spacing w:val="0"/>
                <w:w w:val="100"/>
                <w:position w:val="0"/>
              </w:rPr>
              <w:t>50.68%</w:t>
            </w:r>
            <w:r>
              <w:rPr>
                <w:rFonts w:ascii="SimSun" w:eastAsia="SimSun" w:hAnsi="SimSun" w:cs="SimSun"/>
                <w:color w:val="000000"/>
                <w:spacing w:val="0"/>
                <w:w w:val="100"/>
                <w:position w:val="0"/>
              </w:rPr>
              <w:t>，主要是因为报告期公司利 润总额增加，且企业所得税税率优 惠由重点软件的</w:t>
            </w:r>
            <w:r>
              <w:rPr>
                <w:color w:val="000000"/>
                <w:spacing w:val="0"/>
                <w:w w:val="100"/>
                <w:position w:val="0"/>
              </w:rPr>
              <w:t>10%</w:t>
            </w:r>
            <w:r>
              <w:rPr>
                <w:rFonts w:ascii="SimSun" w:eastAsia="SimSun" w:hAnsi="SimSun" w:cs="SimSun"/>
                <w:color w:val="000000"/>
                <w:spacing w:val="0"/>
                <w:w w:val="100"/>
                <w:position w:val="0"/>
              </w:rPr>
              <w:t>改为高新技术 企业的</w:t>
            </w:r>
            <w:r>
              <w:rPr>
                <w:color w:val="000000"/>
                <w:spacing w:val="0"/>
                <w:w w:val="100"/>
                <w:position w:val="0"/>
              </w:rPr>
              <w:t>15%</w:t>
            </w:r>
            <w:r>
              <w:rPr>
                <w:rFonts w:ascii="SimSun" w:eastAsia="SimSun" w:hAnsi="SimSun" w:cs="SimSun"/>
                <w:color w:val="000000"/>
                <w:spacing w:val="0"/>
                <w:w w:val="100"/>
                <w:position w:val="0"/>
              </w:rPr>
              <w:t>，计提税率增加影响所 致。</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8,893,265.79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15,107,199.1</w:t>
            </w:r>
          </w:p>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-0.23%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 xml:space="preserve">报告期末，其他应付款比年初减少 </w:t>
            </w:r>
            <w:r>
              <w:rPr>
                <w:color w:val="000000"/>
                <w:spacing w:val="0"/>
                <w:w w:val="100"/>
                <w:position w:val="0"/>
              </w:rPr>
              <w:t>41.13%</w:t>
            </w:r>
            <w:r>
              <w:rPr>
                <w:rFonts w:ascii="SimSun" w:eastAsia="SimSun" w:hAnsi="SimSun" w:cs="SimSun"/>
                <w:color w:val="000000"/>
                <w:spacing w:val="0"/>
                <w:w w:val="100"/>
                <w:position w:val="0"/>
              </w:rPr>
              <w:t>，主要是因为报告期公司应 付而未付的费用减少所致。</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5,005,839.82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8,461,491.75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报告期末，其他流动负债比年初减 少</w:t>
            </w:r>
            <w:r>
              <w:rPr>
                <w:color w:val="000000"/>
                <w:spacing w:val="0"/>
                <w:w w:val="100"/>
                <w:position w:val="0"/>
              </w:rPr>
              <w:t>40.84%</w:t>
            </w:r>
            <w:r>
              <w:rPr>
                <w:rFonts w:ascii="SimSun" w:eastAsia="SimSun" w:hAnsi="SimSun" w:cs="SimSun"/>
                <w:color w:val="000000"/>
                <w:spacing w:val="0"/>
                <w:w w:val="100"/>
                <w:position w:val="0"/>
              </w:rPr>
              <w:t>，主要是因为报告期合同 负债产生的待转销销项税比年初减 少所致。</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3,916,621.53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6,055,828.29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报告期末，递延收益比年初减少 </w:t>
            </w:r>
            <w:r>
              <w:rPr>
                <w:color w:val="000000"/>
                <w:spacing w:val="0"/>
                <w:w w:val="100"/>
                <w:position w:val="0"/>
              </w:rPr>
              <w:t>35.32%</w:t>
            </w:r>
            <w:r>
              <w:rPr>
                <w:rFonts w:ascii="SimSun" w:eastAsia="SimSun" w:hAnsi="SimSun" w:cs="SimSun"/>
                <w:color w:val="000000"/>
                <w:spacing w:val="0"/>
                <w:w w:val="100"/>
                <w:position w:val="0"/>
              </w:rPr>
              <w:t>，主要是因为报告期公司按 期结转政府研发项目补贴所致。</w:t>
            </w:r>
          </w:p>
        </w:tc>
      </w:tr>
    </w:tbl>
    <w:p>
      <w:pPr>
        <w:spacing w:lineRule="exact" w:line="1"/>
        <w:rPr>
          <w:sz w:val="2"/>
          <w:szCs w:val="2"/>
        </w:rPr>
      </w:pPr>
      <w:r>
        <w:br w:type="page"/>
      </w:r>
    </w:p>
    <w:tbl>
      <w:tblPr>
        <w:tblOverlap w:val="never"/>
        <w:jc w:val="center"/>
        <w:tblLayout w:type="fixed"/>
      </w:tblPr>
      <w:tblGrid>
        <w:gridCol w:w="1373"/>
        <w:gridCol w:w="1162"/>
        <w:gridCol w:w="1061"/>
        <w:gridCol w:w="1195"/>
        <w:gridCol w:w="1066"/>
        <w:gridCol w:w="797"/>
        <w:gridCol w:w="2928"/>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13,402,392.0</w:t>
            </w:r>
          </w:p>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833,192.07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报告期末，资本公积比年初增加 </w:t>
            </w:r>
            <w:r>
              <w:rPr>
                <w:color w:val="000000"/>
                <w:spacing w:val="0"/>
                <w:w w:val="100"/>
                <w:position w:val="0"/>
              </w:rPr>
              <w:t>1,508.56%</w:t>
            </w:r>
            <w:r>
              <w:rPr>
                <w:rFonts w:ascii="SimSun" w:eastAsia="SimSun" w:hAnsi="SimSun" w:cs="SimSun"/>
                <w:color w:val="000000"/>
                <w:spacing w:val="0"/>
                <w:w w:val="100"/>
                <w:position w:val="0"/>
              </w:rPr>
              <w:t>,主要是因为报告期公司 按期计提股份激励费用影响所致。</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-2,522,521.5</w:t>
            </w:r>
          </w:p>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-1,770,618.4</w:t>
            </w:r>
          </w:p>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报告期末，其他综合收益比年初减 少</w:t>
            </w:r>
            <w:r>
              <w:rPr>
                <w:color w:val="000000"/>
                <w:spacing w:val="0"/>
                <w:w w:val="100"/>
                <w:position w:val="0"/>
              </w:rPr>
              <w:t>42.47%</w:t>
            </w:r>
            <w:r>
              <w:rPr>
                <w:rFonts w:ascii="SimSun" w:eastAsia="SimSun" w:hAnsi="SimSun" w:cs="SimSun"/>
                <w:color w:val="000000"/>
                <w:spacing w:val="0"/>
                <w:w w:val="100"/>
                <w:position w:val="0"/>
              </w:rPr>
              <w:t>，主要是因为报告期汇率 变动影响所致。</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60,782,859.9</w:t>
            </w:r>
          </w:p>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报告期末，少数股东权益比年初减 少</w:t>
            </w:r>
            <w:r>
              <w:rPr>
                <w:color w:val="000000"/>
                <w:spacing w:val="0"/>
                <w:w w:val="100"/>
                <w:position w:val="0"/>
              </w:rPr>
              <w:t>100.00%</w:t>
            </w:r>
            <w:r>
              <w:rPr>
                <w:rFonts w:ascii="SimSun" w:eastAsia="SimSun" w:hAnsi="SimSun" w:cs="SimSun"/>
                <w:color w:val="000000"/>
                <w:spacing w:val="0"/>
                <w:w w:val="100"/>
                <w:position w:val="0"/>
              </w:rPr>
              <w:t>，主要是因为控股子公 司深圳一卡易公司未纳入合并报表 影响所致。</w:t>
            </w:r>
          </w:p>
        </w:tc>
      </w:tr>
    </w:tbl>
    <w:p>
      <w:pPr>
        <w:pStyle w:val="Style1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境外资产占比较高 口适用”不适用</w:t>
      </w:r>
    </w:p>
    <w:p>
      <w:pPr>
        <w:pStyle w:val="Style27"/>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w:t>
      </w:r>
      <w:bookmarkEnd w:id="170"/>
      <w:r>
        <w:rPr>
          <w:color w:val="000000"/>
          <w:spacing w:val="0"/>
          <w:w w:val="100"/>
          <w:position w:val="0"/>
        </w:rPr>
        <w:t>、以公允价值计量的资产和负债</w:t>
      </w:r>
      <w:bookmarkEnd w:id="168"/>
      <w:bookmarkEnd w:id="169"/>
      <w:bookmarkEnd w:id="17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0"/>
        <w:gridCol w:w="1090"/>
        <w:gridCol w:w="1094"/>
        <w:gridCol w:w="1090"/>
        <w:gridCol w:w="1090"/>
        <w:gridCol w:w="1090"/>
        <w:gridCol w:w="965"/>
        <w:gridCol w:w="974"/>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本期公允</w:t>
            </w:r>
          </w:p>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价值变动</w:t>
            </w:r>
          </w:p>
          <w:p>
            <w:pPr>
              <w:pStyle w:val="Style20"/>
              <w:keepNext w:val="0"/>
              <w:keepLines w:val="0"/>
              <w:widowControl w:val="0"/>
              <w:shd w:val="clear" w:color="auto" w:fill="auto"/>
              <w:bidi w:val="0"/>
              <w:spacing w:before="0" w:after="100" w:line="240" w:lineRule="auto"/>
              <w:ind w:left="0" w:right="0" w:firstLine="360"/>
              <w:jc w:val="left"/>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计入权益 的累计公 允价值变 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本期计提 的减值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本期购买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本期出售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交易性金 融资产（不 含衍生金 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863,892,88</w:t>
            </w:r>
          </w:p>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4,850,792.3</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3,602,239,8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3,461,426,9</w:t>
            </w:r>
          </w:p>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-30,765,9</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978,790,6</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38.37</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其他权益 工具投资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6,030,000.0</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3,000,000.0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right"/>
            </w:pPr>
            <w:r>
              <w:rPr>
                <w:color w:val="000000"/>
                <w:spacing w:val="0"/>
                <w:w w:val="100"/>
                <w:position w:val="0"/>
              </w:rPr>
              <w:t>-30,000.0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3,000,000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金融资产 小计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869,922,88</w:t>
            </w:r>
          </w:p>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6.64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4,850,792.3</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right"/>
            </w:pPr>
            <w:r>
              <w:rPr>
                <w:color w:val="000000"/>
                <w:spacing w:val="0"/>
                <w:w w:val="100"/>
                <w:position w:val="0"/>
              </w:rPr>
              <w:t>3,602,239,8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3,464,426,9</w:t>
            </w:r>
          </w:p>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17.48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right"/>
            </w:pPr>
            <w:r>
              <w:rPr>
                <w:color w:val="000000"/>
                <w:spacing w:val="0"/>
                <w:w w:val="100"/>
                <w:position w:val="0"/>
              </w:rPr>
              <w:t>-30,795,9</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69.16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981,790,6</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38.37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应收款项</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47,636.80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288,457.04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126,205.84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209,888.0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24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869,970,52</w:t>
            </w:r>
          </w:p>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3.44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4,850,792.3</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right"/>
            </w:pPr>
            <w:r>
              <w:rPr>
                <w:color w:val="000000"/>
                <w:spacing w:val="0"/>
                <w:w w:val="100"/>
                <w:position w:val="0"/>
              </w:rPr>
              <w:t>3,602,528,3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3,464,553,1</w:t>
            </w:r>
          </w:p>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23.32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right"/>
            </w:pPr>
            <w:r>
              <w:rPr>
                <w:color w:val="000000"/>
                <w:spacing w:val="0"/>
                <w:w w:val="100"/>
                <w:position w:val="0"/>
              </w:rPr>
              <w:t>-30,795,9</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69.16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982,000,5</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26.37</w:t>
            </w:r>
          </w:p>
        </w:tc>
      </w:tr>
      <w:tr>
        <w:trPr>
          <w:trHeight w:val="413"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6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其他变动的内容</w:t>
      </w:r>
    </w:p>
    <w:p>
      <w:pPr>
        <w:pStyle w:val="Style18"/>
        <w:keepNext w:val="0"/>
        <w:keepLines w:val="0"/>
        <w:widowControl w:val="0"/>
        <w:shd w:val="clear" w:color="auto" w:fill="auto"/>
        <w:bidi w:val="0"/>
        <w:spacing w:before="0" w:after="500" w:line="312" w:lineRule="exact"/>
        <w:ind w:left="0" w:right="0" w:firstLine="0"/>
        <w:jc w:val="left"/>
      </w:pPr>
      <w:r>
        <w:rPr>
          <w:color w:val="000000"/>
          <w:spacing w:val="0"/>
          <w:w w:val="100"/>
          <w:position w:val="0"/>
        </w:rPr>
        <w:t>其他变动金额为子公司深圳一卡易金融资产期初数，本报告期未纳入合并报表，减少在其他中列示，及报告期收回南京盛宇 涌鑫股权投资中心（有限合伙）投资款300万元。</w:t>
      </w: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口是"否</w:t>
      </w:r>
    </w:p>
    <w:p>
      <w:pPr>
        <w:pStyle w:val="Style27"/>
        <w:keepNext/>
        <w:keepLines/>
        <w:widowControl w:val="0"/>
        <w:shd w:val="clear" w:color="auto" w:fill="auto"/>
        <w:bidi w:val="0"/>
        <w:spacing w:before="0" w:after="30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、截至报告期末的资产权利受限情况</w:t>
      </w:r>
      <w:bookmarkEnd w:id="172"/>
      <w:bookmarkEnd w:id="173"/>
      <w:bookmarkEnd w:id="175"/>
    </w:p>
    <w:p>
      <w:pPr>
        <w:pStyle w:val="Style18"/>
        <w:keepNext w:val="0"/>
        <w:keepLines w:val="0"/>
        <w:widowControl w:val="0"/>
        <w:shd w:val="clear" w:color="auto" w:fill="auto"/>
        <w:tabs>
          <w:tab w:pos="536" w:val="left"/>
        </w:tabs>
        <w:bidi w:val="0"/>
        <w:spacing w:before="0" w:after="0" w:line="312" w:lineRule="exact"/>
        <w:ind w:left="0" w:right="0" w:firstLine="0"/>
        <w:jc w:val="left"/>
      </w:pPr>
      <w:bookmarkStart w:id="176" w:name="bookmark176"/>
      <w:r>
        <w:rPr>
          <w:color w:val="000000"/>
          <w:spacing w:val="0"/>
          <w:w w:val="100"/>
          <w:position w:val="0"/>
        </w:rPr>
        <w:t>（</w:t>
      </w:r>
      <w:bookmarkEnd w:id="176"/>
      <w:r>
        <w:rPr>
          <w:color w:val="000000"/>
          <w:spacing w:val="0"/>
          <w:w w:val="100"/>
          <w:position w:val="0"/>
        </w:rPr>
        <w:t>1）</w:t>
        <w:tab/>
        <w:t>公司以其所有的座落于北京西城区金融大街的不动产为抵押，向中国农业银行股份有限公司丹阳支行取得</w:t>
      </w:r>
      <w:r>
        <w:rPr>
          <w:color w:val="000000"/>
          <w:spacing w:val="0"/>
          <w:w w:val="100"/>
          <w:position w:val="0"/>
        </w:rPr>
        <w:t>1.9</w:t>
      </w:r>
      <w:r>
        <w:rPr>
          <w:color w:val="000000"/>
          <w:spacing w:val="0"/>
          <w:w w:val="100"/>
          <w:position w:val="0"/>
        </w:rPr>
        <w:t>亿元人民 币授信额度。截至期末，上述抵押物账面原值为人民币</w:t>
      </w:r>
      <w:r>
        <w:rPr>
          <w:color w:val="000000"/>
          <w:spacing w:val="0"/>
          <w:w w:val="100"/>
          <w:position w:val="0"/>
        </w:rPr>
        <w:t>43,690,478.23</w:t>
      </w:r>
      <w:r>
        <w:rPr>
          <w:color w:val="000000"/>
          <w:spacing w:val="0"/>
          <w:w w:val="100"/>
          <w:position w:val="0"/>
        </w:rPr>
        <w:t>元，账面价值为人民币</w:t>
      </w:r>
      <w:r>
        <w:rPr>
          <w:color w:val="000000"/>
          <w:spacing w:val="0"/>
          <w:w w:val="100"/>
          <w:position w:val="0"/>
        </w:rPr>
        <w:t>31,290,334.39</w:t>
      </w:r>
      <w:r>
        <w:rPr>
          <w:color w:val="000000"/>
          <w:spacing w:val="0"/>
          <w:w w:val="100"/>
          <w:position w:val="0"/>
        </w:rPr>
        <w:t>元。授信额度 用于开具信用证及保函。报告期末，已使用授信额度人民币</w:t>
      </w:r>
      <w:r>
        <w:rPr>
          <w:color w:val="000000"/>
          <w:spacing w:val="0"/>
          <w:w w:val="100"/>
          <w:position w:val="0"/>
        </w:rPr>
        <w:t>765,707.02</w:t>
      </w:r>
      <w:r>
        <w:rPr>
          <w:color w:val="000000"/>
          <w:spacing w:val="0"/>
          <w:w w:val="100"/>
          <w:position w:val="0"/>
        </w:rPr>
        <w:t>元。</w:t>
      </w:r>
    </w:p>
    <w:p>
      <w:pPr>
        <w:pStyle w:val="Style18"/>
        <w:keepNext w:val="0"/>
        <w:keepLines w:val="0"/>
        <w:widowControl w:val="0"/>
        <w:shd w:val="clear" w:color="auto" w:fill="auto"/>
        <w:tabs>
          <w:tab w:pos="536" w:val="left"/>
        </w:tabs>
        <w:bidi w:val="0"/>
        <w:spacing w:before="0" w:after="360" w:line="312" w:lineRule="exact"/>
        <w:ind w:left="0" w:right="0" w:firstLine="0"/>
        <w:jc w:val="left"/>
      </w:pPr>
      <w:bookmarkStart w:id="177" w:name="bookmark177"/>
      <w:r>
        <w:rPr>
          <w:color w:val="000000"/>
          <w:spacing w:val="0"/>
          <w:w w:val="100"/>
          <w:position w:val="0"/>
        </w:rPr>
        <w:t>（</w:t>
      </w:r>
      <w:bookmarkEnd w:id="177"/>
      <w:r>
        <w:rPr>
          <w:color w:val="000000"/>
          <w:spacing w:val="0"/>
          <w:w w:val="100"/>
          <w:position w:val="0"/>
        </w:rPr>
        <w:t>2）</w:t>
        <w:tab/>
        <w:t>公司以其所有的座落于丹阳市云阳镇横塘化工路、横塘工业园、云阳镇东马场的不动产为抵押物、保证金的质押，向 中国银行股份有限公司丹阳支行取得2亿元人民币授信额度。截至期末，上述抵押物账面原值为人民币</w:t>
      </w:r>
      <w:r>
        <w:rPr>
          <w:color w:val="000000"/>
          <w:spacing w:val="0"/>
          <w:w w:val="100"/>
          <w:position w:val="0"/>
        </w:rPr>
        <w:t>147,986,796.09</w:t>
      </w:r>
      <w:r>
        <w:rPr>
          <w:color w:val="000000"/>
          <w:spacing w:val="0"/>
          <w:w w:val="100"/>
          <w:position w:val="0"/>
        </w:rPr>
        <w:t>元， 账面价值为人民币</w:t>
      </w:r>
      <w:r>
        <w:rPr>
          <w:color w:val="000000"/>
          <w:spacing w:val="0"/>
          <w:w w:val="100"/>
          <w:position w:val="0"/>
        </w:rPr>
        <w:t>64,518,386.21</w:t>
      </w:r>
      <w:r>
        <w:rPr>
          <w:color w:val="000000"/>
          <w:spacing w:val="0"/>
          <w:w w:val="100"/>
          <w:position w:val="0"/>
        </w:rPr>
        <w:t>元。授信额度用于开具信用证及保函。报告期末，已使用授信额度人民币</w:t>
      </w:r>
      <w:r>
        <w:rPr>
          <w:color w:val="000000"/>
          <w:spacing w:val="0"/>
          <w:w w:val="100"/>
          <w:position w:val="0"/>
        </w:rPr>
        <w:t>6,742,968.76</w:t>
      </w:r>
      <w:r>
        <w:rPr>
          <w:color w:val="000000"/>
          <w:spacing w:val="0"/>
          <w:w w:val="100"/>
          <w:position w:val="0"/>
        </w:rPr>
        <w:t>元。</w:t>
      </w:r>
    </w:p>
    <w:p>
      <w:pPr>
        <w:pStyle w:val="Style23"/>
        <w:keepNext/>
        <w:keepLines/>
        <w:widowControl w:val="0"/>
        <w:shd w:val="clear" w:color="auto" w:fill="auto"/>
        <w:bidi w:val="0"/>
        <w:spacing w:before="0" w:after="30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七</w:t>
      </w:r>
      <w:bookmarkEnd w:id="180"/>
      <w:r>
        <w:rPr>
          <w:color w:val="000000"/>
          <w:spacing w:val="0"/>
          <w:w w:val="100"/>
          <w:position w:val="0"/>
          <w:sz w:val="24"/>
          <w:szCs w:val="24"/>
        </w:rPr>
        <w:t>、投资状况分析</w:t>
      </w:r>
      <w:bookmarkEnd w:id="178"/>
      <w:bookmarkEnd w:id="179"/>
      <w:bookmarkEnd w:id="181"/>
    </w:p>
    <w:p>
      <w:pPr>
        <w:pStyle w:val="Style27"/>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、总体情况</w:t>
      </w:r>
      <w:bookmarkEnd w:id="182"/>
      <w:bookmarkEnd w:id="183"/>
      <w:bookmarkEnd w:id="185"/>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145,202,222.23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607,758,134.94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、报告期内获取的重大的股权投资情况</w:t>
      </w:r>
      <w:bookmarkEnd w:id="186"/>
      <w:bookmarkEnd w:id="187"/>
      <w:bookmarkEnd w:id="189"/>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w:t>
        <w:tab/>
        <w:t>报告期内正在进行的重大的非股权投资情况</w:t>
      </w:r>
      <w:bookmarkEnd w:id="190"/>
      <w:bookmarkEnd w:id="191"/>
      <w:bookmarkEnd w:id="19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378" w:val="left"/>
        </w:tabs>
        <w:bidi w:val="0"/>
        <w:spacing w:before="0" w:after="30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4</w:t>
      </w:r>
      <w:bookmarkEnd w:id="196"/>
      <w:r>
        <w:rPr>
          <w:color w:val="000000"/>
          <w:spacing w:val="0"/>
          <w:w w:val="100"/>
          <w:position w:val="0"/>
        </w:rPr>
        <w:t>、</w:t>
        <w:tab/>
        <w:t>金融资产投资</w:t>
      </w:r>
      <w:bookmarkEnd w:id="194"/>
      <w:bookmarkEnd w:id="195"/>
      <w:bookmarkEnd w:id="197"/>
    </w:p>
    <w:p>
      <w:pPr>
        <w:pStyle w:val="Style27"/>
        <w:keepNext/>
        <w:keepLines/>
        <w:widowControl w:val="0"/>
        <w:shd w:val="clear" w:color="auto" w:fill="auto"/>
        <w:bidi w:val="0"/>
        <w:spacing w:before="0" w:line="240" w:lineRule="auto"/>
        <w:ind w:left="0" w:right="0" w:firstLine="0"/>
        <w:jc w:val="left"/>
      </w:pPr>
      <w:bookmarkStart w:id="194" w:name="bookmark194"/>
      <w:bookmarkStart w:id="195" w:name="bookmark195"/>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4"/>
      <w:bookmarkEnd w:id="195"/>
      <w:bookmarkEnd w:id="19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82"/>
        <w:gridCol w:w="682"/>
        <w:gridCol w:w="706"/>
        <w:gridCol w:w="682"/>
        <w:gridCol w:w="686"/>
        <w:gridCol w:w="677"/>
        <w:gridCol w:w="682"/>
        <w:gridCol w:w="682"/>
        <w:gridCol w:w="677"/>
        <w:gridCol w:w="682"/>
        <w:gridCol w:w="682"/>
        <w:gridCol w:w="682"/>
        <w:gridCol w:w="677"/>
        <w:gridCol w:w="701"/>
      </w:tblGrid>
      <w:tr>
        <w:trPr>
          <w:trHeight w:val="22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证券 品种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证券</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证券</w:t>
            </w:r>
          </w:p>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简称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最初 投资 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会计</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计量</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模式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期初</w:t>
            </w:r>
          </w:p>
          <w:p>
            <w:pPr>
              <w:pStyle w:val="Style20"/>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账面</w:t>
            </w:r>
          </w:p>
          <w:p>
            <w:pPr>
              <w:pStyle w:val="Style20"/>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本期 公允 价值 变动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计入 权益 的累 计公 允价 值变 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 购买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本期</w:t>
            </w:r>
          </w:p>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出售</w:t>
            </w:r>
          </w:p>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期损</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账面</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会计</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核算</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科目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资金</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来源</w:t>
            </w:r>
          </w:p>
        </w:tc>
      </w:tr>
      <w:tr>
        <w:trPr>
          <w:trHeight w:val="43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04013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自筹</w:t>
            </w:r>
          </w:p>
        </w:tc>
      </w:tr>
      <w:tr>
        <w:trPr>
          <w:trHeight w:val="60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竞争</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力优</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9,846.</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价值</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计量</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7,360.</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9,846.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,360.2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2,485.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性金</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682"/>
        <w:gridCol w:w="682"/>
        <w:gridCol w:w="706"/>
        <w:gridCol w:w="682"/>
        <w:gridCol w:w="686"/>
        <w:gridCol w:w="677"/>
        <w:gridCol w:w="682"/>
        <w:gridCol w:w="682"/>
        <w:gridCol w:w="677"/>
        <w:gridCol w:w="682"/>
        <w:gridCol w:w="682"/>
        <w:gridCol w:w="682"/>
        <w:gridCol w:w="677"/>
        <w:gridCol w:w="70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选混</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SPL9 </w:t>
            </w:r>
            <w:r>
              <w:rPr>
                <w:color w:val="000000"/>
                <w:spacing w:val="0"/>
                <w:w w:val="100"/>
                <w:position w:val="0"/>
              </w:rPr>
              <w:t>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方正</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证券</w:t>
            </w:r>
          </w:p>
          <w:p>
            <w:pPr>
              <w:pStyle w:val="Style20"/>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收益</w:t>
            </w:r>
          </w:p>
          <w:p>
            <w:pPr>
              <w:pStyle w:val="Style20"/>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凭证</w:t>
            </w:r>
          </w:p>
          <w:p>
            <w:pPr>
              <w:pStyle w:val="Style20"/>
              <w:keepNext w:val="0"/>
              <w:keepLines w:val="0"/>
              <w:widowControl w:val="0"/>
              <w:shd w:val="clear" w:color="auto" w:fill="auto"/>
              <w:bidi w:val="0"/>
              <w:spacing w:before="0" w:after="100" w:line="331" w:lineRule="exact"/>
              <w:ind w:left="0" w:right="0" w:firstLine="0"/>
              <w:jc w:val="both"/>
            </w:pPr>
            <w:r>
              <w:rPr>
                <w:rFonts w:ascii="SimSun" w:eastAsia="SimSun" w:hAnsi="SimSun" w:cs="SimSun"/>
                <w:color w:val="000000"/>
                <w:spacing w:val="0"/>
                <w:w w:val="100"/>
                <w:position w:val="0"/>
              </w:rPr>
              <w:t>“金</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添利”</w:t>
            </w:r>
          </w:p>
          <w:p>
            <w:pPr>
              <w:pStyle w:val="Style20"/>
              <w:keepNext w:val="0"/>
              <w:keepLines w:val="0"/>
              <w:widowControl w:val="0"/>
              <w:shd w:val="clear" w:color="auto" w:fill="auto"/>
              <w:bidi w:val="0"/>
              <w:spacing w:before="0" w:after="100" w:line="331" w:lineRule="exact"/>
              <w:ind w:left="0" w:right="0" w:firstLine="0"/>
              <w:jc w:val="both"/>
            </w:pPr>
            <w:r>
              <w:rPr>
                <w:color w:val="000000"/>
                <w:spacing w:val="0"/>
                <w:w w:val="100"/>
                <w:position w:val="0"/>
              </w:rPr>
              <w:t xml:space="preserve">D107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公允</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价值</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648,9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648,9</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20,64</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8,986.</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交易 性金 融资 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自筹</w:t>
            </w:r>
          </w:p>
        </w:tc>
      </w:tr>
      <w:tr>
        <w:trPr>
          <w:trHeight w:val="32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SPR3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 xml:space="preserve">太平 洋证 券本 金保 障型 收益 凭证 祥瑞 专享 </w:t>
            </w:r>
            <w:r>
              <w:rPr>
                <w:color w:val="000000"/>
                <w:spacing w:val="0"/>
                <w:w w:val="100"/>
                <w:position w:val="0"/>
              </w:rPr>
              <w:t>41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30,00</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公允</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价值</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811,2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811,2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30,81</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1,232.</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交易 性金 融资 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自筹</w:t>
            </w: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方正 证券 融资 业务 债权 收益 权转 让与 远期 受让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130,0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公允</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价值</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1,887,</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835.6</w:t>
            </w:r>
          </w:p>
          <w:p>
            <w:pPr>
              <w:pStyle w:val="Style20"/>
              <w:keepNext w:val="0"/>
              <w:keepLines w:val="0"/>
              <w:widowControl w:val="0"/>
              <w:shd w:val="clear" w:color="auto" w:fill="auto"/>
              <w:bidi w:val="0"/>
              <w:spacing w:before="0" w:after="80" w:line="240" w:lineRule="auto"/>
              <w:ind w:left="0" w:right="0" w:firstLine="48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130,0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1,887,</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835.6</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131,8</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87,83</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交易 性金 融资 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自筹</w:t>
            </w:r>
          </w:p>
        </w:tc>
      </w:tr>
      <w:tr>
        <w:trPr>
          <w:trHeight w:val="1027"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202,2</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39,84</w:t>
            </w:r>
          </w:p>
          <w:p>
            <w:pPr>
              <w:pStyle w:val="Style20"/>
              <w:keepNext w:val="0"/>
              <w:keepLines w:val="0"/>
              <w:widowControl w:val="0"/>
              <w:shd w:val="clear" w:color="auto" w:fill="auto"/>
              <w:bidi w:val="0"/>
              <w:spacing w:before="0" w:after="80" w:line="240" w:lineRule="auto"/>
              <w:ind w:left="0" w:right="0" w:firstLine="260"/>
              <w:jc w:val="both"/>
            </w:pPr>
            <w:r>
              <w:rPr>
                <w:color w:val="000000"/>
                <w:spacing w:val="0"/>
                <w:w w:val="100"/>
                <w:position w:val="0"/>
              </w:rPr>
              <w:t>6.00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694.5</w:t>
            </w:r>
          </w:p>
          <w:p>
            <w:pPr>
              <w:pStyle w:val="Style20"/>
              <w:keepNext w:val="0"/>
              <w:keepLines w:val="0"/>
              <w:widowControl w:val="0"/>
              <w:shd w:val="clear" w:color="auto" w:fill="auto"/>
              <w:bidi w:val="0"/>
              <w:spacing w:before="0" w:after="80" w:line="240" w:lineRule="auto"/>
              <w:ind w:left="0" w:right="0" w:firstLine="480"/>
              <w:jc w:val="lef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202,2</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39,84</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1,070,</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694.5</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203,3</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10,54</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0.56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证券投资审批董事会公 告披露日期</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r>
      <w:tr>
        <w:trPr>
          <w:trHeight w:val="720"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证券投资审批股东会公 告披露日期(如有</w:t>
            </w:r>
            <w:r>
              <w:rPr>
                <w:rFonts w:ascii="SimSun" w:eastAsia="SimSun" w:hAnsi="SimSun" w:cs="SimSun"/>
                <w:color w:val="000000"/>
                <w:spacing w:val="0"/>
                <w:w w:val="100"/>
                <w:position w:val="0"/>
              </w:rPr>
              <w:t>)</w:t>
            </w: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numPr>
          <w:ilvl w:val="0"/>
          <w:numId w:val="3"/>
        </w:numPr>
        <w:shd w:val="clear" w:color="auto" w:fill="auto"/>
        <w:bidi w:val="0"/>
        <w:spacing w:before="0" w:after="380" w:line="240" w:lineRule="auto"/>
        <w:ind w:left="0" w:right="0" w:firstLine="0"/>
        <w:jc w:val="left"/>
      </w:pPr>
      <w:bookmarkStart w:id="200" w:name="bookmark200"/>
      <w:bookmarkStart w:id="201" w:name="bookmark201"/>
      <w:bookmarkStart w:id="202" w:name="bookmark202"/>
      <w:bookmarkStart w:id="203" w:name="bookmark203"/>
      <w:bookmarkEnd w:id="202"/>
      <w:r>
        <w:rPr>
          <w:color w:val="000000"/>
          <w:spacing w:val="0"/>
          <w:w w:val="100"/>
          <w:position w:val="0"/>
        </w:rPr>
        <w:t>衍生品投资情况</w:t>
      </w:r>
      <w:bookmarkEnd w:id="200"/>
      <w:bookmarkEnd w:id="201"/>
      <w:bookmarkEnd w:id="20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公司报告期不存在衍生品投资。</w:t>
      </w:r>
    </w:p>
    <w:p>
      <w:pPr>
        <w:pStyle w:val="Style27"/>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5</w:t>
      </w:r>
      <w:bookmarkEnd w:id="206"/>
      <w:r>
        <w:rPr>
          <w:color w:val="000000"/>
          <w:spacing w:val="0"/>
          <w:w w:val="100"/>
          <w:position w:val="0"/>
        </w:rPr>
        <w:t>、募集资金使用情况</w:t>
      </w:r>
      <w:bookmarkEnd w:id="204"/>
      <w:bookmarkEnd w:id="205"/>
      <w:bookmarkEnd w:id="20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tabs>
          <w:tab w:pos="522" w:val="left"/>
        </w:tabs>
        <w:bidi w:val="0"/>
        <w:spacing w:before="0" w:after="36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sz w:val="24"/>
          <w:szCs w:val="24"/>
        </w:rPr>
        <w:t>八</w:t>
      </w:r>
      <w:bookmarkEnd w:id="210"/>
      <w:r>
        <w:rPr>
          <w:color w:val="000000"/>
          <w:spacing w:val="0"/>
          <w:w w:val="100"/>
          <w:position w:val="0"/>
          <w:sz w:val="24"/>
          <w:szCs w:val="24"/>
        </w:rPr>
        <w:t>、</w:t>
        <w:tab/>
        <w:t>重大资产和股权出售</w:t>
      </w:r>
      <w:bookmarkEnd w:id="208"/>
      <w:bookmarkEnd w:id="209"/>
      <w:bookmarkEnd w:id="211"/>
    </w:p>
    <w:p>
      <w:pPr>
        <w:pStyle w:val="Style27"/>
        <w:keepNext/>
        <w:keepLines/>
        <w:widowControl w:val="0"/>
        <w:shd w:val="clear" w:color="auto" w:fill="auto"/>
        <w:tabs>
          <w:tab w:pos="406"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w:t>
        <w:tab/>
        <w:t>出售重大资产情况</w:t>
      </w:r>
      <w:bookmarkEnd w:id="212"/>
      <w:bookmarkEnd w:id="213"/>
      <w:bookmarkEnd w:id="21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406"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w:t>
        <w:tab/>
        <w:t>出售重大股权情况</w:t>
      </w:r>
      <w:bookmarkEnd w:id="216"/>
      <w:bookmarkEnd w:id="217"/>
      <w:bookmarkEnd w:id="219"/>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tabs>
          <w:tab w:pos="522" w:val="left"/>
        </w:tabs>
        <w:bidi w:val="0"/>
        <w:spacing w:before="0" w:after="36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九</w:t>
      </w:r>
      <w:bookmarkEnd w:id="222"/>
      <w:r>
        <w:rPr>
          <w:color w:val="000000"/>
          <w:spacing w:val="0"/>
          <w:w w:val="100"/>
          <w:position w:val="0"/>
          <w:sz w:val="24"/>
          <w:szCs w:val="24"/>
        </w:rPr>
        <w:t>、</w:t>
        <w:tab/>
        <w:t>主要控股参股公司分析</w:t>
      </w:r>
      <w:bookmarkEnd w:id="220"/>
      <w:bookmarkEnd w:id="221"/>
      <w:bookmarkEnd w:id="22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2"/>
        <w:gridCol w:w="1046"/>
        <w:gridCol w:w="1046"/>
        <w:gridCol w:w="105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净利润</w:t>
            </w:r>
          </w:p>
        </w:tc>
      </w:tr>
      <w:tr>
        <w:trPr>
          <w:trHeight w:val="661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江苏恒宝 智能系统 技术有限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电子标签、 读写机具、 终端产品 的研发、生 产、销售及 服务；电子 标签的行 业解决方 案、软件开 发及系统 集成；计算 机软、硬件 的开发；计 算机系统 集成服务； 通信设备、 电子设备、 移动智能 设备、物联 网产品的 开发、销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35,000.00 </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396,335,74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388,165,03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21,453,538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-2,695,879.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-4,352,987.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bl>
    <w:tbl>
      <w:tblPr>
        <w:tblOverlap w:val="never"/>
        <w:jc w:val="center"/>
        <w:tblLayout w:type="fixed"/>
      </w:tblPr>
      <w:tblGrid>
        <w:gridCol w:w="1056"/>
        <w:gridCol w:w="1200"/>
        <w:gridCol w:w="1042"/>
        <w:gridCol w:w="1046"/>
        <w:gridCol w:w="1046"/>
        <w:gridCol w:w="1042"/>
        <w:gridCol w:w="1046"/>
        <w:gridCol w:w="1046"/>
        <w:gridCol w:w="1056"/>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售、安装、 维修；上述 相关产业 的信息咨 询服务；磁 卡、</w:t>
            </w:r>
            <w:r>
              <w:rPr>
                <w:color w:val="000000"/>
                <w:spacing w:val="0"/>
                <w:w w:val="100"/>
                <w:position w:val="0"/>
              </w:rPr>
              <w:t>IC</w:t>
            </w:r>
            <w:r>
              <w:rPr>
                <w:rFonts w:ascii="SimSun" w:eastAsia="SimSun" w:hAnsi="SimSun" w:cs="SimSun"/>
                <w:color w:val="000000"/>
                <w:spacing w:val="0"/>
                <w:w w:val="100"/>
                <w:position w:val="0"/>
              </w:rPr>
              <w:t>卡、 文化用品、 信封的销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恒宝国际 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研发、提供 智能卡及 相关解决 方案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93" w:lineRule="exact"/>
              <w:ind w:left="0" w:right="0" w:firstLine="0"/>
              <w:jc w:val="left"/>
            </w:pPr>
            <w:r>
              <w:rPr>
                <w:rFonts w:ascii="SimSun" w:eastAsia="SimSun" w:hAnsi="SimSun" w:cs="SimSun"/>
                <w:color w:val="000000"/>
                <w:spacing w:val="0"/>
                <w:w w:val="100"/>
                <w:position w:val="0"/>
              </w:rPr>
              <w:t xml:space="preserve">新加坡元 </w:t>
            </w:r>
            <w:r>
              <w:rPr>
                <w:color w:val="000000"/>
                <w:spacing w:val="0"/>
                <w:w w:val="100"/>
                <w:position w:val="0"/>
              </w:rPr>
              <w:t>1,980,000.</w:t>
            </w:r>
          </w:p>
          <w:p>
            <w:pPr>
              <w:pStyle w:val="Style20"/>
              <w:keepNext w:val="0"/>
              <w:keepLines w:val="0"/>
              <w:widowControl w:val="0"/>
              <w:shd w:val="clear" w:color="auto" w:fill="auto"/>
              <w:bidi w:val="0"/>
              <w:spacing w:before="0" w:after="0" w:line="341" w:lineRule="auto"/>
              <w:ind w:left="0" w:right="0" w:firstLine="0"/>
              <w:jc w:val="left"/>
            </w:pPr>
            <w:r>
              <w:rPr>
                <w:color w:val="000000"/>
                <w:spacing w:val="0"/>
                <w:w w:val="100"/>
                <w:position w:val="0"/>
              </w:rPr>
              <w:t>00</w:t>
            </w:r>
            <w:r>
              <w:rPr>
                <w:rFonts w:ascii="SimSun" w:eastAsia="SimSun" w:hAnsi="SimSun" w:cs="SimSun"/>
                <w:color w:val="000000"/>
                <w:spacing w:val="0"/>
                <w:w w:val="100"/>
                <w:position w:val="0"/>
              </w:rPr>
              <w:t>美元</w:t>
            </w:r>
          </w:p>
          <w:p>
            <w:pPr>
              <w:pStyle w:val="Style20"/>
              <w:keepNext w:val="0"/>
              <w:keepLines w:val="0"/>
              <w:widowControl w:val="0"/>
              <w:shd w:val="clear" w:color="auto" w:fill="auto"/>
              <w:bidi w:val="0"/>
              <w:spacing w:before="0" w:after="0" w:line="341" w:lineRule="auto"/>
              <w:ind w:left="0" w:right="0" w:firstLine="0"/>
              <w:jc w:val="left"/>
            </w:pPr>
            <w:r>
              <w:rPr>
                <w:color w:val="000000"/>
                <w:spacing w:val="0"/>
                <w:w w:val="100"/>
                <w:position w:val="0"/>
              </w:rPr>
              <w:t>7,283,527.</w:t>
            </w:r>
          </w:p>
          <w:p>
            <w:pPr>
              <w:pStyle w:val="Style20"/>
              <w:keepNext w:val="0"/>
              <w:keepLines w:val="0"/>
              <w:widowControl w:val="0"/>
              <w:shd w:val="clear" w:color="auto" w:fill="auto"/>
              <w:bidi w:val="0"/>
              <w:spacing w:before="0" w:after="40" w:line="341"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49,469,450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36,231,896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46,292,232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-6,964,069.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-6,964,069.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134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上海恒毓</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投资中心</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(有限合 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创业投资， 投资管理， 投资咨询， 实业投资。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50,743.00</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482,714,68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455,732,81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59,016,730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59,016,730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主要控股参股公司情况说明</w:t>
      </w:r>
    </w:p>
    <w:p>
      <w:pPr>
        <w:pStyle w:val="Style23"/>
        <w:keepNext/>
        <w:keepLines/>
        <w:widowControl w:val="0"/>
        <w:shd w:val="clear" w:color="auto" w:fill="auto"/>
        <w:bidi w:val="0"/>
        <w:spacing w:before="0" w:after="260" w:line="240" w:lineRule="auto"/>
        <w:ind w:left="0" w:right="0" w:firstLine="0"/>
        <w:jc w:val="left"/>
      </w:pPr>
      <w:bookmarkStart w:id="224" w:name="bookmark224"/>
      <w:bookmarkStart w:id="225" w:name="bookmark225"/>
      <w:bookmarkStart w:id="226" w:name="bookmark226"/>
      <w:r>
        <w:rPr>
          <w:color w:val="000000"/>
          <w:spacing w:val="0"/>
          <w:w w:val="100"/>
          <w:position w:val="0"/>
          <w:sz w:val="24"/>
          <w:szCs w:val="24"/>
        </w:rPr>
        <w:t>十、公司控制的结构化主体情况</w:t>
      </w:r>
      <w:bookmarkEnd w:id="224"/>
      <w:bookmarkEnd w:id="225"/>
      <w:bookmarkEnd w:id="226"/>
    </w:p>
    <w:p>
      <w:pPr>
        <w:pStyle w:val="Style18"/>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60" w:line="240" w:lineRule="auto"/>
        <w:ind w:left="0" w:right="0" w:firstLine="0"/>
        <w:jc w:val="left"/>
      </w:pPr>
      <w:bookmarkStart w:id="227" w:name="bookmark227"/>
      <w:bookmarkStart w:id="228" w:name="bookmark228"/>
      <w:bookmarkStart w:id="229" w:name="bookmark229"/>
      <w:r>
        <w:rPr>
          <w:color w:val="000000"/>
          <w:spacing w:val="0"/>
          <w:w w:val="100"/>
          <w:position w:val="0"/>
          <w:sz w:val="24"/>
          <w:szCs w:val="24"/>
        </w:rPr>
        <w:t>十一、公司未来发展的展望</w:t>
      </w:r>
      <w:bookmarkEnd w:id="227"/>
      <w:bookmarkEnd w:id="228"/>
      <w:bookmarkEnd w:id="229"/>
    </w:p>
    <w:p>
      <w:pPr>
        <w:pStyle w:val="Style18"/>
        <w:keepNext w:val="0"/>
        <w:keepLines w:val="0"/>
        <w:widowControl w:val="0"/>
        <w:shd w:val="clear" w:color="auto" w:fill="auto"/>
        <w:bidi w:val="0"/>
        <w:spacing w:before="0" w:after="0"/>
        <w:ind w:left="0" w:right="0" w:firstLine="0"/>
        <w:jc w:val="left"/>
      </w:pPr>
      <w:bookmarkStart w:id="230" w:name="bookmark230"/>
      <w:r>
        <w:rPr>
          <w:rFonts w:ascii="Times New Roman" w:eastAsia="Times New Roman" w:hAnsi="Times New Roman" w:cs="Times New Roman"/>
          <w:b/>
          <w:bCs/>
          <w:color w:val="000000"/>
          <w:spacing w:val="0"/>
          <w:w w:val="100"/>
          <w:position w:val="0"/>
        </w:rPr>
        <w:t>1</w:t>
      </w:r>
      <w:bookmarkEnd w:id="230"/>
      <w:r>
        <w:rPr>
          <w:b/>
          <w:bCs/>
          <w:color w:val="000000"/>
          <w:spacing w:val="0"/>
          <w:w w:val="100"/>
          <w:position w:val="0"/>
        </w:rPr>
        <w:t>、公司未来将采取如下战略：</w:t>
      </w:r>
    </w:p>
    <w:p>
      <w:pPr>
        <w:pStyle w:val="Style18"/>
        <w:keepNext w:val="0"/>
        <w:keepLines w:val="0"/>
        <w:widowControl w:val="0"/>
        <w:numPr>
          <w:ilvl w:val="0"/>
          <w:numId w:val="5"/>
        </w:numPr>
        <w:shd w:val="clear" w:color="auto" w:fill="auto"/>
        <w:tabs>
          <w:tab w:pos="882" w:val="left"/>
        </w:tabs>
        <w:bidi w:val="0"/>
        <w:spacing w:before="0" w:after="0" w:line="316" w:lineRule="exact"/>
        <w:ind w:left="0" w:right="0"/>
        <w:jc w:val="both"/>
      </w:pPr>
      <w:bookmarkStart w:id="231" w:name="bookmark231"/>
      <w:bookmarkEnd w:id="231"/>
      <w:r>
        <w:rPr>
          <w:color w:val="000000"/>
          <w:spacing w:val="0"/>
          <w:w w:val="100"/>
          <w:position w:val="0"/>
        </w:rPr>
        <w:t>公司将立足差异化基本战略，整合优势资源，通过提升供应链水平、产品工艺与技术水平，继续巩固和深化现有 产品，把握创新金融</w:t>
      </w:r>
      <w:r>
        <w:rPr>
          <w:color w:val="000000"/>
          <w:spacing w:val="0"/>
          <w:w w:val="100"/>
          <w:position w:val="0"/>
        </w:rPr>
        <w:t>IC</w:t>
      </w:r>
      <w:r>
        <w:rPr>
          <w:color w:val="000000"/>
          <w:spacing w:val="0"/>
          <w:w w:val="100"/>
          <w:position w:val="0"/>
        </w:rPr>
        <w:t>卡产品需求持续提升的契机，继续加大</w:t>
      </w:r>
      <w:r>
        <w:rPr>
          <w:color w:val="000000"/>
          <w:spacing w:val="0"/>
          <w:w w:val="100"/>
          <w:position w:val="0"/>
        </w:rPr>
        <w:t>eSIM</w:t>
      </w:r>
      <w:r>
        <w:rPr>
          <w:color w:val="000000"/>
          <w:spacing w:val="0"/>
          <w:w w:val="100"/>
          <w:position w:val="0"/>
        </w:rPr>
        <w:t>卡、</w:t>
      </w:r>
      <w:r>
        <w:rPr>
          <w:color w:val="000000"/>
          <w:spacing w:val="0"/>
          <w:w w:val="100"/>
          <w:position w:val="0"/>
        </w:rPr>
        <w:t>M2M</w:t>
      </w:r>
      <w:r>
        <w:rPr>
          <w:color w:val="000000"/>
          <w:spacing w:val="0"/>
          <w:w w:val="100"/>
          <w:position w:val="0"/>
        </w:rPr>
        <w:t>卡、三代社保等产品及整体解决方案的市场拓展， 继续巩固和深化现有产品业务和市场地位，确保公司现有业务平稳增长，为公司技术研发和新产品创新提供有力保障。</w:t>
      </w:r>
    </w:p>
    <w:p>
      <w:pPr>
        <w:pStyle w:val="Style18"/>
        <w:keepNext w:val="0"/>
        <w:keepLines w:val="0"/>
        <w:widowControl w:val="0"/>
        <w:numPr>
          <w:ilvl w:val="0"/>
          <w:numId w:val="5"/>
        </w:numPr>
        <w:shd w:val="clear" w:color="auto" w:fill="auto"/>
        <w:tabs>
          <w:tab w:pos="886" w:val="left"/>
        </w:tabs>
        <w:bidi w:val="0"/>
        <w:spacing w:before="0" w:after="0" w:line="316" w:lineRule="exact"/>
        <w:ind w:left="0" w:right="0"/>
        <w:jc w:val="both"/>
      </w:pPr>
      <w:bookmarkStart w:id="232" w:name="bookmark232"/>
      <w:bookmarkEnd w:id="232"/>
      <w:r>
        <w:rPr>
          <w:color w:val="000000"/>
          <w:spacing w:val="0"/>
          <w:w w:val="100"/>
          <w:position w:val="0"/>
        </w:rPr>
        <w:t>公司将结合国家十四个五年规划和2035年远景目标纲要提出的加快数字化发展、建设数字中国新契机，同时面向 物联网、</w:t>
      </w:r>
      <w:r>
        <w:rPr>
          <w:color w:val="000000"/>
          <w:spacing w:val="0"/>
          <w:w w:val="100"/>
          <w:position w:val="0"/>
        </w:rPr>
        <w:t>5G、</w:t>
      </w:r>
      <w:r>
        <w:rPr>
          <w:color w:val="000000"/>
          <w:spacing w:val="0"/>
          <w:w w:val="100"/>
          <w:position w:val="0"/>
        </w:rPr>
        <w:t>区块链、金融科技、数据安全、大数据等新兴领域，加大新产品、新技术投入，实现进一步的技术突破，并且 定期与国内外标准组织技术交流，与产业伙伴分工协作，稳步推进行业持续良性发展，保持行业领先。</w:t>
      </w:r>
    </w:p>
    <w:p>
      <w:pPr>
        <w:pStyle w:val="Style18"/>
        <w:keepNext w:val="0"/>
        <w:keepLines w:val="0"/>
        <w:widowControl w:val="0"/>
        <w:numPr>
          <w:ilvl w:val="0"/>
          <w:numId w:val="5"/>
        </w:numPr>
        <w:shd w:val="clear" w:color="auto" w:fill="auto"/>
        <w:tabs>
          <w:tab w:pos="882" w:val="left"/>
        </w:tabs>
        <w:bidi w:val="0"/>
        <w:spacing w:before="0" w:after="0" w:line="316" w:lineRule="exact"/>
        <w:ind w:left="0" w:right="0"/>
        <w:jc w:val="both"/>
      </w:pPr>
      <w:bookmarkStart w:id="233" w:name="bookmark233"/>
      <w:bookmarkEnd w:id="233"/>
      <w:r>
        <w:rPr>
          <w:color w:val="000000"/>
          <w:spacing w:val="0"/>
          <w:w w:val="100"/>
          <w:position w:val="0"/>
        </w:rPr>
        <w:t>公司将持续并加大在通讯模组、</w:t>
      </w:r>
      <w:r>
        <w:rPr>
          <w:color w:val="000000"/>
          <w:spacing w:val="0"/>
          <w:w w:val="100"/>
          <w:position w:val="0"/>
        </w:rPr>
        <w:t>RFID</w:t>
      </w:r>
      <w:r>
        <w:rPr>
          <w:color w:val="000000"/>
          <w:spacing w:val="0"/>
          <w:w w:val="100"/>
          <w:position w:val="0"/>
        </w:rPr>
        <w:t>、移动智能终端和身份识别等安全产品领域的开发和创新投入；整合生物识 别等技术，孵化手持终端、自助服务终端等卡类周边设备，提供多场景数据综合服务解决方案；探索和研究物联网、区块链 等前沿技术，参与数字化社会运营，以丰富公司现有产品线，并进一步平衡产品结构，打造多层次产品结构。并且公司将加 强</w:t>
      </w:r>
      <w:r>
        <w:rPr>
          <w:rFonts w:ascii="Times New Roman" w:eastAsia="Times New Roman" w:hAnsi="Times New Roman" w:cs="Times New Roman"/>
          <w:color w:val="000000"/>
          <w:spacing w:val="0"/>
          <w:w w:val="100"/>
          <w:position w:val="0"/>
        </w:rPr>
        <w:t>“</w:t>
      </w:r>
      <w:r>
        <w:rPr>
          <w:color w:val="000000"/>
          <w:spacing w:val="0"/>
          <w:w w:val="100"/>
          <w:position w:val="0"/>
        </w:rPr>
        <w:t>智能农业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智能仓储物流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智慧医疗</w:t>
      </w:r>
      <w:r>
        <w:rPr>
          <w:rFonts w:ascii="Times New Roman" w:eastAsia="Times New Roman" w:hAnsi="Times New Roman" w:cs="Times New Roman"/>
          <w:color w:val="000000"/>
          <w:spacing w:val="0"/>
          <w:w w:val="100"/>
          <w:position w:val="0"/>
        </w:rPr>
        <w:t>”</w:t>
      </w:r>
      <w:r>
        <w:rPr>
          <w:color w:val="000000"/>
          <w:spacing w:val="0"/>
          <w:w w:val="100"/>
          <w:position w:val="0"/>
        </w:rPr>
        <w:t>等行业应用领域的研究与技术储备，积极寻找机会点，实现市场突破。</w:t>
      </w:r>
    </w:p>
    <w:p>
      <w:pPr>
        <w:pStyle w:val="Style18"/>
        <w:keepNext w:val="0"/>
        <w:keepLines w:val="0"/>
        <w:widowControl w:val="0"/>
        <w:numPr>
          <w:ilvl w:val="0"/>
          <w:numId w:val="5"/>
        </w:numPr>
        <w:shd w:val="clear" w:color="auto" w:fill="auto"/>
        <w:tabs>
          <w:tab w:pos="886" w:val="left"/>
        </w:tabs>
        <w:bidi w:val="0"/>
        <w:spacing w:before="0" w:after="300" w:line="316" w:lineRule="exact"/>
        <w:ind w:left="0" w:right="0"/>
        <w:jc w:val="both"/>
      </w:pPr>
      <w:bookmarkStart w:id="234" w:name="bookmark234"/>
      <w:bookmarkEnd w:id="234"/>
      <w:r>
        <w:rPr>
          <w:color w:val="000000"/>
          <w:spacing w:val="0"/>
          <w:w w:val="100"/>
          <w:position w:val="0"/>
        </w:rPr>
        <w:t>数字人民币时代的到来，将推动支持数字人民币支付的手机</w:t>
      </w:r>
      <w:r>
        <w:rPr>
          <w:color w:val="000000"/>
          <w:spacing w:val="0"/>
          <w:w w:val="100"/>
          <w:position w:val="0"/>
        </w:rPr>
        <w:t>SIM</w:t>
      </w:r>
      <w:r>
        <w:rPr>
          <w:color w:val="000000"/>
          <w:spacing w:val="0"/>
          <w:w w:val="100"/>
          <w:position w:val="0"/>
        </w:rPr>
        <w:t>卡、可视卡、指纹卡、可穿戴设备等数字人民币硬 件钱包及数字人民币整体解决方案的需求，有利于推动金融</w:t>
      </w:r>
      <w:r>
        <w:rPr>
          <w:color w:val="000000"/>
          <w:spacing w:val="0"/>
          <w:w w:val="100"/>
          <w:position w:val="0"/>
        </w:rPr>
        <w:t>IC</w:t>
      </w:r>
      <w:r>
        <w:rPr>
          <w:color w:val="000000"/>
          <w:spacing w:val="0"/>
          <w:w w:val="100"/>
          <w:position w:val="0"/>
        </w:rPr>
        <w:t>卡、通信</w:t>
      </w:r>
      <w:r>
        <w:rPr>
          <w:color w:val="000000"/>
          <w:spacing w:val="0"/>
          <w:w w:val="100"/>
          <w:position w:val="0"/>
        </w:rPr>
        <w:t>SIM</w:t>
      </w:r>
      <w:r>
        <w:rPr>
          <w:color w:val="000000"/>
          <w:spacing w:val="0"/>
          <w:w w:val="100"/>
          <w:position w:val="0"/>
        </w:rPr>
        <w:t>卡、智能支付终端、物联网终端等市场的持续发 展。公司将把握数字人民币发展契机，利用公司在数字安全领域、金融科技等方面的技术积累及客户资源，积极探索数字人 民币市场机会。</w:t>
      </w:r>
    </w:p>
    <w:p>
      <w:pPr>
        <w:pStyle w:val="Style18"/>
        <w:keepNext w:val="0"/>
        <w:keepLines w:val="0"/>
        <w:widowControl w:val="0"/>
        <w:shd w:val="clear" w:color="auto" w:fill="auto"/>
        <w:tabs>
          <w:tab w:pos="891" w:val="left"/>
        </w:tabs>
        <w:bidi w:val="0"/>
        <w:spacing w:before="0" w:after="0" w:line="322" w:lineRule="exact"/>
        <w:ind w:left="0" w:right="0"/>
        <w:jc w:val="both"/>
      </w:pPr>
      <w:bookmarkStart w:id="235" w:name="bookmark235"/>
      <w:r>
        <w:rPr>
          <w:color w:val="000000"/>
          <w:spacing w:val="0"/>
          <w:w w:val="100"/>
          <w:position w:val="0"/>
        </w:rPr>
        <w:t>（</w:t>
      </w:r>
      <w:bookmarkEnd w:id="235"/>
      <w:r>
        <w:rPr>
          <w:color w:val="000000"/>
          <w:spacing w:val="0"/>
          <w:w w:val="100"/>
          <w:position w:val="0"/>
        </w:rPr>
        <w:t>5）</w:t>
        <w:tab/>
        <w:t>公司将积极响应国家军民融合大战略，充分利用公司在军工数字化和装备智能化领域的产品和应用经验，逐步将 公司产品拓展至防务军工市场，稳定提升公司在防务军工市场的业务收入。</w:t>
      </w:r>
    </w:p>
    <w:p>
      <w:pPr>
        <w:pStyle w:val="Style18"/>
        <w:keepNext w:val="0"/>
        <w:keepLines w:val="0"/>
        <w:widowControl w:val="0"/>
        <w:shd w:val="clear" w:color="auto" w:fill="auto"/>
        <w:tabs>
          <w:tab w:pos="896" w:val="left"/>
        </w:tabs>
        <w:bidi w:val="0"/>
        <w:spacing w:before="0" w:after="400" w:line="322" w:lineRule="exact"/>
        <w:ind w:left="0" w:right="0"/>
        <w:jc w:val="both"/>
      </w:pPr>
      <w:bookmarkStart w:id="236" w:name="bookmark236"/>
      <w:r>
        <w:rPr>
          <w:color w:val="000000"/>
          <w:spacing w:val="0"/>
          <w:w w:val="100"/>
          <w:position w:val="0"/>
        </w:rPr>
        <w:t>（</w:t>
      </w:r>
      <w:bookmarkEnd w:id="236"/>
      <w:r>
        <w:rPr>
          <w:color w:val="000000"/>
          <w:spacing w:val="0"/>
          <w:w w:val="100"/>
          <w:position w:val="0"/>
        </w:rPr>
        <w:t>6）</w:t>
        <w:tab/>
        <w:t>公司将投入研发传感器、测试仪器和软件分析平台，布局结构健康监测领域，为高端装备的结构进行全生命周期 和精准管理，作为公司业务新的增长点。</w:t>
      </w:r>
    </w:p>
    <w:p>
      <w:pPr>
        <w:pStyle w:val="Style18"/>
        <w:keepNext w:val="0"/>
        <w:keepLines w:val="0"/>
        <w:widowControl w:val="0"/>
        <w:shd w:val="clear" w:color="auto" w:fill="auto"/>
        <w:bidi w:val="0"/>
        <w:spacing w:before="0" w:after="0"/>
        <w:ind w:left="0" w:right="0" w:firstLine="0"/>
        <w:jc w:val="left"/>
      </w:pPr>
      <w:bookmarkStart w:id="237" w:name="bookmark237"/>
      <w:r>
        <w:rPr>
          <w:rFonts w:ascii="Times New Roman" w:eastAsia="Times New Roman" w:hAnsi="Times New Roman" w:cs="Times New Roman"/>
          <w:b/>
          <w:bCs/>
          <w:color w:val="000000"/>
          <w:spacing w:val="0"/>
          <w:w w:val="100"/>
          <w:position w:val="0"/>
        </w:rPr>
        <w:t>2</w:t>
      </w:r>
      <w:bookmarkEnd w:id="237"/>
      <w:r>
        <w:rPr>
          <w:b/>
          <w:bCs/>
          <w:color w:val="000000"/>
          <w:spacing w:val="0"/>
          <w:w w:val="100"/>
          <w:position w:val="0"/>
        </w:rPr>
        <w:t>、公司可能面临的风险及对策</w:t>
      </w:r>
    </w:p>
    <w:p>
      <w:pPr>
        <w:pStyle w:val="Style18"/>
        <w:keepNext w:val="0"/>
        <w:keepLines w:val="0"/>
        <w:widowControl w:val="0"/>
        <w:shd w:val="clear" w:color="auto" w:fill="auto"/>
        <w:tabs>
          <w:tab w:pos="820" w:val="left"/>
        </w:tabs>
        <w:bidi w:val="0"/>
        <w:spacing w:before="0" w:after="0" w:line="312" w:lineRule="exact"/>
        <w:ind w:left="0" w:right="0"/>
        <w:jc w:val="both"/>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1</w:t>
      </w:r>
      <w:r>
        <w:rPr>
          <w:color w:val="000000"/>
          <w:spacing w:val="0"/>
          <w:w w:val="100"/>
          <w:position w:val="0"/>
        </w:rPr>
        <w:t>）</w:t>
        <w:tab/>
        <w:t>新产品、新业务市场拓展带来的经营风险</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公司正在积极调整产品结构和业务模式，产业战略布局已取得初步成果。从单纯硬件产品向系统平台服务、数字化解决 方案与服务运营模式转型。由于产品结构和业务模式变革，产品初期竞争力，可能仍受限于公司在初期业务支撑能力、市场 拓展能力、落地商业模式等因素不够完善，在打开新市场会存在一定客观难度。</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对策：</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根据市场发展动态及时调整市场策略和行动计划，抓住重点机会实施突破，抢占市场窗口期，形成典型示范的效果。</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持续加强人才队伍建设，构筑人才高地，持续提升企业竞争力，加快新业务破冰能力和新产品上线速度，降低新业务、 新市场拓展带来的风险；同时公司将完善薪酬管理体系建设，保障人才战略有效实施。</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保持与产业链战略合作方紧密合作，采取资源共享和优势互补的方法，充分利用业务模式转型与战略布局的机会，发展 多种关联新业务，提升竞争力和话语权，并通过整体业务来降低某个单一新业务的市场风险，为公司持续稳定的发展奠定基 础。</w:t>
      </w:r>
    </w:p>
    <w:p>
      <w:pPr>
        <w:pStyle w:val="Style18"/>
        <w:keepNext w:val="0"/>
        <w:keepLines w:val="0"/>
        <w:widowControl w:val="0"/>
        <w:shd w:val="clear" w:color="auto" w:fill="auto"/>
        <w:tabs>
          <w:tab w:pos="820" w:val="left"/>
        </w:tabs>
        <w:bidi w:val="0"/>
        <w:spacing w:before="0" w:after="0" w:line="312" w:lineRule="exact"/>
        <w:ind w:left="0" w:right="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2</w:t>
      </w:r>
      <w:r>
        <w:rPr>
          <w:color w:val="000000"/>
          <w:spacing w:val="0"/>
          <w:w w:val="100"/>
          <w:position w:val="0"/>
        </w:rPr>
        <w:t>）</w:t>
        <w:tab/>
        <w:t>市场竞争加剧对公司主营业务和利润带来的风险</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目前，公司主营业务的竞争能力主要体现在企业资金实力、设计开发能力、产品品质水平、产品成本控制能力，整体解 决方案能力和售后服务能力等环节。尤其最近几年，产业链内企业相互渗透，行业内投资并购和合作发展情况越来越多，加 剧了行业市场竞争的程度，产品价格成为后进企业最直接的竞争手段，有时会导致市场恶性竞争。</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对策：</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通过技术创新手段，供应链优化，提高生产效率，降低产品成本，保持产品价格竞争力。通过差异化产品和解决方案规 避同质化竞争风险，丰富和扩大产品家族，利用上市公司平台积极、灵活地开展行业资源整合。提高公司队伍管理水平，全 面提升公司核心竞争力。</w:t>
      </w:r>
    </w:p>
    <w:p>
      <w:pPr>
        <w:pStyle w:val="Style18"/>
        <w:keepNext w:val="0"/>
        <w:keepLines w:val="0"/>
        <w:widowControl w:val="0"/>
        <w:shd w:val="clear" w:color="auto" w:fill="auto"/>
        <w:bidi w:val="0"/>
        <w:spacing w:before="0" w:after="720" w:line="312" w:lineRule="exact"/>
        <w:ind w:left="0" w:right="0"/>
        <w:jc w:val="both"/>
      </w:pPr>
      <w:r>
        <w:rPr>
          <w:color w:val="000000"/>
          <w:spacing w:val="0"/>
          <w:w w:val="100"/>
          <w:position w:val="0"/>
        </w:rPr>
        <w:t>利用公司市场营销能力优势，确保公司关键盈利产品在主流市场领先地位，保证整体盈利水平领先地位。</w:t>
      </w:r>
    </w:p>
    <w:p>
      <w:pPr>
        <w:pStyle w:val="Style23"/>
        <w:keepNext/>
        <w:keepLines/>
        <w:widowControl w:val="0"/>
        <w:shd w:val="clear" w:color="auto" w:fill="auto"/>
        <w:bidi w:val="0"/>
        <w:spacing w:before="0" w:after="260" w:line="240" w:lineRule="auto"/>
        <w:ind w:left="0" w:right="0" w:firstLine="0"/>
        <w:jc w:val="left"/>
      </w:pPr>
      <w:bookmarkStart w:id="240" w:name="bookmark240"/>
      <w:bookmarkStart w:id="241" w:name="bookmark241"/>
      <w:bookmarkStart w:id="242" w:name="bookmark242"/>
      <w:r>
        <w:rPr>
          <w:color w:val="000000"/>
          <w:spacing w:val="0"/>
          <w:w w:val="100"/>
          <w:position w:val="0"/>
          <w:sz w:val="24"/>
          <w:szCs w:val="24"/>
        </w:rPr>
        <w:t>十二、报告期内接待调研、沟通、采访等活动</w:t>
      </w:r>
      <w:bookmarkEnd w:id="240"/>
      <w:bookmarkEnd w:id="241"/>
      <w:bookmarkEnd w:id="242"/>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312" w:lineRule="exact"/>
        <w:ind w:left="0" w:right="0" w:firstLine="0"/>
        <w:jc w:val="left"/>
        <w:sectPr>
          <w:footnotePr>
            <w:pos w:val="pageBottom"/>
            <w:numFmt w:val="decimal"/>
            <w:numRestart w:val="continuous"/>
          </w:footnotePr>
          <w:pgSz w:w="11900" w:h="16840"/>
          <w:pgMar w:top="1364" w:right="1063" w:bottom="1450" w:left="1059" w:header="0" w:footer="3" w:gutter="0"/>
          <w:cols w:space="720"/>
          <w:noEndnote/>
          <w:rtlGutter w:val="0"/>
          <w:docGrid w:linePitch="360"/>
        </w:sectPr>
      </w:pPr>
      <w:r>
        <w:rPr>
          <w:color w:val="000000"/>
          <w:spacing w:val="0"/>
          <w:w w:val="100"/>
          <w:position w:val="0"/>
        </w:rPr>
        <w:t>公司报告期内未发生接待调研、沟通、采访等活动。</w:t>
      </w:r>
    </w:p>
    <w:p>
      <w:pPr>
        <w:pStyle w:val="Style10"/>
        <w:keepNext/>
        <w:keepLines/>
        <w:widowControl w:val="0"/>
        <w:shd w:val="clear" w:color="auto" w:fill="auto"/>
        <w:bidi w:val="0"/>
        <w:spacing w:before="540" w:line="240" w:lineRule="auto"/>
        <w:ind w:left="0" w:right="0" w:firstLine="0"/>
        <w:jc w:val="center"/>
      </w:pPr>
      <w:bookmarkStart w:id="243" w:name="bookmark243"/>
      <w:bookmarkStart w:id="244" w:name="bookmark244"/>
      <w:bookmarkStart w:id="245" w:name="bookmark245"/>
      <w:r>
        <w:rPr>
          <w:color w:val="000000"/>
          <w:spacing w:val="0"/>
          <w:w w:val="100"/>
          <w:position w:val="0"/>
        </w:rPr>
        <w:t>第四节公司治理</w:t>
      </w:r>
      <w:bookmarkEnd w:id="243"/>
      <w:bookmarkEnd w:id="244"/>
      <w:bookmarkEnd w:id="245"/>
    </w:p>
    <w:p>
      <w:pPr>
        <w:pStyle w:val="Style23"/>
        <w:keepNext/>
        <w:keepLines/>
        <w:widowControl w:val="0"/>
        <w:shd w:val="clear" w:color="auto" w:fill="auto"/>
        <w:bidi w:val="0"/>
        <w:spacing w:before="0" w:after="24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一</w:t>
      </w:r>
      <w:bookmarkEnd w:id="248"/>
      <w:r>
        <w:rPr>
          <w:color w:val="000000"/>
          <w:spacing w:val="0"/>
          <w:w w:val="100"/>
          <w:position w:val="0"/>
          <w:sz w:val="24"/>
          <w:szCs w:val="24"/>
        </w:rPr>
        <w:t>、公司治理的基本状况</w:t>
      </w:r>
      <w:bookmarkEnd w:id="246"/>
      <w:bookmarkEnd w:id="247"/>
      <w:bookmarkEnd w:id="249"/>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报告期内，公司严格按照《公司法》、《证券法》、《上市公司治理准则》、《深圳证券交易所股票上市规则》和中国证监会 有关法律法规的要求，不断完善公司法人治理结构，建立健全公司内部控制制度，积极开展投资者关系管理活动，规范公司 运作，进一步提高了公司治理水平。</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截至报告期末，公司整体运行规范，公司治理实际情况基本符合中国证监会发布的有关上市公司治理的规范性文件的要 求。</w:t>
      </w:r>
    </w:p>
    <w:p>
      <w:pPr>
        <w:pStyle w:val="Style18"/>
        <w:keepNext w:val="0"/>
        <w:keepLines w:val="0"/>
        <w:widowControl w:val="0"/>
        <w:shd w:val="clear" w:color="auto" w:fill="auto"/>
        <w:tabs>
          <w:tab w:pos="898" w:val="left"/>
        </w:tabs>
        <w:bidi w:val="0"/>
        <w:spacing w:before="0" w:after="0" w:line="315" w:lineRule="exact"/>
        <w:ind w:left="0" w:right="0"/>
        <w:jc w:val="both"/>
      </w:pPr>
      <w:bookmarkStart w:id="250" w:name="bookmark250"/>
      <w:r>
        <w:rPr>
          <w:color w:val="000000"/>
          <w:spacing w:val="0"/>
          <w:w w:val="100"/>
          <w:position w:val="0"/>
        </w:rPr>
        <w:t>（</w:t>
      </w:r>
      <w:bookmarkEnd w:id="250"/>
      <w:r>
        <w:rPr>
          <w:color w:val="000000"/>
          <w:spacing w:val="0"/>
          <w:w w:val="100"/>
          <w:position w:val="0"/>
        </w:rPr>
        <w:t>一）</w:t>
        <w:tab/>
        <w:t>关于股东与股东大会</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公司严格按照《上市公司股东大会规则》和《公司章程》的规定和要求，规范股东大会的召集、召开及议事程序，能够 确保全体股东特别是中小股东享有平等地位，充分行使自己的权力。</w:t>
      </w:r>
    </w:p>
    <w:p>
      <w:pPr>
        <w:pStyle w:val="Style18"/>
        <w:keepNext w:val="0"/>
        <w:keepLines w:val="0"/>
        <w:widowControl w:val="0"/>
        <w:shd w:val="clear" w:color="auto" w:fill="auto"/>
        <w:tabs>
          <w:tab w:pos="898" w:val="left"/>
        </w:tabs>
        <w:bidi w:val="0"/>
        <w:spacing w:before="0" w:after="0" w:line="315" w:lineRule="exact"/>
        <w:ind w:left="0" w:right="0"/>
        <w:jc w:val="both"/>
      </w:pPr>
      <w:bookmarkStart w:id="251" w:name="bookmark251"/>
      <w:r>
        <w:rPr>
          <w:color w:val="000000"/>
          <w:spacing w:val="0"/>
          <w:w w:val="100"/>
          <w:position w:val="0"/>
        </w:rPr>
        <w:t>（</w:t>
      </w:r>
      <w:bookmarkEnd w:id="251"/>
      <w:r>
        <w:rPr>
          <w:color w:val="000000"/>
          <w:spacing w:val="0"/>
          <w:w w:val="100"/>
          <w:position w:val="0"/>
        </w:rPr>
        <w:t>二）</w:t>
        <w:tab/>
        <w:t>关于公司与控股股东</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公司控股股东能严格规范自己的行为，没有超越公司股东大会直接或间接干预公司的决策和经营活动的行为。</w:t>
      </w:r>
    </w:p>
    <w:p>
      <w:pPr>
        <w:pStyle w:val="Style18"/>
        <w:keepNext w:val="0"/>
        <w:keepLines w:val="0"/>
        <w:widowControl w:val="0"/>
        <w:shd w:val="clear" w:color="auto" w:fill="auto"/>
        <w:tabs>
          <w:tab w:pos="898" w:val="left"/>
        </w:tabs>
        <w:bidi w:val="0"/>
        <w:spacing w:before="0" w:after="0" w:line="315" w:lineRule="exact"/>
        <w:ind w:left="0" w:right="0"/>
        <w:jc w:val="both"/>
      </w:pPr>
      <w:bookmarkStart w:id="252" w:name="bookmark252"/>
      <w:r>
        <w:rPr>
          <w:color w:val="000000"/>
          <w:spacing w:val="0"/>
          <w:w w:val="100"/>
          <w:position w:val="0"/>
        </w:rPr>
        <w:t>（</w:t>
      </w:r>
      <w:bookmarkEnd w:id="252"/>
      <w:r>
        <w:rPr>
          <w:color w:val="000000"/>
          <w:spacing w:val="0"/>
          <w:w w:val="100"/>
          <w:position w:val="0"/>
        </w:rPr>
        <w:t>三）</w:t>
        <w:tab/>
        <w:t>关于董事与董事会</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公司严格按照《公司章程》规定的选聘程序选举董事，公司目前有独立董事三名，占全体董事的三分之一，董事会人数 和人员构成符合法律、法规和《公司章程》的要求。全体董事能够依据《董事会议事规则》、《深圳证券交易所上市公司自律 监管指引第1号</w:t>
      </w:r>
      <w:r>
        <w:rPr>
          <w:color w:val="000000"/>
          <w:spacing w:val="0"/>
          <w:w w:val="100"/>
          <w:position w:val="0"/>
        </w:rPr>
        <w:t>一一</w:t>
      </w:r>
      <w:r>
        <w:rPr>
          <w:color w:val="000000"/>
          <w:spacing w:val="0"/>
          <w:w w:val="100"/>
          <w:position w:val="0"/>
        </w:rPr>
        <w:t>主板上市公司规范运作》等制度开展工作，勤勉尽责履行义务。</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2021年公司董事会认真履行《公司法》和《公司章程》等法律法规赋予的职责，严格执行股东大会决议，积极推进公司 治理和内部控制活动，较大地发挥了董事会的作用，推动了公司治理水平的提升，促进了公司各项业务的发展。公司全体董 事在2021年里，认真负责，勤勉尽职，为公司的决策和董事会的规范运作献计献策。</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1、董事会日常工作情况</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2021年度公司共召开了八次董事会会议，具体如下：</w:t>
      </w:r>
    </w:p>
    <w:p>
      <w:pPr>
        <w:pStyle w:val="Style18"/>
        <w:keepNext w:val="0"/>
        <w:keepLines w:val="0"/>
        <w:widowControl w:val="0"/>
        <w:shd w:val="clear" w:color="auto" w:fill="auto"/>
        <w:tabs>
          <w:tab w:pos="883" w:val="left"/>
        </w:tabs>
        <w:bidi w:val="0"/>
        <w:spacing w:before="0" w:after="0" w:line="315" w:lineRule="exact"/>
        <w:ind w:left="0" w:right="0"/>
        <w:jc w:val="both"/>
      </w:pPr>
      <w:bookmarkStart w:id="253" w:name="bookmark253"/>
      <w:r>
        <w:rPr>
          <w:color w:val="000000"/>
          <w:spacing w:val="0"/>
          <w:w w:val="100"/>
          <w:position w:val="0"/>
        </w:rPr>
        <w:t>（</w:t>
      </w:r>
      <w:bookmarkEnd w:id="253"/>
      <w:r>
        <w:rPr>
          <w:color w:val="000000"/>
          <w:spacing w:val="0"/>
          <w:w w:val="100"/>
          <w:position w:val="0"/>
        </w:rPr>
        <w:t>1）</w:t>
        <w:tab/>
        <w:t>2021年2月4日召开了第七届董事会第十次临时会议，审议《关于公司＜2021年股票期权激励计划（草案）＞及其摘 要的议案》、《关于公司＜2021年股票期权激励计划实施考核管理办法〉的议案》、《关于提请股东大会授权董事会办理2021年股 票期权激励计划有关事项的议案》和《关于召开2021年第一次临时股东大会的议案》；</w:t>
      </w:r>
    </w:p>
    <w:p>
      <w:pPr>
        <w:pStyle w:val="Style18"/>
        <w:keepNext w:val="0"/>
        <w:keepLines w:val="0"/>
        <w:widowControl w:val="0"/>
        <w:shd w:val="clear" w:color="auto" w:fill="auto"/>
        <w:tabs>
          <w:tab w:pos="807" w:val="left"/>
        </w:tabs>
        <w:bidi w:val="0"/>
        <w:spacing w:before="0" w:after="0" w:line="315" w:lineRule="exact"/>
        <w:ind w:left="0" w:right="0"/>
        <w:jc w:val="both"/>
      </w:pPr>
      <w:bookmarkStart w:id="254" w:name="bookmark254"/>
      <w:r>
        <w:rPr>
          <w:color w:val="000000"/>
          <w:spacing w:val="0"/>
          <w:w w:val="100"/>
          <w:position w:val="0"/>
        </w:rPr>
        <w:t>（</w:t>
      </w:r>
      <w:bookmarkEnd w:id="254"/>
      <w:r>
        <w:rPr>
          <w:color w:val="000000"/>
          <w:spacing w:val="0"/>
          <w:w w:val="100"/>
          <w:position w:val="0"/>
        </w:rPr>
        <w:t>2）</w:t>
        <w:tab/>
        <w:t>2021年2月26日召开了第七届董事会第十一次临时会议，审议《关于向激励对象首次授予股票期权的议案》；</w:t>
      </w:r>
    </w:p>
    <w:p>
      <w:pPr>
        <w:pStyle w:val="Style18"/>
        <w:keepNext w:val="0"/>
        <w:keepLines w:val="0"/>
        <w:widowControl w:val="0"/>
        <w:shd w:val="clear" w:color="auto" w:fill="auto"/>
        <w:tabs>
          <w:tab w:pos="883" w:val="left"/>
        </w:tabs>
        <w:bidi w:val="0"/>
        <w:spacing w:before="0" w:after="0" w:line="315" w:lineRule="exact"/>
        <w:ind w:left="0" w:right="0"/>
        <w:jc w:val="both"/>
      </w:pPr>
      <w:bookmarkStart w:id="255" w:name="bookmark255"/>
      <w:r>
        <w:rPr>
          <w:color w:val="000000"/>
          <w:spacing w:val="0"/>
          <w:w w:val="100"/>
          <w:position w:val="0"/>
        </w:rPr>
        <w:t>（</w:t>
      </w:r>
      <w:bookmarkEnd w:id="255"/>
      <w:r>
        <w:rPr>
          <w:color w:val="000000"/>
          <w:spacing w:val="0"/>
          <w:w w:val="100"/>
          <w:position w:val="0"/>
        </w:rPr>
        <w:t>3）</w:t>
        <w:tab/>
        <w:t>2021年3月31日召开了第七届董事会第十二次临时会议，审议《关于公司前期会计差错更正的议案》和《关于深圳 一卡易科技股份有限公司不再纳入公司合并报表范围的议案》；</w:t>
      </w:r>
    </w:p>
    <w:p>
      <w:pPr>
        <w:pStyle w:val="Style18"/>
        <w:keepNext w:val="0"/>
        <w:keepLines w:val="0"/>
        <w:widowControl w:val="0"/>
        <w:shd w:val="clear" w:color="auto" w:fill="auto"/>
        <w:tabs>
          <w:tab w:pos="878" w:val="left"/>
        </w:tabs>
        <w:bidi w:val="0"/>
        <w:spacing w:before="0" w:after="0" w:line="315" w:lineRule="exact"/>
        <w:ind w:left="0" w:right="0"/>
        <w:jc w:val="both"/>
      </w:pPr>
      <w:bookmarkStart w:id="256" w:name="bookmark256"/>
      <w:r>
        <w:rPr>
          <w:color w:val="000000"/>
          <w:spacing w:val="0"/>
          <w:w w:val="100"/>
          <w:position w:val="0"/>
        </w:rPr>
        <w:t>（</w:t>
      </w:r>
      <w:bookmarkEnd w:id="256"/>
      <w:r>
        <w:rPr>
          <w:color w:val="000000"/>
          <w:spacing w:val="0"/>
          <w:w w:val="100"/>
          <w:position w:val="0"/>
        </w:rPr>
        <w:t>4）</w:t>
        <w:tab/>
        <w:t>2021年4月15日召开了第七届董事会第十三次临时会议，审议《关于使用闲置自有资金进行现金管理的议案》、《关 于使用闲置自有资金进行证券投资的议案》和《关于选举公司董事的议案》；</w:t>
      </w:r>
    </w:p>
    <w:p>
      <w:pPr>
        <w:pStyle w:val="Style18"/>
        <w:keepNext w:val="0"/>
        <w:keepLines w:val="0"/>
        <w:widowControl w:val="0"/>
        <w:shd w:val="clear" w:color="auto" w:fill="auto"/>
        <w:tabs>
          <w:tab w:pos="797" w:val="left"/>
        </w:tabs>
        <w:bidi w:val="0"/>
        <w:spacing w:before="0" w:after="0" w:line="315" w:lineRule="exact"/>
        <w:ind w:left="0" w:right="0"/>
        <w:jc w:val="both"/>
      </w:pPr>
      <w:bookmarkStart w:id="257" w:name="bookmark257"/>
      <w:r>
        <w:rPr>
          <w:color w:val="000000"/>
          <w:spacing w:val="0"/>
          <w:w w:val="100"/>
          <w:position w:val="0"/>
        </w:rPr>
        <w:t>（</w:t>
      </w:r>
      <w:bookmarkEnd w:id="257"/>
      <w:r>
        <w:rPr>
          <w:color w:val="000000"/>
          <w:spacing w:val="0"/>
          <w:w w:val="100"/>
          <w:position w:val="0"/>
        </w:rPr>
        <w:t>5）</w:t>
        <w:tab/>
        <w:t>2021年4月28日召开了第七届董事会第四次会议，审议《2020年度总裁工作报告》、《2020年度董事会工作报告》、 《2020年年度报告及摘要》、《2020年度财务决算报告》、《2021年度财务预算方案》、《2020年度利润分配方案》、《关于续聘中</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兴华会计师事务所为公司2021年度审计机构的议案》、《关于2020年度内部控制的自我评价报告》、《关于申请银行综合授信额 度的议案》、《关于2020年度计提资产减值准备的议案》、《2021年一季度报告》和《关于召开2020年度股东大会的议案》；</w:t>
      </w:r>
    </w:p>
    <w:p>
      <w:pPr>
        <w:pStyle w:val="Style18"/>
        <w:keepNext w:val="0"/>
        <w:keepLines w:val="0"/>
        <w:widowControl w:val="0"/>
        <w:shd w:val="clear" w:color="auto" w:fill="auto"/>
        <w:tabs>
          <w:tab w:pos="888" w:val="left"/>
        </w:tabs>
        <w:bidi w:val="0"/>
        <w:spacing w:before="0" w:after="0" w:line="315" w:lineRule="exact"/>
        <w:ind w:left="0" w:right="0"/>
        <w:jc w:val="both"/>
      </w:pPr>
      <w:bookmarkStart w:id="258" w:name="bookmark258"/>
      <w:r>
        <w:rPr>
          <w:color w:val="000000"/>
          <w:spacing w:val="0"/>
          <w:w w:val="100"/>
          <w:position w:val="0"/>
        </w:rPr>
        <w:t>（</w:t>
      </w:r>
      <w:bookmarkEnd w:id="258"/>
      <w:r>
        <w:rPr>
          <w:color w:val="000000"/>
          <w:spacing w:val="0"/>
          <w:w w:val="100"/>
          <w:position w:val="0"/>
        </w:rPr>
        <w:t>6）</w:t>
        <w:tab/>
        <w:t>2021年8月26日召开了第七届董事会第十四次临时会议，审议《2021年半年度报告及摘要》、《关于公司会计政策变 更的议案》、《公司2021年半年度利润分配预案》、《关于以资产抵押向银行申请综合授信的议案》和《关于召开2021年第二次 临时股东大会的议案》；</w:t>
      </w:r>
    </w:p>
    <w:p>
      <w:pPr>
        <w:pStyle w:val="Style18"/>
        <w:keepNext w:val="0"/>
        <w:keepLines w:val="0"/>
        <w:widowControl w:val="0"/>
        <w:shd w:val="clear" w:color="auto" w:fill="auto"/>
        <w:tabs>
          <w:tab w:pos="807" w:val="left"/>
        </w:tabs>
        <w:bidi w:val="0"/>
        <w:spacing w:before="0" w:after="0" w:line="315" w:lineRule="exact"/>
        <w:ind w:left="0" w:right="0"/>
        <w:jc w:val="both"/>
      </w:pPr>
      <w:bookmarkStart w:id="259" w:name="bookmark259"/>
      <w:r>
        <w:rPr>
          <w:color w:val="000000"/>
          <w:spacing w:val="0"/>
          <w:w w:val="100"/>
          <w:position w:val="0"/>
        </w:rPr>
        <w:t>（</w:t>
      </w:r>
      <w:bookmarkEnd w:id="259"/>
      <w:r>
        <w:rPr>
          <w:color w:val="000000"/>
          <w:spacing w:val="0"/>
          <w:w w:val="100"/>
          <w:position w:val="0"/>
        </w:rPr>
        <w:t>7）</w:t>
        <w:tab/>
        <w:t>2021年10月26日召开了第七届董事会第五次会议，审议《2021年第三季度报告》；</w:t>
      </w:r>
    </w:p>
    <w:p>
      <w:pPr>
        <w:pStyle w:val="Style18"/>
        <w:keepNext w:val="0"/>
        <w:keepLines w:val="0"/>
        <w:widowControl w:val="0"/>
        <w:shd w:val="clear" w:color="auto" w:fill="auto"/>
        <w:tabs>
          <w:tab w:pos="878" w:val="left"/>
        </w:tabs>
        <w:bidi w:val="0"/>
        <w:spacing w:before="0" w:after="0" w:line="315" w:lineRule="exact"/>
        <w:ind w:left="0" w:right="0"/>
        <w:jc w:val="both"/>
      </w:pPr>
      <w:bookmarkStart w:id="260" w:name="bookmark260"/>
      <w:r>
        <w:rPr>
          <w:color w:val="000000"/>
          <w:spacing w:val="0"/>
          <w:w w:val="100"/>
          <w:position w:val="0"/>
        </w:rPr>
        <w:t>（</w:t>
      </w:r>
      <w:bookmarkEnd w:id="260"/>
      <w:r>
        <w:rPr>
          <w:color w:val="000000"/>
          <w:spacing w:val="0"/>
          <w:w w:val="100"/>
          <w:position w:val="0"/>
        </w:rPr>
        <w:t>8）</w:t>
        <w:tab/>
        <w:t>2021年12月24日召开了第七届董事会第十五次临时会议，审议《关于调整公司2021年股票期权激励计划首次授予 部分股票期权行权价格的议案》、《关于向激励对象授予预留部分股票期权的议案》、《公司2021年半年度利润分配预案》、《关 于以资产抵押向银行申请综合授信的议案》和《关于召开2021年第二次临时股东大会的议案》。</w:t>
      </w:r>
    </w:p>
    <w:p>
      <w:pPr>
        <w:pStyle w:val="Style18"/>
        <w:keepNext w:val="0"/>
        <w:keepLines w:val="0"/>
        <w:widowControl w:val="0"/>
        <w:shd w:val="clear" w:color="auto" w:fill="auto"/>
        <w:tabs>
          <w:tab w:pos="721" w:val="left"/>
        </w:tabs>
        <w:bidi w:val="0"/>
        <w:spacing w:before="0" w:after="0" w:line="316" w:lineRule="exact"/>
        <w:ind w:left="0" w:right="0"/>
        <w:jc w:val="both"/>
      </w:pPr>
      <w:bookmarkStart w:id="261" w:name="bookmark261"/>
      <w:r>
        <w:rPr>
          <w:color w:val="000000"/>
          <w:spacing w:val="0"/>
          <w:w w:val="100"/>
          <w:position w:val="0"/>
        </w:rPr>
        <w:t>2</w:t>
      </w:r>
      <w:bookmarkEnd w:id="261"/>
      <w:r>
        <w:rPr>
          <w:color w:val="000000"/>
          <w:spacing w:val="0"/>
          <w:w w:val="100"/>
          <w:position w:val="0"/>
        </w:rPr>
        <w:t>、</w:t>
        <w:tab/>
        <w:t>董事会执行股东大会决议的情况</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报告期内，公司董事会根据《公司法》、《证券法》等有关法律法规和《公司章程》的要求，严格按照股东大会各项决议 和授权，认真执行了股东大会通过的相关决议。</w:t>
      </w:r>
    </w:p>
    <w:p>
      <w:pPr>
        <w:pStyle w:val="Style18"/>
        <w:keepNext w:val="0"/>
        <w:keepLines w:val="0"/>
        <w:widowControl w:val="0"/>
        <w:shd w:val="clear" w:color="auto" w:fill="auto"/>
        <w:tabs>
          <w:tab w:pos="721" w:val="left"/>
        </w:tabs>
        <w:bidi w:val="0"/>
        <w:spacing w:before="0" w:after="0" w:line="316" w:lineRule="exact"/>
        <w:ind w:left="0" w:right="0"/>
        <w:jc w:val="both"/>
      </w:pPr>
      <w:bookmarkStart w:id="262" w:name="bookmark262"/>
      <w:r>
        <w:rPr>
          <w:color w:val="000000"/>
          <w:spacing w:val="0"/>
          <w:w w:val="100"/>
          <w:position w:val="0"/>
        </w:rPr>
        <w:t>3</w:t>
      </w:r>
      <w:bookmarkEnd w:id="262"/>
      <w:r>
        <w:rPr>
          <w:color w:val="000000"/>
          <w:spacing w:val="0"/>
          <w:w w:val="100"/>
          <w:position w:val="0"/>
        </w:rPr>
        <w:t>、</w:t>
        <w:tab/>
        <w:t>信息披露管理情况</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公司董事会依照《公司法》、《证券法》和《公司章程》等法律、法规等规范性文件，认真自觉履行信息披露义务，严把 信息披露关，切实提高公司规范运作水平和透明度。报告期内，公司信息披露真实、准确、及时、完整，无虚假记载，误导 性陈述或重大遗漏，确保了披露信息的准确性、可靠性和有效性。</w:t>
      </w:r>
    </w:p>
    <w:p>
      <w:pPr>
        <w:pStyle w:val="Style18"/>
        <w:keepNext w:val="0"/>
        <w:keepLines w:val="0"/>
        <w:widowControl w:val="0"/>
        <w:shd w:val="clear" w:color="auto" w:fill="auto"/>
        <w:tabs>
          <w:tab w:pos="721" w:val="left"/>
        </w:tabs>
        <w:bidi w:val="0"/>
        <w:spacing w:before="0" w:after="0" w:line="316" w:lineRule="exact"/>
        <w:ind w:left="0" w:right="0"/>
        <w:jc w:val="both"/>
      </w:pPr>
      <w:bookmarkStart w:id="263" w:name="bookmark263"/>
      <w:r>
        <w:rPr>
          <w:color w:val="000000"/>
          <w:spacing w:val="0"/>
          <w:w w:val="100"/>
          <w:position w:val="0"/>
        </w:rPr>
        <w:t>4</w:t>
      </w:r>
      <w:bookmarkEnd w:id="263"/>
      <w:r>
        <w:rPr>
          <w:color w:val="000000"/>
          <w:spacing w:val="0"/>
          <w:w w:val="100"/>
          <w:position w:val="0"/>
        </w:rPr>
        <w:t>、</w:t>
        <w:tab/>
        <w:t>投资者关系管理情况</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报告期内，公司通过网络互动、专线电话等多种渠道主动加强与投资者，特别是中小投资者的联系和沟通；公司积极采 用现场会议和网络投票相结合的方式召开股东大会，便于广大投资者对公司经营活动的积极参与。</w:t>
      </w:r>
    </w:p>
    <w:p>
      <w:pPr>
        <w:pStyle w:val="Style18"/>
        <w:keepNext w:val="0"/>
        <w:keepLines w:val="0"/>
        <w:widowControl w:val="0"/>
        <w:shd w:val="clear" w:color="auto" w:fill="auto"/>
        <w:tabs>
          <w:tab w:pos="721" w:val="left"/>
        </w:tabs>
        <w:bidi w:val="0"/>
        <w:spacing w:before="0" w:after="0" w:line="316" w:lineRule="exact"/>
        <w:ind w:left="0" w:right="0"/>
        <w:jc w:val="both"/>
      </w:pPr>
      <w:bookmarkStart w:id="264" w:name="bookmark264"/>
      <w:r>
        <w:rPr>
          <w:color w:val="000000"/>
          <w:spacing w:val="0"/>
          <w:w w:val="100"/>
          <w:position w:val="0"/>
        </w:rPr>
        <w:t>5</w:t>
      </w:r>
      <w:bookmarkEnd w:id="264"/>
      <w:r>
        <w:rPr>
          <w:color w:val="000000"/>
          <w:spacing w:val="0"/>
          <w:w w:val="100"/>
          <w:position w:val="0"/>
        </w:rPr>
        <w:t>、</w:t>
        <w:tab/>
        <w:t>董事会及各专门委员会履职及运作情况</w:t>
      </w:r>
    </w:p>
    <w:p>
      <w:pPr>
        <w:pStyle w:val="Style18"/>
        <w:keepNext w:val="0"/>
        <w:keepLines w:val="0"/>
        <w:widowControl w:val="0"/>
        <w:shd w:val="clear" w:color="auto" w:fill="auto"/>
        <w:bidi w:val="0"/>
        <w:spacing w:before="0" w:after="0" w:line="316" w:lineRule="exact"/>
        <w:ind w:left="0" w:right="0"/>
        <w:jc w:val="left"/>
      </w:pPr>
      <w:r>
        <w:rPr>
          <w:color w:val="000000"/>
          <w:spacing w:val="0"/>
          <w:w w:val="100"/>
          <w:position w:val="0"/>
        </w:rPr>
        <w:t>详见本报告第四节第七点</w:t>
      </w:r>
      <w:r>
        <w:rPr>
          <w:rFonts w:ascii="Times New Roman" w:eastAsia="Times New Roman" w:hAnsi="Times New Roman" w:cs="Times New Roman"/>
          <w:color w:val="000000"/>
          <w:spacing w:val="0"/>
          <w:w w:val="100"/>
          <w:position w:val="0"/>
        </w:rPr>
        <w:t>“</w:t>
      </w:r>
      <w:r>
        <w:rPr>
          <w:color w:val="000000"/>
          <w:spacing w:val="0"/>
          <w:w w:val="100"/>
          <w:position w:val="0"/>
        </w:rPr>
        <w:t>董事会下设专门委员会在报告期内的情况</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bidi w:val="0"/>
        <w:spacing w:before="0" w:after="0" w:line="316" w:lineRule="exact"/>
        <w:ind w:left="0" w:right="0"/>
        <w:jc w:val="both"/>
      </w:pPr>
      <w:bookmarkStart w:id="265" w:name="bookmark265"/>
      <w:r>
        <w:rPr>
          <w:color w:val="000000"/>
          <w:spacing w:val="0"/>
          <w:w w:val="100"/>
          <w:position w:val="0"/>
        </w:rPr>
        <w:t>（</w:t>
      </w:r>
      <w:bookmarkEnd w:id="265"/>
      <w:r>
        <w:rPr>
          <w:color w:val="000000"/>
          <w:spacing w:val="0"/>
          <w:w w:val="100"/>
          <w:position w:val="0"/>
        </w:rPr>
        <w:t>四）关于监事与监事会</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公司严格按照《公司法》、《公司章程》的有关规定选聘监事，监事会的人数及构成符合法律、法规的要求。公司目前有 职工代表监事一名，占全体监事的三分之一，监事人数和人员构成符合法律、法规的要求。公司监事能够按照《监事会议事 规则》等的要求，认真履行职责，对公司重大事项、财务状况、公司董事、经理和其他高级管理人员履行职责的合法合规性 等进行监督，切实维护公司及股东的权益。</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2021年度，公司监事会根据《公司法》、《证券法》、《公司章程》等的有关规定，本着对全体股东负责的精神，恪尽职守， 认真履行各项职责和义务，充分行使对公司董事及高级管理人员的监督职能，为公司的规范运作和发展起到了积极作用。</w:t>
      </w:r>
    </w:p>
    <w:p>
      <w:pPr>
        <w:pStyle w:val="Style18"/>
        <w:keepNext w:val="0"/>
        <w:keepLines w:val="0"/>
        <w:widowControl w:val="0"/>
        <w:shd w:val="clear" w:color="auto" w:fill="auto"/>
        <w:tabs>
          <w:tab w:pos="721" w:val="left"/>
        </w:tabs>
        <w:bidi w:val="0"/>
        <w:spacing w:before="0" w:after="0" w:line="319" w:lineRule="exact"/>
        <w:ind w:left="0" w:right="0"/>
        <w:jc w:val="both"/>
      </w:pPr>
      <w:bookmarkStart w:id="266" w:name="bookmark266"/>
      <w:r>
        <w:rPr>
          <w:color w:val="000000"/>
          <w:spacing w:val="0"/>
          <w:w w:val="100"/>
          <w:position w:val="0"/>
        </w:rPr>
        <w:t>1</w:t>
      </w:r>
      <w:bookmarkEnd w:id="266"/>
      <w:r>
        <w:rPr>
          <w:color w:val="000000"/>
          <w:spacing w:val="0"/>
          <w:w w:val="100"/>
          <w:position w:val="0"/>
        </w:rPr>
        <w:t>、</w:t>
        <w:tab/>
        <w:t>监事会工作情况</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2021年度公司共召开了八次监事会会议，具体如下：</w:t>
      </w:r>
    </w:p>
    <w:p>
      <w:pPr>
        <w:pStyle w:val="Style18"/>
        <w:keepNext w:val="0"/>
        <w:keepLines w:val="0"/>
        <w:widowControl w:val="0"/>
        <w:shd w:val="clear" w:color="auto" w:fill="auto"/>
        <w:tabs>
          <w:tab w:pos="873" w:val="left"/>
        </w:tabs>
        <w:bidi w:val="0"/>
        <w:spacing w:before="0" w:after="0" w:line="319" w:lineRule="exact"/>
        <w:ind w:left="0" w:right="0"/>
        <w:jc w:val="both"/>
      </w:pPr>
      <w:bookmarkStart w:id="267" w:name="bookmark267"/>
      <w:r>
        <w:rPr>
          <w:color w:val="000000"/>
          <w:spacing w:val="0"/>
          <w:w w:val="100"/>
          <w:position w:val="0"/>
        </w:rPr>
        <w:t>（</w:t>
      </w:r>
      <w:bookmarkEnd w:id="267"/>
      <w:r>
        <w:rPr>
          <w:color w:val="000000"/>
          <w:spacing w:val="0"/>
          <w:w w:val="100"/>
          <w:position w:val="0"/>
        </w:rPr>
        <w:t>1）</w:t>
        <w:tab/>
        <w:t>公司于2021年2月4日召开了第七届监事会第七次临时会议，审议通过了《关于公司＜2021年股票期权激励计划（草 案）＞及其摘要的议案》、《关于公司＜2021年股票期权激励计划实施考核管理办法〉的议案》和《关于核实公司＜2021年股票期 权激励计划首次授权部分激励对象名单〉的议案》。</w:t>
      </w:r>
    </w:p>
    <w:p>
      <w:pPr>
        <w:pStyle w:val="Style18"/>
        <w:keepNext w:val="0"/>
        <w:keepLines w:val="0"/>
        <w:widowControl w:val="0"/>
        <w:shd w:val="clear" w:color="auto" w:fill="auto"/>
        <w:tabs>
          <w:tab w:pos="873" w:val="left"/>
        </w:tabs>
        <w:bidi w:val="0"/>
        <w:spacing w:before="0" w:after="0" w:line="331" w:lineRule="exact"/>
        <w:ind w:left="0" w:right="0"/>
        <w:jc w:val="both"/>
      </w:pPr>
      <w:bookmarkStart w:id="268" w:name="bookmark268"/>
      <w:r>
        <w:rPr>
          <w:color w:val="000000"/>
          <w:spacing w:val="0"/>
          <w:w w:val="100"/>
          <w:position w:val="0"/>
        </w:rPr>
        <w:t>（</w:t>
      </w:r>
      <w:bookmarkEnd w:id="268"/>
      <w:r>
        <w:rPr>
          <w:color w:val="000000"/>
          <w:spacing w:val="0"/>
          <w:w w:val="100"/>
          <w:position w:val="0"/>
        </w:rPr>
        <w:t>2）</w:t>
        <w:tab/>
        <w:t>公司于2021年2月26日召开了第七届监事会第八次临时会议，审议通过了《关于向激励对象首次授予股票期权的议 案》。</w:t>
      </w:r>
    </w:p>
    <w:p>
      <w:pPr>
        <w:pStyle w:val="Style18"/>
        <w:keepNext w:val="0"/>
        <w:keepLines w:val="0"/>
        <w:widowControl w:val="0"/>
        <w:shd w:val="clear" w:color="auto" w:fill="auto"/>
        <w:tabs>
          <w:tab w:pos="782" w:val="left"/>
        </w:tabs>
        <w:bidi w:val="0"/>
        <w:spacing w:before="0" w:after="0" w:line="331" w:lineRule="exact"/>
        <w:ind w:left="0" w:right="0"/>
        <w:jc w:val="both"/>
      </w:pPr>
      <w:bookmarkStart w:id="269" w:name="bookmark269"/>
      <w:r>
        <w:rPr>
          <w:color w:val="000000"/>
          <w:spacing w:val="0"/>
          <w:w w:val="100"/>
          <w:position w:val="0"/>
        </w:rPr>
        <w:t>（</w:t>
      </w:r>
      <w:bookmarkEnd w:id="269"/>
      <w:r>
        <w:rPr>
          <w:color w:val="000000"/>
          <w:spacing w:val="0"/>
          <w:w w:val="100"/>
          <w:position w:val="0"/>
        </w:rPr>
        <w:t>3）</w:t>
        <w:tab/>
        <w:t>公司于2021年3月31日召开了第七届监事会第九次临时会议，审议通过了《关于公司前期会计差错更正的议案》和 《关于深圳一卡易科技股份有限公司不再纳入公司合并报表范围的议案》。</w:t>
      </w:r>
    </w:p>
    <w:p>
      <w:pPr>
        <w:pStyle w:val="Style18"/>
        <w:keepNext w:val="0"/>
        <w:keepLines w:val="0"/>
        <w:widowControl w:val="0"/>
        <w:shd w:val="clear" w:color="auto" w:fill="auto"/>
        <w:tabs>
          <w:tab w:pos="868" w:val="left"/>
        </w:tabs>
        <w:bidi w:val="0"/>
        <w:spacing w:before="0" w:after="0" w:line="322" w:lineRule="exact"/>
        <w:ind w:left="0" w:right="0"/>
        <w:jc w:val="both"/>
      </w:pPr>
      <w:bookmarkStart w:id="270" w:name="bookmark270"/>
      <w:r>
        <w:rPr>
          <w:color w:val="000000"/>
          <w:spacing w:val="0"/>
          <w:w w:val="100"/>
          <w:position w:val="0"/>
        </w:rPr>
        <w:t>（</w:t>
      </w:r>
      <w:bookmarkEnd w:id="270"/>
      <w:r>
        <w:rPr>
          <w:color w:val="000000"/>
          <w:spacing w:val="0"/>
          <w:w w:val="100"/>
          <w:position w:val="0"/>
        </w:rPr>
        <w:t>4）</w:t>
        <w:tab/>
        <w:t>公司于2021年4月15日召开了第七届监事会第十次临时会议，审议通过了《关于使用闲置自有资金进行现金管理的 议案》。</w:t>
      </w:r>
    </w:p>
    <w:p>
      <w:pPr>
        <w:pStyle w:val="Style18"/>
        <w:keepNext w:val="0"/>
        <w:keepLines w:val="0"/>
        <w:widowControl w:val="0"/>
        <w:shd w:val="clear" w:color="auto" w:fill="auto"/>
        <w:tabs>
          <w:tab w:pos="873" w:val="left"/>
        </w:tabs>
        <w:bidi w:val="0"/>
        <w:spacing w:before="0" w:after="0" w:line="318" w:lineRule="exact"/>
        <w:ind w:left="0" w:right="0"/>
        <w:jc w:val="both"/>
      </w:pPr>
      <w:bookmarkStart w:id="271" w:name="bookmark271"/>
      <w:r>
        <w:rPr>
          <w:color w:val="000000"/>
          <w:spacing w:val="0"/>
          <w:w w:val="100"/>
          <w:position w:val="0"/>
        </w:rPr>
        <w:t>（</w:t>
      </w:r>
      <w:bookmarkEnd w:id="271"/>
      <w:r>
        <w:rPr>
          <w:color w:val="000000"/>
          <w:spacing w:val="0"/>
          <w:w w:val="100"/>
          <w:position w:val="0"/>
        </w:rPr>
        <w:t>5）</w:t>
        <w:tab/>
        <w:t>公司于2021年4月28日召开了第七届监事会第四次会议，审议通过了《2020年度监事会工作报告》、《2020年年度报 告及摘要》、《2020年度财务决算报告》、《2021年度财务预算方案》、《2020年度利润分配方案》、《关于2020年度内部控制的自 我评价报告》、《关于续聘中兴华会计师事务所为公司2020年度审计机构的议案》和《2021年一季度报告》；</w:t>
      </w:r>
    </w:p>
    <w:p>
      <w:pPr>
        <w:pStyle w:val="Style18"/>
        <w:keepNext w:val="0"/>
        <w:keepLines w:val="0"/>
        <w:widowControl w:val="0"/>
        <w:shd w:val="clear" w:color="auto" w:fill="auto"/>
        <w:tabs>
          <w:tab w:pos="863" w:val="left"/>
        </w:tabs>
        <w:bidi w:val="0"/>
        <w:spacing w:before="0" w:after="0" w:line="318" w:lineRule="exact"/>
        <w:ind w:left="0" w:right="0"/>
        <w:jc w:val="both"/>
      </w:pPr>
      <w:bookmarkStart w:id="272" w:name="bookmark272"/>
      <w:r>
        <w:rPr>
          <w:color w:val="000000"/>
          <w:spacing w:val="0"/>
          <w:w w:val="100"/>
          <w:position w:val="0"/>
        </w:rPr>
        <w:t>（</w:t>
      </w:r>
      <w:bookmarkEnd w:id="272"/>
      <w:r>
        <w:rPr>
          <w:color w:val="000000"/>
          <w:spacing w:val="0"/>
          <w:w w:val="100"/>
          <w:position w:val="0"/>
        </w:rPr>
        <w:t>6）</w:t>
        <w:tab/>
        <w:t>公司于2021年8月26日召开了第七届监事会第十一次临时会议，审议通过了《2021年半年度报告及摘要》、《关于公 司会计政策变更的议案》、《公司2021年半年度利润分配预案》和《关于以资产抵押向银行申请综合授信的议案》；</w:t>
      </w:r>
    </w:p>
    <w:p>
      <w:pPr>
        <w:pStyle w:val="Style18"/>
        <w:keepNext w:val="0"/>
        <w:keepLines w:val="0"/>
        <w:widowControl w:val="0"/>
        <w:shd w:val="clear" w:color="auto" w:fill="auto"/>
        <w:tabs>
          <w:tab w:pos="797" w:val="left"/>
        </w:tabs>
        <w:bidi w:val="0"/>
        <w:spacing w:before="0" w:after="0" w:line="318" w:lineRule="exact"/>
        <w:ind w:left="0" w:right="0"/>
        <w:jc w:val="both"/>
      </w:pPr>
      <w:bookmarkStart w:id="273" w:name="bookmark273"/>
      <w:r>
        <w:rPr>
          <w:color w:val="000000"/>
          <w:spacing w:val="0"/>
          <w:w w:val="100"/>
          <w:position w:val="0"/>
        </w:rPr>
        <w:t>（</w:t>
      </w:r>
      <w:bookmarkEnd w:id="273"/>
      <w:r>
        <w:rPr>
          <w:color w:val="000000"/>
          <w:spacing w:val="0"/>
          <w:w w:val="100"/>
          <w:position w:val="0"/>
        </w:rPr>
        <w:t>7）</w:t>
        <w:tab/>
        <w:t>公司于2021年10月26日召开了第七届监事会第五次会议，审议通过了《2021年第三季度报告》；</w:t>
      </w:r>
    </w:p>
    <w:p>
      <w:pPr>
        <w:pStyle w:val="Style18"/>
        <w:keepNext w:val="0"/>
        <w:keepLines w:val="0"/>
        <w:widowControl w:val="0"/>
        <w:shd w:val="clear" w:color="auto" w:fill="auto"/>
        <w:tabs>
          <w:tab w:pos="873" w:val="left"/>
        </w:tabs>
        <w:bidi w:val="0"/>
        <w:spacing w:before="0" w:after="0" w:line="331" w:lineRule="exact"/>
        <w:ind w:left="0" w:right="0"/>
        <w:jc w:val="both"/>
      </w:pPr>
      <w:bookmarkStart w:id="274" w:name="bookmark274"/>
      <w:r>
        <w:rPr>
          <w:color w:val="000000"/>
          <w:spacing w:val="0"/>
          <w:w w:val="100"/>
          <w:position w:val="0"/>
        </w:rPr>
        <w:t>（</w:t>
      </w:r>
      <w:bookmarkEnd w:id="274"/>
      <w:r>
        <w:rPr>
          <w:color w:val="000000"/>
          <w:spacing w:val="0"/>
          <w:w w:val="100"/>
          <w:position w:val="0"/>
        </w:rPr>
        <w:t>8）</w:t>
        <w:tab/>
        <w:t>公司于2021年12月24日召开了第七届监事会第十二次临时会议，审议通过了《关于调整公司2021年股票期权激励 计划首次授予部分股票期权行权价格的议案》和《关于向激励对象授予预留部分股票期权的议案》。</w:t>
      </w:r>
    </w:p>
    <w:p>
      <w:pPr>
        <w:pStyle w:val="Style18"/>
        <w:keepNext w:val="0"/>
        <w:keepLines w:val="0"/>
        <w:widowControl w:val="0"/>
        <w:shd w:val="clear" w:color="auto" w:fill="auto"/>
        <w:tabs>
          <w:tab w:pos="721" w:val="left"/>
        </w:tabs>
        <w:bidi w:val="0"/>
        <w:spacing w:before="0" w:after="0" w:line="315" w:lineRule="exact"/>
        <w:ind w:left="0" w:right="0"/>
        <w:jc w:val="both"/>
      </w:pPr>
      <w:bookmarkStart w:id="275" w:name="bookmark275"/>
      <w:r>
        <w:rPr>
          <w:color w:val="000000"/>
          <w:spacing w:val="0"/>
          <w:w w:val="100"/>
          <w:position w:val="0"/>
        </w:rPr>
        <w:t>2</w:t>
      </w:r>
      <w:bookmarkEnd w:id="275"/>
      <w:r>
        <w:rPr>
          <w:color w:val="000000"/>
          <w:spacing w:val="0"/>
          <w:w w:val="100"/>
          <w:position w:val="0"/>
        </w:rPr>
        <w:t>、</w:t>
        <w:tab/>
        <w:t>监事会对2021年度公司有关事项的独立意见</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（1）公司依法运作情况</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2021年度公司董事会能严格按照《公司法》、《公司章程》等相关法律法规和规章的规定，依法管理、依法经营，决策程 序合法，建立并完善了各项内部管理和内部控制制度。公司董事、经理层执行职务时能够勤勉尽责，没有发现违反法律、法 规、公司章程或损害公司和股东利益的行为。公司董事会严格按照信息披露的要求，及时、准确、完整的进行对外信息的披 露，没有发现公司应披露而未披露的事项。</w:t>
      </w:r>
    </w:p>
    <w:p>
      <w:pPr>
        <w:pStyle w:val="Style18"/>
        <w:keepNext w:val="0"/>
        <w:keepLines w:val="0"/>
        <w:widowControl w:val="0"/>
        <w:shd w:val="clear" w:color="auto" w:fill="auto"/>
        <w:tabs>
          <w:tab w:pos="820" w:val="left"/>
        </w:tabs>
        <w:bidi w:val="0"/>
        <w:spacing w:before="0" w:after="0" w:line="312" w:lineRule="exact"/>
        <w:ind w:left="0" w:right="0"/>
        <w:jc w:val="both"/>
      </w:pPr>
      <w:bookmarkStart w:id="276" w:name="bookmark276"/>
      <w:r>
        <w:rPr>
          <w:color w:val="000000"/>
          <w:spacing w:val="0"/>
          <w:w w:val="100"/>
          <w:position w:val="0"/>
        </w:rPr>
        <w:t>（</w:t>
      </w:r>
      <w:bookmarkEnd w:id="276"/>
      <w:r>
        <w:rPr>
          <w:color w:val="000000"/>
          <w:spacing w:val="0"/>
          <w:w w:val="100"/>
          <w:position w:val="0"/>
        </w:rPr>
        <w:t>2）</w:t>
        <w:tab/>
        <w:t>检查公司财务的情况</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2021年度公司监事会认真审阅了定期报告和相关财务报表，并对公司财务管理进行了细致的检查。监事会认为公司财务 制度健全、内部控制完善、财务运作规范、财务状况良好。公司2021年度财务报告真实反映了公司的财务状况和经营成果。</w:t>
      </w:r>
    </w:p>
    <w:p>
      <w:pPr>
        <w:pStyle w:val="Style18"/>
        <w:keepNext w:val="0"/>
        <w:keepLines w:val="0"/>
        <w:widowControl w:val="0"/>
        <w:shd w:val="clear" w:color="auto" w:fill="auto"/>
        <w:tabs>
          <w:tab w:pos="820" w:val="left"/>
        </w:tabs>
        <w:bidi w:val="0"/>
        <w:spacing w:before="0" w:after="0" w:line="312" w:lineRule="exact"/>
        <w:ind w:left="0" w:right="0"/>
        <w:jc w:val="both"/>
      </w:pPr>
      <w:bookmarkStart w:id="277" w:name="bookmark277"/>
      <w:r>
        <w:rPr>
          <w:color w:val="000000"/>
          <w:spacing w:val="0"/>
          <w:w w:val="100"/>
          <w:position w:val="0"/>
        </w:rPr>
        <w:t>（</w:t>
      </w:r>
      <w:bookmarkEnd w:id="277"/>
      <w:r>
        <w:rPr>
          <w:color w:val="000000"/>
          <w:spacing w:val="0"/>
          <w:w w:val="100"/>
          <w:position w:val="0"/>
        </w:rPr>
        <w:t>3）</w:t>
        <w:tab/>
        <w:t>募集资金使用情况</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2021年度公司没有募集资金使用情况。</w:t>
      </w:r>
    </w:p>
    <w:p>
      <w:pPr>
        <w:pStyle w:val="Style18"/>
        <w:keepNext w:val="0"/>
        <w:keepLines w:val="0"/>
        <w:widowControl w:val="0"/>
        <w:shd w:val="clear" w:color="auto" w:fill="auto"/>
        <w:tabs>
          <w:tab w:pos="820" w:val="left"/>
        </w:tabs>
        <w:bidi w:val="0"/>
        <w:spacing w:before="0" w:after="0" w:line="312" w:lineRule="exact"/>
        <w:ind w:left="0" w:right="0"/>
        <w:jc w:val="both"/>
      </w:pPr>
      <w:bookmarkStart w:id="278" w:name="bookmark278"/>
      <w:r>
        <w:rPr>
          <w:color w:val="000000"/>
          <w:spacing w:val="0"/>
          <w:w w:val="100"/>
          <w:position w:val="0"/>
        </w:rPr>
        <w:t>（</w:t>
      </w:r>
      <w:bookmarkEnd w:id="278"/>
      <w:r>
        <w:rPr>
          <w:color w:val="000000"/>
          <w:spacing w:val="0"/>
          <w:w w:val="100"/>
          <w:position w:val="0"/>
        </w:rPr>
        <w:t>4）</w:t>
        <w:tab/>
        <w:t>报告期公司收购、出售情况</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2021年度公司没有收购、出售情况。</w:t>
      </w:r>
    </w:p>
    <w:p>
      <w:pPr>
        <w:pStyle w:val="Style18"/>
        <w:keepNext w:val="0"/>
        <w:keepLines w:val="0"/>
        <w:widowControl w:val="0"/>
        <w:shd w:val="clear" w:color="auto" w:fill="auto"/>
        <w:tabs>
          <w:tab w:pos="820" w:val="left"/>
        </w:tabs>
        <w:bidi w:val="0"/>
        <w:spacing w:before="0" w:after="0" w:line="312" w:lineRule="exact"/>
        <w:ind w:left="0" w:right="0"/>
        <w:jc w:val="both"/>
      </w:pPr>
      <w:bookmarkStart w:id="279" w:name="bookmark279"/>
      <w:r>
        <w:rPr>
          <w:color w:val="000000"/>
          <w:spacing w:val="0"/>
          <w:w w:val="100"/>
          <w:position w:val="0"/>
        </w:rPr>
        <w:t>（</w:t>
      </w:r>
      <w:bookmarkEnd w:id="279"/>
      <w:r>
        <w:rPr>
          <w:color w:val="000000"/>
          <w:spacing w:val="0"/>
          <w:w w:val="100"/>
          <w:position w:val="0"/>
        </w:rPr>
        <w:t>5）</w:t>
        <w:tab/>
        <w:t>关联交易情况</w:t>
      </w:r>
    </w:p>
    <w:p>
      <w:pPr>
        <w:pStyle w:val="Style18"/>
        <w:keepNext w:val="0"/>
        <w:keepLines w:val="0"/>
        <w:widowControl w:val="0"/>
        <w:numPr>
          <w:ilvl w:val="0"/>
          <w:numId w:val="7"/>
        </w:numPr>
        <w:shd w:val="clear" w:color="auto" w:fill="auto"/>
        <w:tabs>
          <w:tab w:pos="833" w:val="left"/>
        </w:tabs>
        <w:bidi w:val="0"/>
        <w:spacing w:before="0" w:after="0" w:line="312" w:lineRule="exact"/>
        <w:ind w:left="0" w:right="0" w:firstLine="460"/>
        <w:jc w:val="both"/>
      </w:pPr>
      <w:bookmarkStart w:id="280" w:name="bookmark280"/>
      <w:bookmarkEnd w:id="280"/>
      <w:r>
        <w:rPr>
          <w:color w:val="000000"/>
          <w:spacing w:val="0"/>
          <w:w w:val="100"/>
          <w:position w:val="0"/>
        </w:rPr>
        <w:t>存在控制关系且已纳入本公司合并会计报表范围的子公司，其相互间交易及母子公司交易已作抵销。</w:t>
      </w:r>
    </w:p>
    <w:p>
      <w:pPr>
        <w:pStyle w:val="Style18"/>
        <w:keepNext w:val="0"/>
        <w:keepLines w:val="0"/>
        <w:widowControl w:val="0"/>
        <w:numPr>
          <w:ilvl w:val="0"/>
          <w:numId w:val="7"/>
        </w:numPr>
        <w:shd w:val="clear" w:color="auto" w:fill="auto"/>
        <w:tabs>
          <w:tab w:pos="833" w:val="left"/>
        </w:tabs>
        <w:bidi w:val="0"/>
        <w:spacing w:before="0" w:after="0" w:line="312" w:lineRule="exact"/>
        <w:ind w:left="0" w:right="0" w:firstLine="460"/>
        <w:jc w:val="both"/>
      </w:pPr>
      <w:bookmarkStart w:id="281" w:name="bookmark281"/>
      <w:bookmarkEnd w:id="281"/>
      <w:r>
        <w:rPr>
          <w:color w:val="000000"/>
          <w:spacing w:val="0"/>
          <w:w w:val="100"/>
          <w:position w:val="0"/>
        </w:rPr>
        <w:t>本年度公司无需要披露的重大关联交易情况。</w:t>
      </w:r>
    </w:p>
    <w:p>
      <w:pPr>
        <w:pStyle w:val="Style18"/>
        <w:keepNext w:val="0"/>
        <w:keepLines w:val="0"/>
        <w:widowControl w:val="0"/>
        <w:shd w:val="clear" w:color="auto" w:fill="auto"/>
        <w:tabs>
          <w:tab w:pos="820" w:val="left"/>
        </w:tabs>
        <w:bidi w:val="0"/>
        <w:spacing w:before="0" w:after="0" w:line="312" w:lineRule="exact"/>
        <w:ind w:left="0" w:right="0"/>
        <w:jc w:val="both"/>
      </w:pPr>
      <w:bookmarkStart w:id="282" w:name="bookmark282"/>
      <w:r>
        <w:rPr>
          <w:color w:val="000000"/>
          <w:spacing w:val="0"/>
          <w:w w:val="100"/>
          <w:position w:val="0"/>
        </w:rPr>
        <w:t>（</w:t>
      </w:r>
      <w:bookmarkEnd w:id="282"/>
      <w:r>
        <w:rPr>
          <w:color w:val="000000"/>
          <w:spacing w:val="0"/>
          <w:w w:val="100"/>
          <w:position w:val="0"/>
        </w:rPr>
        <w:t>6）</w:t>
        <w:tab/>
        <w:t>财务审计报告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中兴华会计师事务所对公司2021年度财务报告进行了审计，并出具了保留意见的审计报告。</w:t>
      </w:r>
    </w:p>
    <w:p>
      <w:pPr>
        <w:pStyle w:val="Style18"/>
        <w:keepNext w:val="0"/>
        <w:keepLines w:val="0"/>
        <w:widowControl w:val="0"/>
        <w:shd w:val="clear" w:color="auto" w:fill="auto"/>
        <w:tabs>
          <w:tab w:pos="820" w:val="left"/>
        </w:tabs>
        <w:bidi w:val="0"/>
        <w:spacing w:before="0" w:after="0" w:line="312" w:lineRule="exact"/>
        <w:ind w:left="0" w:right="0"/>
        <w:jc w:val="both"/>
      </w:pPr>
      <w:bookmarkStart w:id="283" w:name="bookmark283"/>
      <w:r>
        <w:rPr>
          <w:color w:val="000000"/>
          <w:spacing w:val="0"/>
          <w:w w:val="100"/>
          <w:position w:val="0"/>
        </w:rPr>
        <w:t>（</w:t>
      </w:r>
      <w:bookmarkEnd w:id="283"/>
      <w:r>
        <w:rPr>
          <w:color w:val="000000"/>
          <w:spacing w:val="0"/>
          <w:w w:val="100"/>
          <w:position w:val="0"/>
        </w:rPr>
        <w:t>7）</w:t>
        <w:tab/>
        <w:t>对内部控制自我评价报告的意见</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监事会对公司2021年度内部控制的自我评价报告发表如下审核意见：公司现已建立了较为完善的内部控制体系，符合国 家相关法律法规的要求以及公司生产经营管理实际需要，并能得到有效执行，该体系的建立对公司经营管理的各个环节起到 了较好的风险防范和控制作用，公司内部控制的自我评价报告真实、客观地反映了公司内部控制制度的建设及运行情况。</w:t>
      </w:r>
    </w:p>
    <w:p>
      <w:pPr>
        <w:pStyle w:val="Style18"/>
        <w:keepNext w:val="0"/>
        <w:keepLines w:val="0"/>
        <w:widowControl w:val="0"/>
        <w:shd w:val="clear" w:color="auto" w:fill="auto"/>
        <w:tabs>
          <w:tab w:pos="911" w:val="left"/>
        </w:tabs>
        <w:bidi w:val="0"/>
        <w:spacing w:before="0" w:after="0" w:line="314" w:lineRule="exact"/>
        <w:ind w:left="0" w:right="0"/>
        <w:jc w:val="left"/>
      </w:pPr>
      <w:bookmarkStart w:id="284" w:name="bookmark284"/>
      <w:r>
        <w:rPr>
          <w:color w:val="000000"/>
          <w:spacing w:val="0"/>
          <w:w w:val="100"/>
          <w:position w:val="0"/>
        </w:rPr>
        <w:t>（</w:t>
      </w:r>
      <w:bookmarkEnd w:id="284"/>
      <w:r>
        <w:rPr>
          <w:color w:val="000000"/>
          <w:spacing w:val="0"/>
          <w:w w:val="100"/>
          <w:position w:val="0"/>
        </w:rPr>
        <w:t>五）</w:t>
        <w:tab/>
        <w:t>关于绩效评价和激励约束机制</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公司逐步完善董事、监事和经理人员的绩效评价标准和激励约束机制，公司经理人员的聘任严格按照《公司法》和《公 司章程》的规定进行，公开、透明，符合法律法规的规定。</w:t>
      </w:r>
    </w:p>
    <w:p>
      <w:pPr>
        <w:pStyle w:val="Style18"/>
        <w:keepNext w:val="0"/>
        <w:keepLines w:val="0"/>
        <w:widowControl w:val="0"/>
        <w:shd w:val="clear" w:color="auto" w:fill="auto"/>
        <w:tabs>
          <w:tab w:pos="911" w:val="left"/>
        </w:tabs>
        <w:bidi w:val="0"/>
        <w:spacing w:before="0" w:after="0" w:line="314" w:lineRule="exact"/>
        <w:ind w:left="0" w:right="0"/>
        <w:jc w:val="left"/>
      </w:pPr>
      <w:bookmarkStart w:id="285" w:name="bookmark285"/>
      <w:r>
        <w:rPr>
          <w:color w:val="000000"/>
          <w:spacing w:val="0"/>
          <w:w w:val="100"/>
          <w:position w:val="0"/>
        </w:rPr>
        <w:t>（</w:t>
      </w:r>
      <w:bookmarkEnd w:id="285"/>
      <w:r>
        <w:rPr>
          <w:color w:val="000000"/>
          <w:spacing w:val="0"/>
          <w:w w:val="100"/>
          <w:position w:val="0"/>
        </w:rPr>
        <w:t>六）</w:t>
        <w:tab/>
        <w:t>关于相关利益者</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公司充分尊重和维护相关利益者的合法权益，实现社会、股东、公司、员工等各方利益的协调平衡，共同推动公司持续、 稳健发展。</w:t>
      </w:r>
    </w:p>
    <w:p>
      <w:pPr>
        <w:pStyle w:val="Style18"/>
        <w:keepNext w:val="0"/>
        <w:keepLines w:val="0"/>
        <w:widowControl w:val="0"/>
        <w:shd w:val="clear" w:color="auto" w:fill="auto"/>
        <w:tabs>
          <w:tab w:pos="911" w:val="left"/>
        </w:tabs>
        <w:bidi w:val="0"/>
        <w:spacing w:before="0" w:after="0" w:line="314" w:lineRule="exact"/>
        <w:ind w:left="0" w:right="0"/>
        <w:jc w:val="left"/>
      </w:pPr>
      <w:bookmarkStart w:id="286" w:name="bookmark286"/>
      <w:r>
        <w:rPr>
          <w:color w:val="000000"/>
          <w:spacing w:val="0"/>
          <w:w w:val="100"/>
          <w:position w:val="0"/>
        </w:rPr>
        <w:t>（</w:t>
      </w:r>
      <w:bookmarkEnd w:id="286"/>
      <w:r>
        <w:rPr>
          <w:color w:val="000000"/>
          <w:spacing w:val="0"/>
          <w:w w:val="100"/>
          <w:position w:val="0"/>
        </w:rPr>
        <w:t>七）</w:t>
        <w:tab/>
        <w:t>关于信息披露与透明度</w:t>
      </w:r>
    </w:p>
    <w:p>
      <w:pPr>
        <w:pStyle w:val="Style18"/>
        <w:keepNext w:val="0"/>
        <w:keepLines w:val="0"/>
        <w:widowControl w:val="0"/>
        <w:shd w:val="clear" w:color="auto" w:fill="auto"/>
        <w:bidi w:val="0"/>
        <w:spacing w:before="0" w:after="1000" w:line="312" w:lineRule="exact"/>
        <w:ind w:left="0" w:right="0"/>
        <w:jc w:val="left"/>
      </w:pPr>
      <w:r>
        <w:rPr>
          <w:color w:val="000000"/>
          <w:spacing w:val="0"/>
          <w:w w:val="100"/>
          <w:position w:val="0"/>
        </w:rPr>
        <w:t>公司已指定董事会秘书为公司的投资者关系管理负责人，负责公司信息披露和投资者关系管理，接待股东的来访和咨询。 公司指定《证券时报》、《中国证券报》、《上海证券报》和巨潮资讯网为公司信息披露的报纸和网站，严格按照有关法律法规 的规定和公司制定的《信息披露事务管理制度》真实、准确、完整、及时地披露信息，确保所有股东有公平的机会获得信息。</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口是"否</w:t>
      </w:r>
    </w:p>
    <w:p>
      <w:pPr>
        <w:pStyle w:val="Style18"/>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bidi w:val="0"/>
        <w:spacing w:before="0" w:after="240" w:line="331" w:lineRule="exact"/>
        <w:ind w:left="0" w:right="0" w:firstLine="0"/>
        <w:jc w:val="both"/>
      </w:pPr>
      <w:bookmarkStart w:id="287" w:name="bookmark287"/>
      <w:bookmarkStart w:id="288" w:name="bookmark288"/>
      <w:bookmarkStart w:id="289" w:name="bookmark289"/>
      <w:bookmarkStart w:id="290" w:name="bookmark290"/>
      <w:r>
        <w:rPr>
          <w:color w:val="000000"/>
          <w:spacing w:val="0"/>
          <w:w w:val="100"/>
          <w:position w:val="0"/>
          <w:sz w:val="24"/>
          <w:szCs w:val="24"/>
        </w:rPr>
        <w:t>二</w:t>
      </w:r>
      <w:bookmarkEnd w:id="289"/>
      <w:r>
        <w:rPr>
          <w:color w:val="000000"/>
          <w:spacing w:val="0"/>
          <w:w w:val="100"/>
          <w:position w:val="0"/>
          <w:sz w:val="24"/>
          <w:szCs w:val="24"/>
        </w:rPr>
        <w:t>、公司相对于控股股东、实际控制人在保证公司资产、人员、财务、机构、业务等方面的 独立情况</w:t>
      </w:r>
      <w:bookmarkEnd w:id="287"/>
      <w:bookmarkEnd w:id="288"/>
      <w:bookmarkEnd w:id="290"/>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公司在业务、人员、资产、机构、财务等方面与控股股东相互独立，公司具有独立完整的业务及自主经营能力。</w:t>
      </w:r>
    </w:p>
    <w:p>
      <w:pPr>
        <w:pStyle w:val="Style18"/>
        <w:keepNext w:val="0"/>
        <w:keepLines w:val="0"/>
        <w:widowControl w:val="0"/>
        <w:shd w:val="clear" w:color="auto" w:fill="auto"/>
        <w:tabs>
          <w:tab w:pos="531" w:val="left"/>
        </w:tabs>
        <w:bidi w:val="0"/>
        <w:spacing w:before="0" w:after="0" w:line="310" w:lineRule="exact"/>
        <w:ind w:left="0" w:right="0" w:firstLine="0"/>
        <w:jc w:val="both"/>
      </w:pPr>
      <w:bookmarkStart w:id="291" w:name="bookmark291"/>
      <w:r>
        <w:rPr>
          <w:color w:val="000000"/>
          <w:spacing w:val="0"/>
          <w:w w:val="100"/>
          <w:position w:val="0"/>
        </w:rPr>
        <w:t>（</w:t>
      </w:r>
      <w:bookmarkEnd w:id="291"/>
      <w:r>
        <w:rPr>
          <w:color w:val="000000"/>
          <w:spacing w:val="0"/>
          <w:w w:val="100"/>
          <w:position w:val="0"/>
        </w:rPr>
        <w:t>一）</w:t>
        <w:tab/>
        <w:t>业务</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公司拥有独立完整的供应、生产和销售系统，独立开展业务，不依赖于股东或其它任何关联方。公司控股股东为自然人，在 业务上与公司之间不存在竞争关系。</w:t>
      </w:r>
    </w:p>
    <w:p>
      <w:pPr>
        <w:pStyle w:val="Style18"/>
        <w:keepNext w:val="0"/>
        <w:keepLines w:val="0"/>
        <w:widowControl w:val="0"/>
        <w:shd w:val="clear" w:color="auto" w:fill="auto"/>
        <w:tabs>
          <w:tab w:pos="531" w:val="left"/>
        </w:tabs>
        <w:bidi w:val="0"/>
        <w:spacing w:before="0" w:after="0" w:line="310" w:lineRule="exact"/>
        <w:ind w:left="0" w:right="0" w:firstLine="0"/>
        <w:jc w:val="both"/>
      </w:pPr>
      <w:bookmarkStart w:id="292" w:name="bookmark292"/>
      <w:r>
        <w:rPr>
          <w:color w:val="000000"/>
          <w:spacing w:val="0"/>
          <w:w w:val="100"/>
          <w:position w:val="0"/>
        </w:rPr>
        <w:t>（</w:t>
      </w:r>
      <w:bookmarkEnd w:id="292"/>
      <w:r>
        <w:rPr>
          <w:color w:val="000000"/>
          <w:spacing w:val="0"/>
          <w:w w:val="100"/>
          <w:position w:val="0"/>
        </w:rPr>
        <w:t>二）</w:t>
        <w:tab/>
        <w:t>人员</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公司劳动、人事及工资管理完全独立。公司总裁、副总裁、董事会秘书、财务负责人等高级管理人员均在公司工作并领取薪 酬。</w:t>
      </w:r>
    </w:p>
    <w:p>
      <w:pPr>
        <w:pStyle w:val="Style18"/>
        <w:keepNext w:val="0"/>
        <w:keepLines w:val="0"/>
        <w:widowControl w:val="0"/>
        <w:shd w:val="clear" w:color="auto" w:fill="auto"/>
        <w:tabs>
          <w:tab w:pos="531" w:val="left"/>
        </w:tabs>
        <w:bidi w:val="0"/>
        <w:spacing w:before="0" w:after="0" w:line="310" w:lineRule="exact"/>
        <w:ind w:left="0" w:right="0" w:firstLine="0"/>
        <w:jc w:val="both"/>
      </w:pPr>
      <w:bookmarkStart w:id="293" w:name="bookmark293"/>
      <w:r>
        <w:rPr>
          <w:color w:val="000000"/>
          <w:spacing w:val="0"/>
          <w:w w:val="100"/>
          <w:position w:val="0"/>
        </w:rPr>
        <w:t>（</w:t>
      </w:r>
      <w:bookmarkEnd w:id="293"/>
      <w:r>
        <w:rPr>
          <w:color w:val="000000"/>
          <w:spacing w:val="0"/>
          <w:w w:val="100"/>
          <w:position w:val="0"/>
        </w:rPr>
        <w:t>三）</w:t>
        <w:tab/>
        <w:t xml:space="preserve">资产 </w:t>
      </w:r>
      <w:r>
        <w:rPr>
          <w:color w:val="000000"/>
          <w:spacing w:val="0"/>
          <w:w w:val="100"/>
          <w:position w:val="0"/>
        </w:rPr>
        <w:t>公司拥有独立于控股股东的生产经营场所，拥有独立完整的资产结构，拥有独立的生产系统、辅助生产系统和配套设施，拥 有独立的土地使用权、房屋产权，拥有独立的采购和销售系统。公司没有以资产、权益或信誉为控股股东的债务提供过担保， 不存在资产、资金被控股股东占用而损害公司其他股东利益的情况。</w:t>
      </w:r>
    </w:p>
    <w:p>
      <w:pPr>
        <w:pStyle w:val="Style18"/>
        <w:keepNext w:val="0"/>
        <w:keepLines w:val="0"/>
        <w:widowControl w:val="0"/>
        <w:shd w:val="clear" w:color="auto" w:fill="auto"/>
        <w:tabs>
          <w:tab w:pos="531" w:val="left"/>
        </w:tabs>
        <w:bidi w:val="0"/>
        <w:spacing w:before="0" w:after="0" w:line="314" w:lineRule="exact"/>
        <w:ind w:left="0" w:right="0" w:firstLine="0"/>
        <w:jc w:val="left"/>
      </w:pPr>
      <w:bookmarkStart w:id="294" w:name="bookmark294"/>
      <w:r>
        <w:rPr>
          <w:color w:val="000000"/>
          <w:spacing w:val="0"/>
          <w:w w:val="100"/>
          <w:position w:val="0"/>
        </w:rPr>
        <w:t>（</w:t>
      </w:r>
      <w:bookmarkEnd w:id="294"/>
      <w:r>
        <w:rPr>
          <w:color w:val="000000"/>
          <w:spacing w:val="0"/>
          <w:w w:val="100"/>
          <w:position w:val="0"/>
        </w:rPr>
        <w:t>四）</w:t>
        <w:tab/>
        <w:t>机构</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公司设立了健全的组织机构体系，股东大会、董事会、监事会及生产经营管理部门独立运作，并制定了相应的内部管理和控 制制度，与控股股东或其职能部门之间不存在从属关系。</w:t>
      </w:r>
    </w:p>
    <w:p>
      <w:pPr>
        <w:pStyle w:val="Style18"/>
        <w:keepNext w:val="0"/>
        <w:keepLines w:val="0"/>
        <w:widowControl w:val="0"/>
        <w:shd w:val="clear" w:color="auto" w:fill="auto"/>
        <w:tabs>
          <w:tab w:pos="531" w:val="left"/>
        </w:tabs>
        <w:bidi w:val="0"/>
        <w:spacing w:before="0" w:after="0" w:line="314" w:lineRule="exact"/>
        <w:ind w:left="0" w:right="0" w:firstLine="0"/>
        <w:jc w:val="left"/>
      </w:pPr>
      <w:bookmarkStart w:id="295" w:name="bookmark295"/>
      <w:r>
        <w:rPr>
          <w:color w:val="000000"/>
          <w:spacing w:val="0"/>
          <w:w w:val="100"/>
          <w:position w:val="0"/>
        </w:rPr>
        <w:t>（</w:t>
      </w:r>
      <w:bookmarkEnd w:id="295"/>
      <w:r>
        <w:rPr>
          <w:color w:val="000000"/>
          <w:spacing w:val="0"/>
          <w:w w:val="100"/>
          <w:position w:val="0"/>
        </w:rPr>
        <w:t>五）</w:t>
        <w:tab/>
        <w:t>财务</w:t>
      </w:r>
    </w:p>
    <w:p>
      <w:pPr>
        <w:pStyle w:val="Style1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公司设立有独立的财务部门，配备了充足的专职财务会计人员，建立了独立的会计核算体系和财务管理制度，开设了独立的 银行账户，独立纳税，独立进行财务决策，不存在控股股东干预本公司资金使用的情况。</w:t>
      </w:r>
    </w:p>
    <w:p>
      <w:pPr>
        <w:pStyle w:val="Style23"/>
        <w:keepNext/>
        <w:keepLines/>
        <w:widowControl w:val="0"/>
        <w:shd w:val="clear" w:color="auto" w:fill="auto"/>
        <w:tabs>
          <w:tab w:pos="526" w:val="left"/>
        </w:tabs>
        <w:bidi w:val="0"/>
        <w:spacing w:before="0" w:after="2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三</w:t>
      </w:r>
      <w:bookmarkEnd w:id="298"/>
      <w:r>
        <w:rPr>
          <w:color w:val="000000"/>
          <w:spacing w:val="0"/>
          <w:w w:val="100"/>
          <w:position w:val="0"/>
          <w:sz w:val="24"/>
          <w:szCs w:val="24"/>
        </w:rPr>
        <w:t>、</w:t>
        <w:tab/>
        <w:t>同业竞争情况</w:t>
      </w:r>
      <w:bookmarkEnd w:id="296"/>
      <w:bookmarkEnd w:id="297"/>
      <w:bookmarkEnd w:id="299"/>
    </w:p>
    <w:p>
      <w:pPr>
        <w:pStyle w:val="Style1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口适用”不适用</w:t>
      </w:r>
    </w:p>
    <w:p>
      <w:pPr>
        <w:pStyle w:val="Style23"/>
        <w:keepNext/>
        <w:keepLines/>
        <w:widowControl w:val="0"/>
        <w:shd w:val="clear" w:color="auto" w:fill="auto"/>
        <w:tabs>
          <w:tab w:pos="526" w:val="left"/>
        </w:tabs>
        <w:bidi w:val="0"/>
        <w:spacing w:before="0" w:after="34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四</w:t>
      </w:r>
      <w:bookmarkEnd w:id="302"/>
      <w:r>
        <w:rPr>
          <w:color w:val="000000"/>
          <w:spacing w:val="0"/>
          <w:w w:val="100"/>
          <w:position w:val="0"/>
          <w:sz w:val="24"/>
          <w:szCs w:val="24"/>
        </w:rPr>
        <w:t>、</w:t>
        <w:tab/>
        <w:t>报告期内召开的年度股东大会和临时股东大会的有关情况</w:t>
      </w:r>
      <w:bookmarkEnd w:id="300"/>
      <w:bookmarkEnd w:id="301"/>
      <w:bookmarkEnd w:id="303"/>
    </w:p>
    <w:p>
      <w:pPr>
        <w:pStyle w:val="Style27"/>
        <w:keepNext/>
        <w:keepLines/>
        <w:widowControl w:val="0"/>
        <w:shd w:val="clear" w:color="auto" w:fill="auto"/>
        <w:bidi w:val="0"/>
        <w:spacing w:before="0" w:after="340" w:line="240" w:lineRule="auto"/>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1</w:t>
      </w:r>
      <w:bookmarkEnd w:id="306"/>
      <w:r>
        <w:rPr>
          <w:color w:val="000000"/>
          <w:spacing w:val="0"/>
          <w:w w:val="100"/>
          <w:position w:val="0"/>
        </w:rPr>
        <w:t>、本报告期股东大会情况</w:t>
      </w:r>
      <w:bookmarkEnd w:id="304"/>
      <w:bookmarkEnd w:id="305"/>
      <w:bookmarkEnd w:id="307"/>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会议决议</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年第一次临 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20.85%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24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24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年第一次临 时股东大会决议</w:t>
            </w:r>
          </w:p>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公告（</w:t>
            </w:r>
            <w:r>
              <w:rPr>
                <w:color w:val="000000"/>
                <w:spacing w:val="0"/>
                <w:w w:val="100"/>
                <w:position w:val="0"/>
              </w:rPr>
              <w:t>2021-012</w:t>
            </w:r>
            <w:r>
              <w:rPr>
                <w:rFonts w:ascii="SimSun" w:eastAsia="SimSun" w:hAnsi="SimSun" w:cs="SimSu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年年度股东 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20.80%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年年度股东 大会决议公告</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2021-044</w:t>
            </w:r>
            <w:r>
              <w:rPr>
                <w:rFonts w:ascii="SimSun" w:eastAsia="SimSun" w:hAnsi="SimSun" w:cs="SimSun"/>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年第二次临 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20.82%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年第二次临 时股东大会决议 公告（</w:t>
            </w:r>
            <w:r>
              <w:rPr>
                <w:color w:val="000000"/>
                <w:spacing w:val="0"/>
                <w:w w:val="100"/>
                <w:position w:val="0"/>
              </w:rPr>
              <w:t>2021-060</w:t>
            </w:r>
            <w:r>
              <w:rPr>
                <w:rFonts w:ascii="SimSun" w:eastAsia="SimSun" w:hAnsi="SimSun" w:cs="SimSun"/>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2</w:t>
      </w:r>
      <w:bookmarkEnd w:id="310"/>
      <w:r>
        <w:rPr>
          <w:color w:val="000000"/>
          <w:spacing w:val="0"/>
          <w:w w:val="100"/>
          <w:position w:val="0"/>
        </w:rPr>
        <w:t>、表决权恢复的优先股股东请求召开临时股东大会</w:t>
      </w:r>
      <w:bookmarkEnd w:id="308"/>
      <w:bookmarkEnd w:id="309"/>
      <w:bookmarkEnd w:id="311"/>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4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五</w:t>
      </w:r>
      <w:bookmarkEnd w:id="314"/>
      <w:r>
        <w:rPr>
          <w:color w:val="000000"/>
          <w:spacing w:val="0"/>
          <w:w w:val="100"/>
          <w:position w:val="0"/>
          <w:sz w:val="24"/>
          <w:szCs w:val="24"/>
        </w:rPr>
        <w:t>、董事、监事和高级管理人员情况</w:t>
      </w:r>
      <w:bookmarkEnd w:id="312"/>
      <w:bookmarkEnd w:id="313"/>
      <w:bookmarkEnd w:id="315"/>
    </w:p>
    <w:p>
      <w:pPr>
        <w:pStyle w:val="Style27"/>
        <w:keepNext/>
        <w:keepLines/>
        <w:widowControl w:val="0"/>
        <w:shd w:val="clear" w:color="auto" w:fill="auto"/>
        <w:bidi w:val="0"/>
        <w:spacing w:before="0" w:after="34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1</w:t>
      </w:r>
      <w:bookmarkEnd w:id="318"/>
      <w:r>
        <w:rPr>
          <w:color w:val="000000"/>
          <w:spacing w:val="0"/>
          <w:w w:val="100"/>
          <w:position w:val="0"/>
        </w:rPr>
        <w:t>、基本情况</w:t>
      </w:r>
      <w:bookmarkEnd w:id="316"/>
      <w:bookmarkEnd w:id="317"/>
      <w:bookmarkEnd w:id="319"/>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44"/>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任职</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任期 起始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任期 终止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期初</w:t>
            </w:r>
          </w:p>
          <w:p>
            <w:pPr>
              <w:pStyle w:val="Style20"/>
              <w:keepNext w:val="0"/>
              <w:keepLines w:val="0"/>
              <w:widowControl w:val="0"/>
              <w:shd w:val="clear" w:color="auto" w:fill="auto"/>
              <w:bidi w:val="0"/>
              <w:spacing w:before="0" w:after="120" w:line="307" w:lineRule="exact"/>
              <w:ind w:left="0" w:right="0" w:firstLine="0"/>
              <w:jc w:val="center"/>
            </w:pPr>
            <w:r>
              <w:rPr>
                <w:rFonts w:ascii="SimSun" w:eastAsia="SimSun" w:hAnsi="SimSun" w:cs="SimSun"/>
                <w:color w:val="000000"/>
                <w:spacing w:val="0"/>
                <w:w w:val="100"/>
                <w:position w:val="0"/>
              </w:rPr>
              <w:t>持股 数</w:t>
            </w:r>
          </w:p>
          <w:p>
            <w:pPr>
              <w:pStyle w:val="Style20"/>
              <w:keepNext w:val="0"/>
              <w:keepLines w:val="0"/>
              <w:widowControl w:val="0"/>
              <w:shd w:val="clear" w:color="auto" w:fill="auto"/>
              <w:bidi w:val="0"/>
              <w:spacing w:before="0" w:after="60" w:line="307" w:lineRule="exact"/>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 增持 股份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 减持 股份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 增减 变动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12" w:lineRule="exact"/>
              <w:ind w:left="0" w:right="0" w:firstLine="0"/>
              <w:jc w:val="center"/>
            </w:pPr>
            <w:r>
              <w:rPr>
                <w:rFonts w:ascii="SimSun" w:eastAsia="SimSun" w:hAnsi="SimSun" w:cs="SimSun"/>
                <w:color w:val="000000"/>
                <w:spacing w:val="0"/>
                <w:w w:val="100"/>
                <w:position w:val="0"/>
              </w:rPr>
              <w:t>期末 持股 数</w:t>
            </w:r>
          </w:p>
          <w:p>
            <w:pPr>
              <w:pStyle w:val="Style20"/>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180"/>
              <w:jc w:val="left"/>
            </w:pPr>
            <w:r>
              <w:rPr>
                <w:rFonts w:ascii="SimSun" w:eastAsia="SimSun" w:hAnsi="SimSun" w:cs="SimSun"/>
                <w:color w:val="000000"/>
                <w:spacing w:val="0"/>
                <w:w w:val="100"/>
                <w:position w:val="0"/>
              </w:rPr>
              <w:t>股份</w:t>
            </w:r>
          </w:p>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增减 变动 的原 因</w:t>
            </w:r>
          </w:p>
        </w:tc>
      </w:tr>
      <w:tr>
        <w:trPr>
          <w:trHeight w:val="41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4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06</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胡兆</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董事， 副总 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徐霄</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董事，</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裁，财</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务总</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陈妹</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裁，董</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事会</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蔡正 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独立</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陈雪 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丁虹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蒋小</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监事</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会主</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朱锦</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44"/>
      </w:tblGrid>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干玲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60" w:lineRule="auto"/>
              <w:ind w:left="0" w:right="0" w:firstLine="0"/>
              <w:jc w:val="left"/>
            </w:pPr>
            <w:r>
              <w:rPr>
                <w:color w:val="000000"/>
                <w:spacing w:val="0"/>
                <w:w w:val="100"/>
                <w:position w:val="0"/>
              </w:rPr>
              <w:t>2022</w:t>
            </w:r>
          </w:p>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1,687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陆道 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60" w:lineRule="auto"/>
              <w:ind w:left="0" w:right="0" w:firstLine="0"/>
              <w:jc w:val="left"/>
            </w:pPr>
            <w:r>
              <w:rPr>
                <w:color w:val="000000"/>
                <w:spacing w:val="0"/>
                <w:w w:val="100"/>
                <w:position w:val="0"/>
              </w:rPr>
              <w:t>2022</w:t>
            </w:r>
          </w:p>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144,56</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144,56</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6,834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w:t>
      </w:r>
    </w:p>
    <w:p>
      <w:pPr>
        <w:pStyle w:val="Style18"/>
        <w:keepNext w:val="0"/>
        <w:keepLines w:val="0"/>
        <w:widowControl w:val="0"/>
        <w:shd w:val="clear" w:color="auto" w:fill="auto"/>
        <w:bidi w:val="0"/>
        <w:spacing w:before="0" w:after="440" w:line="322" w:lineRule="exact"/>
        <w:ind w:left="0" w:right="0" w:firstLine="0"/>
        <w:jc w:val="left"/>
      </w:pPr>
      <w:r>
        <w:rPr>
          <w:color w:val="000000"/>
          <w:spacing w:val="0"/>
          <w:w w:val="100"/>
          <w:position w:val="0"/>
        </w:rPr>
        <w:t>公司已于2022年3月22日披露了《关于董事辞职的公告》（公告编号：2021-018），公司董事会于2021年3月19日收到公司董事 陆道如先生递交的书面辞职报告。陆道如先生因个人原因，申请辞去公司第七届董事会董事职务。辞职后，陆道如先生将不 再担任公司任何职务。</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陆道如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 xml:space="preserve">月 </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陆道如先生因个人原因，申请辞去公司第七届董事 会董事职务。辞职后，不再担任公司任何职务。</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2</w:t>
      </w:r>
      <w:bookmarkEnd w:id="322"/>
      <w:r>
        <w:rPr>
          <w:color w:val="000000"/>
          <w:spacing w:val="0"/>
          <w:w w:val="100"/>
          <w:position w:val="0"/>
        </w:rPr>
        <w:t>、任职情况</w:t>
      </w:r>
      <w:bookmarkEnd w:id="320"/>
      <w:bookmarkEnd w:id="321"/>
      <w:bookmarkEnd w:id="323"/>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钱京先生：</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月出生，拥有英国利物浦大学（</w:t>
      </w:r>
      <w:r>
        <w:rPr>
          <w:rFonts w:ascii="Times New Roman" w:eastAsia="Times New Roman" w:hAnsi="Times New Roman" w:cs="Times New Roman"/>
          <w:color w:val="000000"/>
          <w:spacing w:val="0"/>
          <w:w w:val="100"/>
          <w:position w:val="0"/>
        </w:rPr>
        <w:t>University of Liverpool</w:t>
      </w:r>
      <w:r>
        <w:rPr>
          <w:color w:val="000000"/>
          <w:spacing w:val="0"/>
          <w:w w:val="100"/>
          <w:position w:val="0"/>
        </w:rPr>
        <w:t>）</w:t>
      </w:r>
      <w:r>
        <w:rPr>
          <w:color w:val="000000"/>
          <w:spacing w:val="0"/>
          <w:w w:val="100"/>
          <w:position w:val="0"/>
        </w:rPr>
        <w:t>法律硕士学位和英国华威大学（</w:t>
      </w:r>
      <w:r>
        <w:rPr>
          <w:rFonts w:ascii="Times New Roman" w:eastAsia="Times New Roman" w:hAnsi="Times New Roman" w:cs="Times New Roman"/>
          <w:color w:val="000000"/>
          <w:spacing w:val="0"/>
          <w:w w:val="100"/>
          <w:position w:val="0"/>
        </w:rPr>
        <w:t>University of Warwick</w:t>
      </w:r>
      <w:r>
        <w:rPr>
          <w:color w:val="000000"/>
          <w:spacing w:val="0"/>
          <w:w w:val="100"/>
          <w:position w:val="0"/>
        </w:rPr>
        <w:t>）</w:t>
      </w:r>
      <w:r>
        <w:rPr>
          <w:color w:val="000000"/>
          <w:spacing w:val="0"/>
          <w:w w:val="100"/>
          <w:position w:val="0"/>
        </w:rPr>
        <w:t>会计与金融荣誉学士学位。</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月在普华永道会计师事务所任税务顾问；</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月在上海亚洲商务咨询有限公司任高级经理；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月在江苏恒神股份有限公司任董事长；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月起进入 公司，先后担任公司企业管理部总经理、副总裁、总裁、董事会秘书。现任公司董事长。</w:t>
      </w:r>
    </w:p>
    <w:p>
      <w:pPr>
        <w:pStyle w:val="Style18"/>
        <w:keepNext w:val="0"/>
        <w:keepLines w:val="0"/>
        <w:widowControl w:val="0"/>
        <w:shd w:val="clear" w:color="auto" w:fill="auto"/>
        <w:bidi w:val="0"/>
        <w:spacing w:before="0" w:after="360" w:line="319" w:lineRule="exact"/>
        <w:ind w:left="0" w:right="0" w:firstLine="0"/>
        <w:jc w:val="left"/>
      </w:pPr>
      <w:r>
        <w:rPr>
          <w:color w:val="000000"/>
          <w:spacing w:val="0"/>
          <w:w w:val="100"/>
          <w:position w:val="0"/>
        </w:rPr>
        <w:t xml:space="preserve">胡兆凤女士： </w:t>
      </w:r>
      <w:r>
        <w:rPr>
          <w:rFonts w:ascii="Times New Roman" w:eastAsia="Times New Roman" w:hAnsi="Times New Roman" w:cs="Times New Roman"/>
          <w:color w:val="000000"/>
          <w:spacing w:val="0"/>
          <w:w w:val="100"/>
          <w:position w:val="0"/>
        </w:rPr>
        <w:t>1959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月出生，毕业于江苏省镇江市第一中学，</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月为镇江汝山长江大队第四生产队下放 知识青年；</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月为镇江前进印刷厂员工；</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月为镇江新世纪商场员工；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月退休。 现任公司董事、总裁。</w:t>
      </w:r>
    </w:p>
    <w:p>
      <w:pPr>
        <w:pStyle w:val="Style18"/>
        <w:keepNext w:val="0"/>
        <w:keepLines w:val="0"/>
        <w:widowControl w:val="0"/>
        <w:shd w:val="clear" w:color="auto" w:fill="auto"/>
        <w:bidi w:val="0"/>
        <w:spacing w:before="0" w:after="360" w:line="326" w:lineRule="exact"/>
        <w:ind w:left="0" w:right="0" w:firstLine="0"/>
        <w:jc w:val="left"/>
      </w:pPr>
      <w:r>
        <w:rPr>
          <w:color w:val="000000"/>
          <w:spacing w:val="0"/>
          <w:w w:val="100"/>
          <w:position w:val="0"/>
        </w:rPr>
        <w:t>高强先生：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月出生，大专学历，历任江苏赛博电子有限公司营销公司副总经理、市场部副部长；</w:t>
      </w:r>
      <w:r>
        <w:rPr>
          <w:rFonts w:ascii="Times New Roman" w:eastAsia="Times New Roman" w:hAnsi="Times New Roman" w:cs="Times New Roman"/>
          <w:color w:val="000000"/>
          <w:spacing w:val="0"/>
          <w:w w:val="100"/>
          <w:position w:val="0"/>
        </w:rPr>
        <w:t>2003</w:t>
      </w:r>
      <w:r>
        <w:rPr>
          <w:color w:val="000000"/>
          <w:spacing w:val="0"/>
          <w:w w:val="100"/>
          <w:position w:val="0"/>
        </w:rPr>
        <w:t>年进入恒宝股 份，先后担任公司营销中心总经理、通信事业部总经理、金融事业部总经理、销售总监。现任公司董事、副总裁。</w:t>
      </w:r>
    </w:p>
    <w:p>
      <w:pPr>
        <w:pStyle w:val="Style18"/>
        <w:keepNext w:val="0"/>
        <w:keepLines w:val="0"/>
        <w:widowControl w:val="0"/>
        <w:shd w:val="clear" w:color="auto" w:fill="auto"/>
        <w:bidi w:val="0"/>
        <w:spacing w:before="0" w:after="280" w:line="314" w:lineRule="exact"/>
        <w:ind w:left="0" w:right="0" w:firstLine="0"/>
        <w:jc w:val="left"/>
      </w:pPr>
      <w:r>
        <w:rPr>
          <w:color w:val="000000"/>
          <w:spacing w:val="0"/>
          <w:w w:val="100"/>
          <w:position w:val="0"/>
        </w:rPr>
        <w:t>徐霄凌女士： 1978年6月出生，无境外永久居留权，毕业于英国南安普顿大学，硕士学历。2004年10月至2007年1月在普华永 道会计师事务所担任高级审计师；2007年1月至2012年9月，在英格索兰（中国）投资有限公司先后担任亚太区合规经理和亚 太区财务经理；2012年10月至2019年8月，在安朗杰安防技术（中国）有限公司先后担任亚太区合规经理、中国区财务总监 和监事会监事。现任公司董事、副总裁兼财务总监。</w:t>
      </w:r>
    </w:p>
    <w:p>
      <w:pPr>
        <w:pStyle w:val="Style18"/>
        <w:keepNext w:val="0"/>
        <w:keepLines w:val="0"/>
        <w:widowControl w:val="0"/>
        <w:shd w:val="clear" w:color="auto" w:fill="auto"/>
        <w:bidi w:val="0"/>
        <w:spacing w:before="0" w:after="280" w:line="326" w:lineRule="exact"/>
        <w:ind w:left="0" w:right="0" w:firstLine="0"/>
        <w:jc w:val="both"/>
      </w:pPr>
      <w:r>
        <w:rPr>
          <w:color w:val="000000"/>
          <w:spacing w:val="0"/>
          <w:w w:val="100"/>
          <w:position w:val="0"/>
        </w:rPr>
        <w:t>陈妹妹女士： 1986年2月出生，硕士研究生。2014年4月起就职本公司，先后担任公司证券事务并购部证券事务代表、流程和 持续改进部高级经理。现任公司董事、董事会秘书、副总裁。</w:t>
      </w:r>
    </w:p>
    <w:p>
      <w:pPr>
        <w:pStyle w:val="Style18"/>
        <w:keepNext w:val="0"/>
        <w:keepLines w:val="0"/>
        <w:widowControl w:val="0"/>
        <w:shd w:val="clear" w:color="auto" w:fill="auto"/>
        <w:bidi w:val="0"/>
        <w:spacing w:before="0" w:after="280" w:line="324" w:lineRule="exact"/>
        <w:ind w:left="0" w:right="0" w:firstLine="0"/>
        <w:jc w:val="both"/>
      </w:pPr>
      <w:r>
        <w:rPr>
          <w:color w:val="000000"/>
          <w:spacing w:val="0"/>
          <w:w w:val="100"/>
          <w:position w:val="0"/>
        </w:rPr>
        <w:t>蔡正华先生：</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月出生，华东政法大学法学学士和硕士学位，律师。历任上海博和律师事务所、北京大成（上海）律 师事务所、上海市太平洋律师事务所等上海知名律师事务所，</w:t>
      </w:r>
      <w:r>
        <w:rPr>
          <w:rFonts w:ascii="Times New Roman" w:eastAsia="Times New Roman" w:hAnsi="Times New Roman" w:cs="Times New Roman"/>
          <w:color w:val="000000"/>
          <w:spacing w:val="0"/>
          <w:w w:val="100"/>
          <w:position w:val="0"/>
        </w:rPr>
        <w:t>2017</w:t>
      </w:r>
      <w:r>
        <w:rPr>
          <w:color w:val="000000"/>
          <w:spacing w:val="0"/>
          <w:w w:val="100"/>
          <w:position w:val="0"/>
        </w:rPr>
        <w:t>年加盟北京盈科（上海）律师事务所，现为北京盈科（上 海）律师事务所高级合伙人，刑民交叉部主任。现任公司独立董事。</w:t>
      </w:r>
    </w:p>
    <w:p>
      <w:pPr>
        <w:pStyle w:val="Style18"/>
        <w:keepNext w:val="0"/>
        <w:keepLines w:val="0"/>
        <w:widowControl w:val="0"/>
        <w:shd w:val="clear" w:color="auto" w:fill="auto"/>
        <w:bidi w:val="0"/>
        <w:spacing w:before="0" w:after="340" w:line="322" w:lineRule="exact"/>
        <w:ind w:left="0" w:right="0" w:firstLine="0"/>
        <w:jc w:val="both"/>
      </w:pPr>
      <w:r>
        <w:rPr>
          <w:color w:val="000000"/>
          <w:spacing w:val="0"/>
          <w:w w:val="100"/>
          <w:position w:val="0"/>
        </w:rPr>
        <w:t xml:space="preserve">陈雪娇女士： </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月出生，本科学历，律师。历任江苏石塔律师事务所律师助理、江苏王江南律师事务所律师。现任公 司独立董事。</w:t>
      </w:r>
    </w:p>
    <w:p>
      <w:pPr>
        <w:pStyle w:val="Style18"/>
        <w:keepNext w:val="0"/>
        <w:keepLines w:val="0"/>
        <w:widowControl w:val="0"/>
        <w:shd w:val="clear" w:color="auto" w:fill="auto"/>
        <w:bidi w:val="0"/>
        <w:spacing w:before="0" w:after="340" w:line="317" w:lineRule="exact"/>
        <w:ind w:left="0" w:right="0" w:firstLine="0"/>
        <w:jc w:val="both"/>
      </w:pPr>
      <w:r>
        <w:rPr>
          <w:color w:val="000000"/>
          <w:spacing w:val="0"/>
          <w:w w:val="100"/>
          <w:position w:val="0"/>
        </w:rPr>
        <w:t xml:space="preserve">丁虹女士： </w:t>
      </w:r>
      <w:r>
        <w:rPr>
          <w:rFonts w:ascii="Times New Roman" w:eastAsia="Times New Roman" w:hAnsi="Times New Roman" w:cs="Times New Roman"/>
          <w:color w:val="000000"/>
          <w:spacing w:val="0"/>
          <w:w w:val="100"/>
          <w:position w:val="0"/>
        </w:rPr>
        <w:t>1976</w:t>
      </w:r>
      <w:r>
        <w:rPr>
          <w:color w:val="000000"/>
          <w:spacing w:val="0"/>
          <w:w w:val="100"/>
          <w:position w:val="0"/>
        </w:rPr>
        <w:t>年2月出生，无境外永久居留权，拥有复旦大学世界经济学学士学位和上海交通大学-法国马赛商学院工商管 理硕士学位，注册会计师。历任德勤会计师事务所高级审计师、上海新康电子有限公司高级财务分析与成本经理、英格索兰 工业技术有限公司财务与业务流程经理、上海新康电子有限公司财务经理。现任威世电子上海区财务总监。现任公司独立董 事。</w:t>
      </w:r>
    </w:p>
    <w:p>
      <w:pPr>
        <w:pStyle w:val="Style18"/>
        <w:keepNext w:val="0"/>
        <w:keepLines w:val="0"/>
        <w:widowControl w:val="0"/>
        <w:shd w:val="clear" w:color="auto" w:fill="auto"/>
        <w:bidi w:val="0"/>
        <w:spacing w:before="0" w:after="280" w:line="326" w:lineRule="exact"/>
        <w:ind w:left="0" w:right="0" w:firstLine="0"/>
        <w:jc w:val="both"/>
      </w:pPr>
      <w:r>
        <w:rPr>
          <w:color w:val="000000"/>
          <w:spacing w:val="0"/>
          <w:w w:val="100"/>
          <w:position w:val="0"/>
        </w:rPr>
        <w:t>蒋小平先生：</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日出生，大专学历，助理工程师职称。曾任江苏丹棉集团有限公司党政办副主任兼纪委干事。历 任公司综合事务部经理兼人力资源丹阳分部经理，现任监事会主席。</w:t>
      </w:r>
    </w:p>
    <w:p>
      <w:pPr>
        <w:pStyle w:val="Style18"/>
        <w:keepNext w:val="0"/>
        <w:keepLines w:val="0"/>
        <w:widowControl w:val="0"/>
        <w:shd w:val="clear" w:color="auto" w:fill="auto"/>
        <w:bidi w:val="0"/>
        <w:spacing w:before="0" w:after="280" w:line="322" w:lineRule="exact"/>
        <w:ind w:left="0" w:right="0" w:firstLine="0"/>
        <w:jc w:val="both"/>
      </w:pPr>
      <w:r>
        <w:rPr>
          <w:color w:val="000000"/>
          <w:spacing w:val="0"/>
          <w:w w:val="100"/>
          <w:position w:val="0"/>
        </w:rPr>
        <w:t>朱锦善先生：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日出生，大专学历，中共党员，助理政工师职称。</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月就职于镇江金河纸业有 限公司，曾任党委办公室副主任。现任公司监事。</w:t>
      </w:r>
    </w:p>
    <w:p>
      <w:pPr>
        <w:pStyle w:val="Style18"/>
        <w:keepNext w:val="0"/>
        <w:keepLines w:val="0"/>
        <w:widowControl w:val="0"/>
        <w:shd w:val="clear" w:color="auto" w:fill="auto"/>
        <w:bidi w:val="0"/>
        <w:spacing w:before="0" w:after="340" w:line="323" w:lineRule="exact"/>
        <w:ind w:left="0" w:right="0" w:firstLine="0"/>
        <w:jc w:val="both"/>
      </w:pPr>
      <w:r>
        <w:rPr>
          <w:color w:val="000000"/>
          <w:spacing w:val="0"/>
          <w:w w:val="100"/>
          <w:position w:val="0"/>
        </w:rPr>
        <w:t xml:space="preserve">干玲女士： </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月出生，中专学历。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月起就职本公司，担任公司接待主管一职。现任公司职工代表监事。</w:t>
      </w:r>
    </w:p>
    <w:p>
      <w:pPr>
        <w:pStyle w:val="Style18"/>
        <w:keepNext w:val="0"/>
        <w:keepLines w:val="0"/>
        <w:widowControl w:val="0"/>
        <w:shd w:val="clear" w:color="auto" w:fill="auto"/>
        <w:bidi w:val="0"/>
        <w:spacing w:before="0" w:after="0" w:line="323" w:lineRule="exact"/>
        <w:ind w:left="0" w:right="0" w:firstLine="0"/>
        <w:jc w:val="both"/>
      </w:pPr>
      <w:r>
        <w:rPr>
          <w:color w:val="000000"/>
          <w:spacing w:val="0"/>
          <w:w w:val="100"/>
          <w:position w:val="0"/>
        </w:rPr>
        <w:t>在股东单位任职情况</w:t>
      </w:r>
    </w:p>
    <w:p>
      <w:pPr>
        <w:pStyle w:val="Style18"/>
        <w:keepNext w:val="0"/>
        <w:keepLines w:val="0"/>
        <w:widowControl w:val="0"/>
        <w:shd w:val="clear" w:color="auto" w:fill="auto"/>
        <w:bidi w:val="0"/>
        <w:spacing w:before="0" w:after="0" w:line="323" w:lineRule="exact"/>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0" w:line="323" w:lineRule="exact"/>
        <w:ind w:left="0" w:right="0" w:firstLine="0"/>
        <w:jc w:val="both"/>
      </w:pPr>
      <w:r>
        <w:rPr>
          <w:color w:val="000000"/>
          <w:spacing w:val="0"/>
          <w:w w:val="100"/>
          <w:position w:val="0"/>
        </w:rPr>
        <w:t>在其他单位任职情况</w:t>
      </w:r>
    </w:p>
    <w:p>
      <w:pPr>
        <w:pStyle w:val="Style18"/>
        <w:keepNext w:val="0"/>
        <w:keepLines w:val="0"/>
        <w:widowControl w:val="0"/>
        <w:shd w:val="clear" w:color="auto" w:fill="auto"/>
        <w:bidi w:val="0"/>
        <w:spacing w:before="0" w:after="80" w:line="323" w:lineRule="exact"/>
        <w:ind w:left="0" w:right="0" w:firstLine="0"/>
        <w:jc w:val="both"/>
      </w:pPr>
      <w:r>
        <w:rPr>
          <w:color w:val="000000"/>
          <w:spacing w:val="0"/>
          <w:w w:val="100"/>
          <w:position w:val="0"/>
        </w:rPr>
        <w:t>”适用口不适用</w:t>
      </w:r>
    </w:p>
    <w:tbl>
      <w:tblPr>
        <w:tblOverlap w:val="never"/>
        <w:jc w:val="center"/>
        <w:tblLayout w:type="fixed"/>
      </w:tblPr>
      <w:tblGrid>
        <w:gridCol w:w="1234"/>
        <w:gridCol w:w="3278"/>
        <w:gridCol w:w="1094"/>
        <w:gridCol w:w="1229"/>
        <w:gridCol w:w="1358"/>
        <w:gridCol w:w="1387"/>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任职人员姓 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在其他单 位担任的 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在其他单位是 否领取报酬津 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江苏恒神股份有限公司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董事、总经 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 xml:space="preserve">月 </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云宝金服（北京）科技有限公司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恒宝物联网有限公司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 xml:space="preserve">月 </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镇江西斯工业有限公司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西斯新材料有限公司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4"/>
        <w:gridCol w:w="3278"/>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上海氢神智能科技有限公司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Hengbao International 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Keyfort Pte.Ltd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Chipstone Technologies 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徐霄凌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Hengbao International 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徐霄凌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Keyfort Pte.Ltd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徐霄凌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Chipstone Technologies 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陈妹妹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恒宝物联网有限公司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 xml:space="preserve">月 </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陈妹妹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PT.Chipstone Technologies Indonesia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云宝金服（北京）科技有限公司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深圳一卡易科技股份有限公司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蔡正华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北京盈科（上海）律师事务所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高级合伙 人，刑民交 叉部主任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陈雪娇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江苏王江南律师事务所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专职律师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丁虹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威世电子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上海区财</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在其他单位</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任职情况的</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除以上人员外，公司其他董事、监事、高级管理人员无在其他单位任职情况。</w:t>
            </w:r>
          </w:p>
        </w:tc>
      </w:tr>
    </w:tbl>
    <w:p>
      <w:pPr>
        <w:pStyle w:val="Style1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公司现任及报告期内离任董事、监事和高级管理人员近三年证券监管机构处罚的情况 口适用”不适用</w:t>
      </w:r>
    </w:p>
    <w:p>
      <w:pPr>
        <w:pStyle w:val="Style27"/>
        <w:keepNext/>
        <w:keepLines/>
        <w:widowControl w:val="0"/>
        <w:shd w:val="clear" w:color="auto" w:fill="auto"/>
        <w:bidi w:val="0"/>
        <w:spacing w:before="0" w:after="26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3</w:t>
      </w:r>
      <w:bookmarkEnd w:id="326"/>
      <w:r>
        <w:rPr>
          <w:color w:val="000000"/>
          <w:spacing w:val="0"/>
          <w:w w:val="100"/>
          <w:position w:val="0"/>
        </w:rPr>
        <w:t>、董事、监事、高级管理人员报酬情况</w:t>
      </w:r>
      <w:bookmarkEnd w:id="324"/>
      <w:bookmarkEnd w:id="325"/>
      <w:bookmarkEnd w:id="327"/>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after="260" w:line="312" w:lineRule="exact"/>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、董事、监事、高级管理人员报酬的决策程序：公司独立董事津贴发放标准由董事会提出，股东大会审议通过后实施; 高级管理人员薪酬方案由董事会薪酬与考核委员会提出，董事会审议通过后实施。</w:t>
      </w:r>
      <w:r>
        <w:br w:type="page"/>
      </w:r>
    </w:p>
    <w:p>
      <w:pPr>
        <w:pStyle w:val="Style18"/>
        <w:keepNext w:val="0"/>
        <w:keepLines w:val="0"/>
        <w:widowControl w:val="0"/>
        <w:shd w:val="clear" w:color="auto" w:fill="auto"/>
        <w:bidi w:val="0"/>
        <w:spacing w:before="0" w:after="380" w:line="317" w:lineRule="exact"/>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、董事、监事、高级管理人员报酬确定依据：董事会按照工作绩效、职责履行、业务能力以及公司经营业绩确定总裁、 副总裁、财务总监和董事会秘书的薪酬标准。</w:t>
      </w:r>
    </w:p>
    <w:p>
      <w:pPr>
        <w:pStyle w:val="Style1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从公司获得的</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是否在公司关</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胡兆凤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徐霄凌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董事，副总裁， 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陈妹妹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董事，副总裁，</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蔡正华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丁虹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陈雪娇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蒋小平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朱锦善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干玲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陆道如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422.13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六</w:t>
      </w:r>
      <w:bookmarkEnd w:id="330"/>
      <w:r>
        <w:rPr>
          <w:color w:val="000000"/>
          <w:spacing w:val="0"/>
          <w:w w:val="100"/>
          <w:position w:val="0"/>
          <w:sz w:val="24"/>
          <w:szCs w:val="24"/>
        </w:rPr>
        <w:t>、报告期内董事履行职责的情况</w:t>
      </w:r>
      <w:bookmarkEnd w:id="328"/>
      <w:bookmarkEnd w:id="329"/>
      <w:bookmarkEnd w:id="331"/>
    </w:p>
    <w:p>
      <w:pPr>
        <w:pStyle w:val="Style27"/>
        <w:keepNext/>
        <w:keepLines/>
        <w:widowControl w:val="0"/>
        <w:shd w:val="clear" w:color="auto" w:fill="auto"/>
        <w:bidi w:val="0"/>
        <w:spacing w:before="0" w:after="32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、本报告期董事会情况</w:t>
      </w:r>
      <w:bookmarkEnd w:id="332"/>
      <w:bookmarkEnd w:id="333"/>
      <w:bookmarkEnd w:id="335"/>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第七届董事会第十次临时会 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第七届董事会第十次临时会 议决议公告（公告编号： </w:t>
            </w:r>
            <w:r>
              <w:rPr>
                <w:color w:val="000000"/>
                <w:spacing w:val="0"/>
                <w:w w:val="100"/>
                <w:position w:val="0"/>
              </w:rPr>
              <w:t>2021-005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详见巨潮资讯网</w:t>
            </w:r>
          </w:p>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第七届董事会第十一次临时 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第七届董事会第十一次临时 会议决议公告（公告编号： </w:t>
            </w:r>
            <w:r>
              <w:rPr>
                <w:color w:val="000000"/>
                <w:spacing w:val="0"/>
                <w:w w:val="100"/>
                <w:position w:val="0"/>
              </w:rPr>
              <w:t>2021-013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详见巨潮资讯网</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p>
        </w:tc>
      </w:tr>
      <w:tr>
        <w:trPr>
          <w:trHeight w:val="9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第七届董事会第十二次临时 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第七届董事会第十二次临时 会议决议公告（公告编号： </w:t>
            </w:r>
            <w:r>
              <w:rPr>
                <w:color w:val="000000"/>
                <w:spacing w:val="0"/>
                <w:w w:val="100"/>
                <w:position w:val="0"/>
              </w:rPr>
              <w:t>2021-022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详见巨潮资讯网</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rFonts w:ascii="SimSun" w:eastAsia="SimSun" w:hAnsi="SimSun" w:cs="SimSun"/>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第七届董事会第十三次临时 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 xml:space="preserve">第七届董事会第十三次临时 会议决议公告(公告编号： </w:t>
            </w:r>
            <w:r>
              <w:rPr>
                <w:color w:val="000000"/>
                <w:spacing w:val="0"/>
                <w:w w:val="100"/>
                <w:position w:val="0"/>
              </w:rPr>
              <w:t>2021-028</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详见巨潮资讯网</w:t>
            </w:r>
          </w:p>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rFonts w:ascii="SimSun" w:eastAsia="SimSun" w:hAnsi="SimSun" w:cs="SimSun"/>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第七届董事会第四次会议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第七届董事会第四次会议决</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议公告(公告编号：</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2021-033</w:t>
            </w:r>
            <w:r>
              <w:rPr>
                <w:rFonts w:ascii="SimSun" w:eastAsia="SimSun" w:hAnsi="SimSun" w:cs="SimSun"/>
                <w:color w:val="000000"/>
                <w:spacing w:val="0"/>
                <w:w w:val="100"/>
                <w:position w:val="0"/>
              </w:rPr>
              <w:t>)，详见巨潮资讯网</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rFonts w:ascii="SimSun" w:eastAsia="SimSun" w:hAnsi="SimSun" w:cs="SimSun"/>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第七届董事会第十四次临时 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第七届董事会第十四次临时 会议决议公告(公告编号： </w:t>
            </w:r>
            <w:r>
              <w:rPr>
                <w:color w:val="000000"/>
                <w:spacing w:val="0"/>
                <w:w w:val="100"/>
                <w:position w:val="0"/>
              </w:rPr>
              <w:t>2021-054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详见巨潮资讯网</w:t>
            </w:r>
          </w:p>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rFonts w:ascii="SimSun" w:eastAsia="SimSun" w:hAnsi="SimSun" w:cs="SimSun"/>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第七届董事会第五次会议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第七届董事会第五次会议审 议通过了《</w:t>
            </w:r>
            <w:r>
              <w:rPr>
                <w:color w:val="000000"/>
                <w:spacing w:val="0"/>
                <w:w w:val="100"/>
                <w:position w:val="0"/>
              </w:rPr>
              <w:t>2021</w:t>
            </w:r>
            <w:r>
              <w:rPr>
                <w:rFonts w:ascii="SimSun" w:eastAsia="SimSun" w:hAnsi="SimSun" w:cs="SimSun"/>
                <w:color w:val="000000"/>
                <w:spacing w:val="0"/>
                <w:w w:val="100"/>
                <w:position w:val="0"/>
              </w:rPr>
              <w:t>年第三季度 报告》，因仅审议该项议案， 且无反对票或弃权票，免于 公告。</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第七届董事会第十五次临时 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 xml:space="preserve">第七届董事会第十五次临时 会议决议公告(公告编号： </w:t>
            </w:r>
            <w:r>
              <w:rPr>
                <w:color w:val="000000"/>
                <w:spacing w:val="0"/>
                <w:w w:val="100"/>
                <w:position w:val="0"/>
              </w:rPr>
              <w:t>2021-070</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详见巨潮资讯网</w:t>
            </w:r>
          </w:p>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rFonts w:ascii="SimSun" w:eastAsia="SimSun" w:hAnsi="SimSun" w:cs="SimSun"/>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、董事出席董事会及股东大会的情况</w:t>
      </w:r>
      <w:bookmarkEnd w:id="336"/>
      <w:bookmarkEnd w:id="337"/>
      <w:bookmarkEnd w:id="339"/>
    </w:p>
    <w:tbl>
      <w:tblPr>
        <w:tblOverlap w:val="never"/>
        <w:jc w:val="center"/>
        <w:tblLayout w:type="fixed"/>
      </w:tblPr>
      <w:tblGrid>
        <w:gridCol w:w="1430"/>
        <w:gridCol w:w="1162"/>
        <w:gridCol w:w="1166"/>
        <w:gridCol w:w="1162"/>
        <w:gridCol w:w="1162"/>
        <w:gridCol w:w="1166"/>
        <w:gridCol w:w="1162"/>
        <w:gridCol w:w="1171"/>
      </w:tblGrid>
      <w:tr>
        <w:trPr>
          <w:trHeight w:val="408"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本报告期应</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参加董事会</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现场出席董 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委托出席董 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缺席董事会 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出席股东大 会次数</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徐霄凌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胡兆凤</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3</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陈妹妹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蔡正华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陈雪娇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丁虹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陆道如</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both"/>
            </w:pPr>
            <w:r>
              <w:rPr>
                <w:color w:val="000000"/>
                <w:spacing w:val="0"/>
                <w:w w:val="100"/>
                <w:position w:val="0"/>
              </w:rPr>
              <w:t>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both"/>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960"/>
              <w:jc w:val="both"/>
            </w:pPr>
            <w:r>
              <w:rPr>
                <w:color w:val="000000"/>
                <w:spacing w:val="0"/>
                <w:w w:val="100"/>
                <w:position w:val="0"/>
              </w:rPr>
              <w:t>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r>
    </w:tbl>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连续两次未亲自出席董事会的说明</w:t>
      </w:r>
    </w:p>
    <w:p>
      <w:pPr>
        <w:pStyle w:val="Style27"/>
        <w:keepNext/>
        <w:keepLines/>
        <w:widowControl w:val="0"/>
        <w:shd w:val="clear" w:color="auto" w:fill="auto"/>
        <w:tabs>
          <w:tab w:pos="378"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3</w:t>
      </w:r>
      <w:bookmarkEnd w:id="342"/>
      <w:r>
        <w:rPr>
          <w:color w:val="000000"/>
          <w:spacing w:val="0"/>
          <w:w w:val="100"/>
          <w:position w:val="0"/>
        </w:rPr>
        <w:t>、</w:t>
        <w:tab/>
        <w:t>董事对公司有关事项提出异议的情况</w:t>
      </w:r>
      <w:bookmarkEnd w:id="340"/>
      <w:bookmarkEnd w:id="341"/>
      <w:bookmarkEnd w:id="34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报告期内董事对公司有关事项未提出异议。</w:t>
      </w:r>
    </w:p>
    <w:p>
      <w:pPr>
        <w:pStyle w:val="Style27"/>
        <w:keepNext/>
        <w:keepLines/>
        <w:widowControl w:val="0"/>
        <w:shd w:val="clear" w:color="auto" w:fill="auto"/>
        <w:tabs>
          <w:tab w:pos="378" w:val="left"/>
        </w:tabs>
        <w:bidi w:val="0"/>
        <w:spacing w:before="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4</w:t>
      </w:r>
      <w:bookmarkEnd w:id="346"/>
      <w:r>
        <w:rPr>
          <w:color w:val="000000"/>
          <w:spacing w:val="0"/>
          <w:w w:val="100"/>
          <w:position w:val="0"/>
        </w:rPr>
        <w:t>、</w:t>
        <w:tab/>
        <w:t>董事履行职责的其他说明</w:t>
      </w:r>
      <w:bookmarkEnd w:id="344"/>
      <w:bookmarkEnd w:id="345"/>
      <w:bookmarkEnd w:id="34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30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七</w:t>
      </w:r>
      <w:bookmarkEnd w:id="350"/>
      <w:r>
        <w:rPr>
          <w:color w:val="000000"/>
          <w:spacing w:val="0"/>
          <w:w w:val="100"/>
          <w:position w:val="0"/>
          <w:sz w:val="24"/>
          <w:szCs w:val="24"/>
        </w:rPr>
        <w:t>、董事会下设专门委员会在报告期内的情况</w:t>
      </w:r>
      <w:bookmarkEnd w:id="348"/>
      <w:bookmarkEnd w:id="349"/>
      <w:bookmarkEnd w:id="351"/>
    </w:p>
    <w:tbl>
      <w:tblPr>
        <w:tblOverlap w:val="never"/>
        <w:jc w:val="center"/>
        <w:tblLayout w:type="fixed"/>
      </w:tblPr>
      <w:tblGrid>
        <w:gridCol w:w="1200"/>
        <w:gridCol w:w="1195"/>
        <w:gridCol w:w="1195"/>
        <w:gridCol w:w="1195"/>
        <w:gridCol w:w="1195"/>
        <w:gridCol w:w="1200"/>
        <w:gridCol w:w="1195"/>
        <w:gridCol w:w="1205"/>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委员会名称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成员情况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召开会议次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会议内容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提出的重要</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意见和建议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异议事项具</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体情况（如</w:t>
            </w:r>
          </w:p>
          <w:p>
            <w:pPr>
              <w:pStyle w:val="Style20"/>
              <w:keepNext w:val="0"/>
              <w:keepLines w:val="0"/>
              <w:widowControl w:val="0"/>
              <w:shd w:val="clear" w:color="auto" w:fill="auto"/>
              <w:bidi w:val="0"/>
              <w:spacing w:before="0" w:after="100" w:line="240" w:lineRule="auto"/>
              <w:ind w:left="0" w:right="0" w:firstLine="400"/>
              <w:jc w:val="left"/>
            </w:pPr>
            <w:r>
              <w:rPr>
                <w:rFonts w:ascii="SimSun" w:eastAsia="SimSun" w:hAnsi="SimSun" w:cs="SimSun"/>
                <w:color w:val="000000"/>
                <w:spacing w:val="0"/>
                <w:w w:val="100"/>
                <w:position w:val="0"/>
              </w:rPr>
              <w:t>有）</w:t>
            </w:r>
          </w:p>
        </w:tc>
      </w:tr>
      <w:tr>
        <w:trPr>
          <w:trHeight w:val="165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丁虹、陈雪</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娇、徐霄凌</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审议通过了</w:t>
            </w:r>
          </w:p>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《关于公司 前期会计差 错更正的议 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567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 xml:space="preserve">月 </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审议通过了 《</w:t>
            </w:r>
            <w:r>
              <w:rPr>
                <w:color w:val="000000"/>
                <w:spacing w:val="0"/>
                <w:w w:val="100"/>
                <w:position w:val="0"/>
              </w:rPr>
              <w:t>2020</w:t>
            </w:r>
            <w:r>
              <w:rPr>
                <w:rFonts w:ascii="SimSun" w:eastAsia="SimSun" w:hAnsi="SimSun" w:cs="SimSun"/>
                <w:color w:val="000000"/>
                <w:spacing w:val="0"/>
                <w:w w:val="100"/>
                <w:position w:val="0"/>
              </w:rPr>
              <w:t>年度 财务报告的 议案》、《关 于续聘中兴 华会计师事 务所（特殊 普通合伙） 为公司</w:t>
            </w:r>
            <w:r>
              <w:rPr>
                <w:color w:val="000000"/>
                <w:spacing w:val="0"/>
                <w:w w:val="100"/>
                <w:position w:val="0"/>
              </w:rPr>
              <w:t xml:space="preserve">2020 </w:t>
            </w:r>
            <w:r>
              <w:rPr>
                <w:rFonts w:ascii="SimSun" w:eastAsia="SimSun" w:hAnsi="SimSun" w:cs="SimSun"/>
                <w:color w:val="000000"/>
                <w:spacing w:val="0"/>
                <w:w w:val="100"/>
                <w:position w:val="0"/>
              </w:rPr>
              <w:t>年财务审计 机构的议 案》、《</w:t>
            </w:r>
            <w:r>
              <w:rPr>
                <w:color w:val="000000"/>
                <w:spacing w:val="0"/>
                <w:w w:val="100"/>
                <w:position w:val="0"/>
              </w:rPr>
              <w:t xml:space="preserve">2020 </w:t>
            </w:r>
            <w:r>
              <w:rPr>
                <w:rFonts w:ascii="SimSun" w:eastAsia="SimSun" w:hAnsi="SimSun" w:cs="SimSun"/>
                <w:color w:val="000000"/>
                <w:spacing w:val="0"/>
                <w:w w:val="100"/>
                <w:position w:val="0"/>
              </w:rPr>
              <w:t>年度内部控 制自我评价 报告》、《关 于公司计提 资产减值准 备的议案》、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5"/>
      </w:tblGrid>
      <w:tr>
        <w:trPr>
          <w:trHeight w:val="98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年第</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一季度工作</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 xml:space="preserve">月 </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审议通过了</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年半</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年度财务报</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告的议案》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6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审议通过了</w:t>
            </w:r>
          </w:p>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年第</w:t>
            </w:r>
          </w:p>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三季度财务 报告的议 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1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薪酬与考核 委员会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陈雪娇、丁 虹、钱京</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审议通过了 《关于公司 </w:t>
            </w:r>
            <w:r>
              <w:rPr>
                <w:color w:val="000000"/>
                <w:spacing w:val="0"/>
                <w:w w:val="100"/>
                <w:position w:val="0"/>
              </w:rPr>
              <w:t>&lt;2021</w:t>
            </w:r>
            <w:r>
              <w:rPr>
                <w:rFonts w:ascii="SimSun" w:eastAsia="SimSun" w:hAnsi="SimSun" w:cs="SimSun"/>
                <w:color w:val="000000"/>
                <w:spacing w:val="0"/>
                <w:w w:val="100"/>
                <w:position w:val="0"/>
              </w:rPr>
              <w:t>年股 票期权激励 计划（草 案）</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及其摘 要的议案》 和《关于公 司</w:t>
            </w:r>
            <w:r>
              <w:rPr>
                <w:color w:val="000000"/>
                <w:spacing w:val="0"/>
                <w:w w:val="100"/>
                <w:position w:val="0"/>
              </w:rPr>
              <w:t>&lt;2021</w:t>
            </w:r>
            <w:r>
              <w:rPr>
                <w:rFonts w:ascii="SimSun" w:eastAsia="SimSun" w:hAnsi="SimSun" w:cs="SimSun"/>
                <w:color w:val="000000"/>
                <w:spacing w:val="0"/>
                <w:w w:val="100"/>
                <w:position w:val="0"/>
              </w:rPr>
              <w:t>年 股票期权激 励计划实施 考核管理办 法</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审议通过了 公司董事、 监事和高级 管理人员 </w:t>
            </w:r>
            <w:r>
              <w:rPr>
                <w:color w:val="000000"/>
                <w:spacing w:val="0"/>
                <w:w w:val="100"/>
                <w:position w:val="0"/>
              </w:rPr>
              <w:t>2020</w:t>
            </w:r>
            <w:r>
              <w:rPr>
                <w:rFonts w:ascii="SimSun" w:eastAsia="SimSun" w:hAnsi="SimSun" w:cs="SimSun"/>
                <w:color w:val="000000"/>
                <w:spacing w:val="0"/>
                <w:w w:val="100"/>
                <w:position w:val="0"/>
              </w:rPr>
              <w:t>年度的 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战略委员会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钱京、徐霄 凌、高强、 丁虹、蔡正 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 xml:space="preserve">月 </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审议通过了 公司组织机 构调整的方 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蔡正华、丁 虹、钱京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 xml:space="preserve">月 </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通过了提名 陈妹妹女士 为公司非独 立董事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八</w:t>
      </w:r>
      <w:bookmarkEnd w:id="354"/>
      <w:r>
        <w:rPr>
          <w:color w:val="000000"/>
          <w:spacing w:val="0"/>
          <w:w w:val="100"/>
          <w:position w:val="0"/>
          <w:sz w:val="24"/>
          <w:szCs w:val="24"/>
        </w:rPr>
        <w:t>、监事会工作情况</w:t>
      </w:r>
      <w:bookmarkEnd w:id="352"/>
      <w:bookmarkEnd w:id="353"/>
      <w:bookmarkEnd w:id="355"/>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监事会在报告期内的监督活动中发现公司是否存在风险</w:t>
      </w: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after="34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sz w:val="24"/>
          <w:szCs w:val="24"/>
        </w:rPr>
        <w:t>九</w:t>
      </w:r>
      <w:bookmarkEnd w:id="358"/>
      <w:r>
        <w:rPr>
          <w:color w:val="000000"/>
          <w:spacing w:val="0"/>
          <w:w w:val="100"/>
          <w:position w:val="0"/>
          <w:sz w:val="24"/>
          <w:szCs w:val="24"/>
        </w:rPr>
        <w:t>、公司员工情况</w:t>
      </w:r>
      <w:bookmarkEnd w:id="356"/>
      <w:bookmarkEnd w:id="357"/>
      <w:bookmarkEnd w:id="359"/>
    </w:p>
    <w:p>
      <w:pPr>
        <w:pStyle w:val="Style27"/>
        <w:keepNext/>
        <w:keepLines/>
        <w:widowControl w:val="0"/>
        <w:shd w:val="clear" w:color="auto" w:fill="auto"/>
        <w:bidi w:val="0"/>
        <w:spacing w:before="0" w:after="28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、员工数量、专业构成及教育程度</w:t>
      </w:r>
      <w:bookmarkEnd w:id="360"/>
      <w:bookmarkEnd w:id="361"/>
      <w:bookmarkEnd w:id="36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报告期末母公司在职员工的数量（人）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1,094</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报告期末在职员工的数量合计（人）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1,193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1,193</w:t>
            </w: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00" w:right="0" w:firstLine="0"/>
              <w:jc w:val="both"/>
            </w:pPr>
            <w:r>
              <w:rPr>
                <w:color w:val="000000"/>
                <w:spacing w:val="0"/>
                <w:w w:val="100"/>
                <w:position w:val="0"/>
              </w:rPr>
              <w:t>651</w:t>
            </w: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4400" w:right="0" w:firstLine="0"/>
              <w:jc w:val="both"/>
            </w:pPr>
            <w:r>
              <w:rPr>
                <w:color w:val="000000"/>
                <w:spacing w:val="0"/>
                <w:w w:val="100"/>
                <w:position w:val="0"/>
              </w:rPr>
              <w:t>85</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00" w:right="0" w:firstLine="0"/>
              <w:jc w:val="both"/>
            </w:pPr>
            <w:r>
              <w:rPr>
                <w:color w:val="000000"/>
                <w:spacing w:val="0"/>
                <w:w w:val="100"/>
                <w:position w:val="0"/>
              </w:rPr>
              <w:t>336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105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1,193</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研究生及以上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00" w:right="0" w:firstLine="0"/>
              <w:jc w:val="both"/>
            </w:pPr>
            <w:r>
              <w:rPr>
                <w:color w:val="000000"/>
                <w:spacing w:val="0"/>
                <w:w w:val="100"/>
                <w:position w:val="0"/>
              </w:rPr>
              <w:t>56</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4400" w:right="0" w:firstLine="0"/>
              <w:jc w:val="both"/>
            </w:pPr>
            <w:r>
              <w:rPr>
                <w:color w:val="000000"/>
                <w:spacing w:val="0"/>
                <w:w w:val="100"/>
                <w:position w:val="0"/>
              </w:rPr>
              <w:t>278</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00" w:right="0" w:firstLine="0"/>
              <w:jc w:val="both"/>
            </w:pPr>
            <w:r>
              <w:rPr>
                <w:color w:val="000000"/>
                <w:spacing w:val="0"/>
                <w:w w:val="100"/>
                <w:position w:val="0"/>
              </w:rPr>
              <w:t>256</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400" w:right="0" w:firstLine="0"/>
              <w:jc w:val="both"/>
            </w:pPr>
            <w:r>
              <w:rPr>
                <w:color w:val="000000"/>
                <w:spacing w:val="0"/>
                <w:w w:val="100"/>
                <w:position w:val="0"/>
              </w:rPr>
              <w:t>603</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1,193</w:t>
            </w:r>
          </w:p>
        </w:tc>
      </w:tr>
    </w:tbl>
    <w:p>
      <w:pPr>
        <w:widowControl w:val="0"/>
        <w:spacing w:after="279" w:line="1" w:lineRule="exact"/>
      </w:pPr>
    </w:p>
    <w:p>
      <w:pPr>
        <w:pStyle w:val="Style27"/>
        <w:keepNext/>
        <w:keepLines/>
        <w:widowControl w:val="0"/>
        <w:shd w:val="clear" w:color="auto" w:fill="auto"/>
        <w:tabs>
          <w:tab w:pos="378" w:val="left"/>
        </w:tabs>
        <w:bidi w:val="0"/>
        <w:spacing w:before="0" w:after="28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w:t>
        <w:tab/>
        <w:t>薪酬政策</w:t>
      </w:r>
      <w:bookmarkEnd w:id="364"/>
      <w:bookmarkEnd w:id="365"/>
      <w:bookmarkEnd w:id="367"/>
    </w:p>
    <w:p>
      <w:pPr>
        <w:pStyle w:val="Style18"/>
        <w:keepNext w:val="0"/>
        <w:keepLines w:val="0"/>
        <w:widowControl w:val="0"/>
        <w:shd w:val="clear" w:color="auto" w:fill="auto"/>
        <w:bidi w:val="0"/>
        <w:spacing w:before="0" w:after="340" w:line="312" w:lineRule="exact"/>
        <w:ind w:left="0" w:right="0"/>
        <w:jc w:val="both"/>
      </w:pPr>
      <w:r>
        <w:rPr>
          <w:color w:val="000000"/>
          <w:spacing w:val="0"/>
          <w:w w:val="100"/>
          <w:position w:val="0"/>
        </w:rPr>
        <w:t>公司持续履行了</w:t>
      </w:r>
      <w:r>
        <w:rPr>
          <w:rFonts w:ascii="Times New Roman" w:eastAsia="Times New Roman" w:hAnsi="Times New Roman" w:cs="Times New Roman"/>
          <w:color w:val="000000"/>
          <w:spacing w:val="0"/>
          <w:w w:val="100"/>
          <w:position w:val="0"/>
        </w:rPr>
        <w:t>“</w:t>
      </w:r>
      <w:r>
        <w:rPr>
          <w:color w:val="000000"/>
          <w:spacing w:val="0"/>
          <w:w w:val="100"/>
          <w:position w:val="0"/>
        </w:rPr>
        <w:t>对内具有公平性，对外具有竞争力</w:t>
      </w:r>
      <w:r>
        <w:rPr>
          <w:rFonts w:ascii="Times New Roman" w:eastAsia="Times New Roman" w:hAnsi="Times New Roman" w:cs="Times New Roman"/>
          <w:color w:val="000000"/>
          <w:spacing w:val="0"/>
          <w:w w:val="100"/>
          <w:position w:val="0"/>
        </w:rPr>
        <w:t>”</w:t>
      </w:r>
      <w:r>
        <w:rPr>
          <w:color w:val="000000"/>
          <w:spacing w:val="0"/>
          <w:w w:val="100"/>
          <w:position w:val="0"/>
        </w:rPr>
        <w:t>的薪酬体系，遵循</w:t>
      </w:r>
      <w:r>
        <w:rPr>
          <w:rFonts w:ascii="Times New Roman" w:eastAsia="Times New Roman" w:hAnsi="Times New Roman" w:cs="Times New Roman"/>
          <w:color w:val="000000"/>
          <w:spacing w:val="0"/>
          <w:w w:val="100"/>
          <w:position w:val="0"/>
        </w:rPr>
        <w:t>“</w:t>
      </w:r>
      <w:r>
        <w:rPr>
          <w:color w:val="000000"/>
          <w:spacing w:val="0"/>
          <w:w w:val="100"/>
          <w:position w:val="0"/>
        </w:rPr>
        <w:t>按劳分配、效率优先、兼顾公平及可持续发展</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的分配原则，采取</w:t>
      </w:r>
      <w:r>
        <w:rPr>
          <w:rFonts w:ascii="Times New Roman" w:eastAsia="Times New Roman" w:hAnsi="Times New Roman" w:cs="Times New Roman"/>
          <w:color w:val="000000"/>
          <w:spacing w:val="0"/>
          <w:w w:val="100"/>
          <w:position w:val="0"/>
        </w:rPr>
        <w:t>“</w:t>
      </w:r>
      <w:r>
        <w:rPr>
          <w:color w:val="000000"/>
          <w:spacing w:val="0"/>
          <w:w w:val="100"/>
          <w:position w:val="0"/>
        </w:rPr>
        <w:t>以能定级、以岗定薪、以绩定奖</w:t>
      </w:r>
      <w:r>
        <w:rPr>
          <w:rFonts w:ascii="Times New Roman" w:eastAsia="Times New Roman" w:hAnsi="Times New Roman" w:cs="Times New Roman"/>
          <w:color w:val="000000"/>
          <w:spacing w:val="0"/>
          <w:w w:val="100"/>
          <w:position w:val="0"/>
        </w:rPr>
        <w:t>”</w:t>
      </w:r>
      <w:r>
        <w:rPr>
          <w:color w:val="000000"/>
          <w:spacing w:val="0"/>
          <w:w w:val="100"/>
          <w:position w:val="0"/>
        </w:rPr>
        <w:t>的分配形式，合理拉开收入差距。</w:t>
      </w:r>
    </w:p>
    <w:p>
      <w:pPr>
        <w:pStyle w:val="Style27"/>
        <w:keepNext/>
        <w:keepLines/>
        <w:widowControl w:val="0"/>
        <w:shd w:val="clear" w:color="auto" w:fill="auto"/>
        <w:tabs>
          <w:tab w:pos="378" w:val="left"/>
        </w:tabs>
        <w:bidi w:val="0"/>
        <w:spacing w:before="0" w:after="28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3</w:t>
      </w:r>
      <w:bookmarkEnd w:id="370"/>
      <w:r>
        <w:rPr>
          <w:color w:val="000000"/>
          <w:spacing w:val="0"/>
          <w:w w:val="100"/>
          <w:position w:val="0"/>
        </w:rPr>
        <w:t>、</w:t>
        <w:tab/>
        <w:t>培训计划</w:t>
      </w:r>
      <w:bookmarkEnd w:id="368"/>
      <w:bookmarkEnd w:id="369"/>
      <w:bookmarkEnd w:id="371"/>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2021年，公司完善了内训与外训相结合的培训体系，针对不同岗位的员工开展内容丰富、形式多样的培训。</w:t>
      </w:r>
    </w:p>
    <w:p>
      <w:pPr>
        <w:pStyle w:val="Style18"/>
        <w:keepNext w:val="0"/>
        <w:keepLines w:val="0"/>
        <w:widowControl w:val="0"/>
        <w:shd w:val="clear" w:color="auto" w:fill="auto"/>
        <w:tabs>
          <w:tab w:pos="820" w:val="left"/>
        </w:tabs>
        <w:bidi w:val="0"/>
        <w:spacing w:before="0" w:after="0" w:line="312" w:lineRule="exact"/>
        <w:ind w:left="0" w:right="0"/>
        <w:jc w:val="left"/>
      </w:pPr>
      <w:bookmarkStart w:id="372" w:name="bookmark372"/>
      <w:r>
        <w:rPr>
          <w:color w:val="000000"/>
          <w:spacing w:val="0"/>
          <w:w w:val="100"/>
          <w:position w:val="0"/>
        </w:rPr>
        <w:t>（</w:t>
      </w:r>
      <w:bookmarkEnd w:id="372"/>
      <w:r>
        <w:rPr>
          <w:color w:val="000000"/>
          <w:spacing w:val="0"/>
          <w:w w:val="100"/>
          <w:position w:val="0"/>
        </w:rPr>
        <w:t>1）</w:t>
        <w:tab/>
        <w:t>强化岗前培训，使员工更快融入企业；</w:t>
      </w:r>
    </w:p>
    <w:p>
      <w:pPr>
        <w:pStyle w:val="Style18"/>
        <w:keepNext w:val="0"/>
        <w:keepLines w:val="0"/>
        <w:widowControl w:val="0"/>
        <w:shd w:val="clear" w:color="auto" w:fill="auto"/>
        <w:tabs>
          <w:tab w:pos="820" w:val="left"/>
        </w:tabs>
        <w:bidi w:val="0"/>
        <w:spacing w:before="0" w:after="280" w:line="312" w:lineRule="exact"/>
        <w:ind w:left="0" w:right="0"/>
        <w:jc w:val="left"/>
      </w:pPr>
      <w:bookmarkStart w:id="373" w:name="bookmark373"/>
      <w:r>
        <w:rPr>
          <w:color w:val="000000"/>
          <w:spacing w:val="0"/>
          <w:w w:val="100"/>
          <w:position w:val="0"/>
        </w:rPr>
        <w:t>（</w:t>
      </w:r>
      <w:bookmarkEnd w:id="373"/>
      <w:r>
        <w:rPr>
          <w:color w:val="000000"/>
          <w:spacing w:val="0"/>
          <w:w w:val="100"/>
          <w:position w:val="0"/>
        </w:rPr>
        <w:t>2）</w:t>
        <w:tab/>
        <w:t>针对供应链团队开展供应链培训，打造韧性供应链；</w:t>
      </w:r>
    </w:p>
    <w:p>
      <w:pPr>
        <w:pStyle w:val="Style18"/>
        <w:keepNext w:val="0"/>
        <w:keepLines w:val="0"/>
        <w:widowControl w:val="0"/>
        <w:shd w:val="clear" w:color="auto" w:fill="auto"/>
        <w:tabs>
          <w:tab w:pos="820" w:val="left"/>
        </w:tabs>
        <w:bidi w:val="0"/>
        <w:spacing w:before="0" w:after="0" w:line="315" w:lineRule="exact"/>
        <w:ind w:left="0" w:right="0"/>
        <w:jc w:val="left"/>
      </w:pPr>
      <w:bookmarkStart w:id="374" w:name="bookmark374"/>
      <w:r>
        <w:rPr>
          <w:color w:val="000000"/>
          <w:spacing w:val="0"/>
          <w:w w:val="100"/>
          <w:position w:val="0"/>
        </w:rPr>
        <w:t>（</w:t>
      </w:r>
      <w:bookmarkEnd w:id="374"/>
      <w:r>
        <w:rPr>
          <w:color w:val="000000"/>
          <w:spacing w:val="0"/>
          <w:w w:val="100"/>
          <w:position w:val="0"/>
        </w:rPr>
        <w:t>3）</w:t>
        <w:tab/>
        <w:t>加强营销团队营销技能，产品知识培训，提高营销团队整体战斗力；</w:t>
      </w:r>
    </w:p>
    <w:p>
      <w:pPr>
        <w:pStyle w:val="Style18"/>
        <w:keepNext w:val="0"/>
        <w:keepLines w:val="0"/>
        <w:widowControl w:val="0"/>
        <w:shd w:val="clear" w:color="auto" w:fill="auto"/>
        <w:tabs>
          <w:tab w:pos="820" w:val="left"/>
        </w:tabs>
        <w:bidi w:val="0"/>
        <w:spacing w:before="0" w:after="380" w:line="315" w:lineRule="exact"/>
        <w:ind w:left="0" w:right="0"/>
        <w:jc w:val="left"/>
      </w:pPr>
      <w:bookmarkStart w:id="375" w:name="bookmark375"/>
      <w:r>
        <w:rPr>
          <w:color w:val="000000"/>
          <w:spacing w:val="0"/>
          <w:w w:val="100"/>
          <w:position w:val="0"/>
        </w:rPr>
        <w:t>（</w:t>
      </w:r>
      <w:bookmarkEnd w:id="375"/>
      <w:r>
        <w:rPr>
          <w:color w:val="000000"/>
          <w:spacing w:val="0"/>
          <w:w w:val="100"/>
          <w:position w:val="0"/>
        </w:rPr>
        <w:t>4）</w:t>
        <w:tab/>
        <w:t>强化员工岗位技能提升培训及思维创新培训，打造梯次人才队伍。</w:t>
      </w:r>
    </w:p>
    <w:p>
      <w:pPr>
        <w:pStyle w:val="Style27"/>
        <w:keepNext/>
        <w:keepLines/>
        <w:widowControl w:val="0"/>
        <w:shd w:val="clear" w:color="auto" w:fill="auto"/>
        <w:bidi w:val="0"/>
        <w:spacing w:before="0" w:after="260" w:line="240" w:lineRule="auto"/>
        <w:ind w:left="0" w:right="0" w:firstLine="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4</w:t>
      </w:r>
      <w:bookmarkEnd w:id="378"/>
      <w:r>
        <w:rPr>
          <w:color w:val="000000"/>
          <w:spacing w:val="0"/>
          <w:w w:val="100"/>
          <w:position w:val="0"/>
        </w:rPr>
        <w:t>、劳务外包情况</w:t>
      </w:r>
      <w:bookmarkEnd w:id="376"/>
      <w:bookmarkEnd w:id="377"/>
      <w:bookmarkEnd w:id="379"/>
    </w:p>
    <w:p>
      <w:pPr>
        <w:pStyle w:val="Style18"/>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口适用”不适用</w:t>
      </w:r>
    </w:p>
    <w:p>
      <w:pPr>
        <w:pStyle w:val="Style23"/>
        <w:keepNext/>
        <w:keepLines/>
        <w:widowControl w:val="0"/>
        <w:shd w:val="clear" w:color="auto" w:fill="auto"/>
        <w:bidi w:val="0"/>
        <w:spacing w:before="0" w:after="260" w:line="240" w:lineRule="auto"/>
        <w:ind w:left="0" w:right="0" w:firstLine="0"/>
        <w:jc w:val="both"/>
      </w:pPr>
      <w:bookmarkStart w:id="380" w:name="bookmark380"/>
      <w:bookmarkStart w:id="381" w:name="bookmark381"/>
      <w:bookmarkStart w:id="382" w:name="bookmark382"/>
      <w:r>
        <w:rPr>
          <w:color w:val="000000"/>
          <w:spacing w:val="0"/>
          <w:w w:val="100"/>
          <w:position w:val="0"/>
          <w:sz w:val="24"/>
          <w:szCs w:val="24"/>
        </w:rPr>
        <w:t>十、公司利润分配及资本公积金转增股本情况</w:t>
      </w:r>
      <w:bookmarkEnd w:id="380"/>
      <w:bookmarkEnd w:id="381"/>
      <w:bookmarkEnd w:id="382"/>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报告期内，公司严格按照中国证监会和深圳证券交易所法律法规以及《公司章程》等有关制度的规定和要求，做好公司 利润分配方案实施工作。</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报告期内，公司现金分红政策的执行情况良好，符合公司章程的规定或者股东大会决议的要求，分红标准和比例明确清 晰，相关的决策程序和机制完备，独立董事尽职履责并发挥了应有的作用，同时，公司提供了股东大会网络投票服务，使中 小股东有充分表达意见和诉求的机会，中小股东的合法权益得到了充分维护。</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公司第七届董事会第十四次临时会议、2021年第二次临时股东大会审议通过了《公司2021年半年度利润分配预案》，同 意以公司现有总股本696,921,354股为基数，向全体股东每10股派</w:t>
      </w:r>
      <w:r>
        <w:rPr>
          <w:color w:val="000000"/>
          <w:spacing w:val="0"/>
          <w:w w:val="100"/>
          <w:position w:val="0"/>
        </w:rPr>
        <w:t>2.15</w:t>
      </w:r>
      <w:r>
        <w:rPr>
          <w:color w:val="000000"/>
          <w:spacing w:val="0"/>
          <w:w w:val="100"/>
          <w:position w:val="0"/>
        </w:rPr>
        <w:t xml:space="preserve">元人民币现金（含税），共派发现金红利人民币 </w:t>
      </w:r>
      <w:r>
        <w:rPr>
          <w:color w:val="000000"/>
          <w:spacing w:val="0"/>
          <w:w w:val="100"/>
          <w:position w:val="0"/>
        </w:rPr>
        <w:t>149,838,091.11</w:t>
      </w:r>
      <w:r>
        <w:rPr>
          <w:color w:val="000000"/>
          <w:spacing w:val="0"/>
          <w:w w:val="100"/>
          <w:position w:val="0"/>
        </w:rPr>
        <w:t>元（含税），不送红股，不以资本公积金转增股本。该利润分配方案已于2021年10月21日实施完成。</w:t>
      </w:r>
    </w:p>
    <w:tbl>
      <w:tblPr>
        <w:tblOverlap w:val="never"/>
        <w:jc w:val="center"/>
        <w:tblLayout w:type="fixed"/>
      </w:tblPr>
      <w:tblGrid>
        <w:gridCol w:w="4786"/>
        <w:gridCol w:w="4795"/>
      </w:tblGrid>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”适用口不适用</w:t>
      </w:r>
    </w:p>
    <w:tbl>
      <w:tblPr>
        <w:tblOverlap w:val="never"/>
        <w:jc w:val="center"/>
        <w:tblLayout w:type="fixed"/>
      </w:tblPr>
      <w:tblGrid>
        <w:gridCol w:w="4786"/>
        <w:gridCol w:w="479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报告期内盈利且母公司可供股东分配利润为正但未提出现 金红利分配预案的原因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公司未分配利润的用途和使用计划</w:t>
            </w:r>
          </w:p>
        </w:tc>
      </w:tr>
      <w:tr>
        <w:trPr>
          <w:trHeight w:val="276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根据《公司章程》第一百五十八条规定：“</w:t>
            </w:r>
          </w:p>
          <w:p>
            <w:pPr>
              <w:pStyle w:val="Style20"/>
              <w:keepNext w:val="0"/>
              <w:keepLines w:val="0"/>
              <w:widowControl w:val="0"/>
              <w:shd w:val="clear" w:color="auto" w:fill="auto"/>
              <w:bidi w:val="0"/>
              <w:spacing w:before="0" w:after="140" w:line="316" w:lineRule="exact"/>
              <w:ind w:left="0" w:right="0" w:firstLine="0"/>
              <w:jc w:val="left"/>
            </w:pPr>
            <w:r>
              <w:rPr>
                <w:rFonts w:ascii="SimSun" w:eastAsia="SimSun" w:hAnsi="SimSun" w:cs="SimSun"/>
                <w:color w:val="000000"/>
                <w:spacing w:val="0"/>
                <w:w w:val="100"/>
                <w:position w:val="0"/>
              </w:rPr>
              <w:t>公司的利润分配：</w:t>
            </w:r>
          </w:p>
          <w:p>
            <w:pPr>
              <w:pStyle w:val="Style20"/>
              <w:keepNext w:val="0"/>
              <w:keepLines w:val="0"/>
              <w:widowControl w:val="0"/>
              <w:shd w:val="clear" w:color="auto" w:fill="auto"/>
              <w:bidi w:val="0"/>
              <w:spacing w:before="0" w:after="0" w:line="36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公司利润分配政策的基本原则：</w:t>
            </w:r>
          </w:p>
          <w:p>
            <w:pPr>
              <w:pStyle w:val="Style20"/>
              <w:keepNext w:val="0"/>
              <w:keepLines w:val="0"/>
              <w:widowControl w:val="0"/>
              <w:shd w:val="clear" w:color="auto" w:fill="auto"/>
              <w:tabs>
                <w:tab w:pos="264" w:val="left"/>
              </w:tabs>
              <w:bidi w:val="0"/>
              <w:spacing w:before="0" w:after="0" w:line="31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公司利润分配应有利于公司发展，并重视对投资者合理 的投资回报，公司每年以当年合并报表实现归属母公司可 供分配利润规定比例向股东分配股利。</w:t>
            </w:r>
          </w:p>
          <w:p>
            <w:pPr>
              <w:pStyle w:val="Style20"/>
              <w:keepNext w:val="0"/>
              <w:keepLines w:val="0"/>
              <w:widowControl w:val="0"/>
              <w:shd w:val="clear" w:color="auto" w:fill="auto"/>
              <w:tabs>
                <w:tab w:pos="274" w:val="left"/>
              </w:tabs>
              <w:bidi w:val="0"/>
              <w:spacing w:before="0" w:after="8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公司的利润分配政策保持连续性和稳定性，同时兼顾公 司的长远利益、全体股东的整体利益及公司的可持续发展。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累计未分配利润</w:t>
            </w:r>
            <w:r>
              <w:rPr>
                <w:color w:val="000000"/>
                <w:spacing w:val="0"/>
                <w:w w:val="100"/>
                <w:position w:val="0"/>
              </w:rPr>
              <w:t>922,428,903.85</w:t>
            </w:r>
            <w:r>
              <w:rPr>
                <w:rFonts w:ascii="SimSun" w:eastAsia="SimSun" w:hAnsi="SimSun" w:cs="SimSun"/>
                <w:color w:val="000000"/>
                <w:spacing w:val="0"/>
                <w:w w:val="100"/>
                <w:position w:val="0"/>
              </w:rPr>
              <w:t>元继续用于补充流动资金 并转入以后年度分配。</w:t>
            </w:r>
          </w:p>
        </w:tc>
      </w:tr>
    </w:tbl>
    <w:tbl>
      <w:tblPr>
        <w:tblOverlap w:val="never"/>
        <w:jc w:val="center"/>
        <w:tblLayout w:type="fixed"/>
      </w:tblPr>
      <w:tblGrid>
        <w:gridCol w:w="4786"/>
        <w:gridCol w:w="4795"/>
      </w:tblGrid>
      <w:tr>
        <w:trPr>
          <w:trHeight w:val="588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、公司优先采用现金分红的利润分配方式。</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二</w:t>
            </w:r>
            <w:r>
              <w:rPr>
                <w:color w:val="000000"/>
                <w:spacing w:val="0"/>
                <w:w w:val="100"/>
                <w:position w:val="0"/>
              </w:rPr>
              <w:t>）</w:t>
            </w:r>
            <w:r>
              <w:rPr>
                <w:rFonts w:ascii="SimSun" w:eastAsia="SimSun" w:hAnsi="SimSun" w:cs="SimSun"/>
                <w:color w:val="000000"/>
                <w:spacing w:val="0"/>
                <w:w w:val="100"/>
                <w:position w:val="0"/>
              </w:rPr>
              <w:t>公司利润分配具体政策如下：</w:t>
            </w:r>
          </w:p>
          <w:p>
            <w:pPr>
              <w:pStyle w:val="Style20"/>
              <w:keepNext w:val="0"/>
              <w:keepLines w:val="0"/>
              <w:widowControl w:val="0"/>
              <w:shd w:val="clear" w:color="auto" w:fill="auto"/>
              <w:tabs>
                <w:tab w:pos="259" w:val="left"/>
              </w:tabs>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利润分配的形式：公司采用现金、股票或者现金与股票 相结合的方式分配股利。在有条件的情况下，公司可以进 行中期利润分配。</w:t>
            </w:r>
          </w:p>
          <w:p>
            <w:pPr>
              <w:pStyle w:val="Style20"/>
              <w:keepNext w:val="0"/>
              <w:keepLines w:val="0"/>
              <w:widowControl w:val="0"/>
              <w:shd w:val="clear" w:color="auto" w:fill="auto"/>
              <w:tabs>
                <w:tab w:pos="283" w:val="left"/>
              </w:tabs>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公司现金分红的具体条件和比例：</w:t>
            </w:r>
          </w:p>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公司主要采取现金分红的利润分配政策，即公司在当年盈 利且累计未分配利润为正的情况下，采取现金方式分配股 利，如无重大投资计划或重大现金支出事项的发生，公司 必须进行现金分红，每年以现金方式分配的利润不少于当 年实现的可供分配利润的</w:t>
            </w:r>
            <w:r>
              <w:rPr>
                <w:color w:val="000000"/>
                <w:spacing w:val="0"/>
                <w:w w:val="100"/>
                <w:position w:val="0"/>
              </w:rPr>
              <w:t>10%</w:t>
            </w:r>
            <w:r>
              <w:rPr>
                <w:rFonts w:ascii="SimSun" w:eastAsia="SimSun" w:hAnsi="SimSun" w:cs="SimSun"/>
                <w:color w:val="000000"/>
                <w:spacing w:val="0"/>
                <w:w w:val="100"/>
                <w:position w:val="0"/>
              </w:rPr>
              <w:t>。且最近三年以现金方式累 计分配的利润不少于最近三年实现的年均可分配利润的百 分之三十。”</w:t>
            </w:r>
          </w:p>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鉴于公司</w:t>
            </w:r>
            <w:r>
              <w:rPr>
                <w:color w:val="000000"/>
                <w:spacing w:val="0"/>
                <w:w w:val="100"/>
                <w:position w:val="0"/>
              </w:rPr>
              <w:t>2021</w:t>
            </w:r>
            <w:r>
              <w:rPr>
                <w:rFonts w:ascii="SimSun" w:eastAsia="SimSun" w:hAnsi="SimSun" w:cs="SimSun"/>
                <w:color w:val="000000"/>
                <w:spacing w:val="0"/>
                <w:w w:val="100"/>
                <w:position w:val="0"/>
              </w:rPr>
              <w:t>年半年度进行了分红派息，且公司目前正在 积极进行业务的战略延伸，为实现公司长远稳定的发展， 未来给投资者带来更好的投资回报，公司拟定</w:t>
            </w:r>
            <w:r>
              <w:rPr>
                <w:color w:val="000000"/>
                <w:spacing w:val="0"/>
                <w:w w:val="100"/>
                <w:position w:val="0"/>
              </w:rPr>
              <w:t>2021</w:t>
            </w:r>
            <w:r>
              <w:rPr>
                <w:rFonts w:ascii="SimSun" w:eastAsia="SimSun" w:hAnsi="SimSun" w:cs="SimSun"/>
                <w:color w:val="000000"/>
                <w:spacing w:val="0"/>
                <w:w w:val="100"/>
                <w:position w:val="0"/>
              </w:rPr>
              <w:t>年度利 润分配预案为：全体股东每</w:t>
            </w:r>
            <w:r>
              <w:rPr>
                <w:color w:val="000000"/>
                <w:spacing w:val="0"/>
                <w:w w:val="100"/>
                <w:position w:val="0"/>
              </w:rPr>
              <w:t>10</w:t>
            </w:r>
            <w:r>
              <w:rPr>
                <w:rFonts w:ascii="SimSun" w:eastAsia="SimSun" w:hAnsi="SimSun" w:cs="SimSun"/>
                <w:color w:val="000000"/>
                <w:spacing w:val="0"/>
                <w:w w:val="100"/>
                <w:position w:val="0"/>
              </w:rPr>
              <w:t>股派发现金红利</w:t>
            </w:r>
            <w:r>
              <w:rPr>
                <w:color w:val="000000"/>
                <w:spacing w:val="0"/>
                <w:w w:val="100"/>
                <w:position w:val="0"/>
              </w:rPr>
              <w:t>0.00</w:t>
            </w:r>
            <w:r>
              <w:rPr>
                <w:rFonts w:ascii="SimSun" w:eastAsia="SimSun" w:hAnsi="SimSun" w:cs="SimSun"/>
                <w:color w:val="000000"/>
                <w:spacing w:val="0"/>
                <w:w w:val="100"/>
                <w:position w:val="0"/>
              </w:rPr>
              <w:t>元（含 税），送红股</w:t>
            </w:r>
            <w:r>
              <w:rPr>
                <w:color w:val="000000"/>
                <w:spacing w:val="0"/>
                <w:w w:val="100"/>
                <w:position w:val="0"/>
              </w:rPr>
              <w:t>0</w:t>
            </w:r>
            <w:r>
              <w:rPr>
                <w:rFonts w:ascii="SimSun" w:eastAsia="SimSun" w:hAnsi="SimSun" w:cs="SimSun"/>
                <w:color w:val="000000"/>
                <w:spacing w:val="0"/>
                <w:w w:val="100"/>
                <w:position w:val="0"/>
              </w:rPr>
              <w:t>股（含税），不以公积金转增股本。</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18" w:lineRule="exact"/>
        <w:ind w:left="0" w:right="0" w:firstLine="0"/>
        <w:jc w:val="left"/>
      </w:pPr>
      <w:r>
        <w:rPr>
          <w:color w:val="000000"/>
          <w:spacing w:val="0"/>
          <w:w w:val="100"/>
          <w:position w:val="0"/>
        </w:rPr>
        <w:t>本报告期利润分配及资本公积金转增股本情况</w:t>
      </w:r>
    </w:p>
    <w:p>
      <w:pPr>
        <w:pStyle w:val="Style18"/>
        <w:keepNext w:val="0"/>
        <w:keepLines w:val="0"/>
        <w:widowControl w:val="0"/>
        <w:shd w:val="clear" w:color="auto" w:fill="auto"/>
        <w:bidi w:val="0"/>
        <w:spacing w:before="0" w:after="0" w:line="318"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318" w:lineRule="exact"/>
        <w:ind w:left="0" w:right="0" w:firstLine="0"/>
        <w:jc w:val="left"/>
      </w:pPr>
      <w:r>
        <w:rPr>
          <w:color w:val="000000"/>
          <w:spacing w:val="0"/>
          <w:w w:val="100"/>
          <w:position w:val="0"/>
        </w:rPr>
        <w:t>公司计划年度不派发现金红利，不送红股，不以公积金转增股本。</w:t>
      </w:r>
    </w:p>
    <w:p>
      <w:pPr>
        <w:pStyle w:val="Style23"/>
        <w:keepNext/>
        <w:keepLines/>
        <w:widowControl w:val="0"/>
        <w:shd w:val="clear" w:color="auto" w:fill="auto"/>
        <w:bidi w:val="0"/>
        <w:spacing w:before="0" w:after="240" w:line="240" w:lineRule="auto"/>
        <w:ind w:left="0" w:right="0" w:firstLine="0"/>
        <w:jc w:val="left"/>
      </w:pPr>
      <w:bookmarkStart w:id="383" w:name="bookmark383"/>
      <w:bookmarkStart w:id="384" w:name="bookmark384"/>
      <w:bookmarkStart w:id="385" w:name="bookmark385"/>
      <w:r>
        <w:rPr>
          <w:color w:val="000000"/>
          <w:spacing w:val="0"/>
          <w:w w:val="100"/>
          <w:position w:val="0"/>
          <w:sz w:val="24"/>
          <w:szCs w:val="24"/>
        </w:rPr>
        <w:t>十一、公司股权激励计划、员工持股计划或其他员工激励措施的实施情况</w:t>
      </w:r>
      <w:bookmarkEnd w:id="383"/>
      <w:bookmarkEnd w:id="384"/>
      <w:bookmarkEnd w:id="385"/>
    </w:p>
    <w:p>
      <w:pPr>
        <w:pStyle w:val="Style18"/>
        <w:keepNext w:val="0"/>
        <w:keepLines w:val="0"/>
        <w:widowControl w:val="0"/>
        <w:shd w:val="clear" w:color="auto" w:fill="auto"/>
        <w:bidi w:val="0"/>
        <w:spacing w:before="0" w:after="360" w:line="318" w:lineRule="exact"/>
        <w:ind w:left="0" w:right="0" w:firstLine="0"/>
        <w:jc w:val="left"/>
      </w:pPr>
      <w:r>
        <w:rPr>
          <w:color w:val="000000"/>
          <w:spacing w:val="0"/>
          <w:w w:val="100"/>
          <w:position w:val="0"/>
        </w:rPr>
        <w:t>”适用口不适用</w:t>
      </w:r>
    </w:p>
    <w:p>
      <w:pPr>
        <w:pStyle w:val="Style27"/>
        <w:keepNext/>
        <w:keepLines/>
        <w:widowControl w:val="0"/>
        <w:shd w:val="clear" w:color="auto" w:fill="auto"/>
        <w:bidi w:val="0"/>
        <w:spacing w:before="0" w:after="24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、股权激励</w:t>
      </w:r>
      <w:bookmarkEnd w:id="386"/>
      <w:bookmarkEnd w:id="387"/>
      <w:bookmarkEnd w:id="389"/>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（1）公司2021年股票期权激励计划审批程序</w:t>
      </w:r>
    </w:p>
    <w:p>
      <w:pPr>
        <w:pStyle w:val="Style18"/>
        <w:keepNext w:val="0"/>
        <w:keepLines w:val="0"/>
        <w:widowControl w:val="0"/>
        <w:numPr>
          <w:ilvl w:val="0"/>
          <w:numId w:val="9"/>
        </w:numPr>
        <w:shd w:val="clear" w:color="auto" w:fill="auto"/>
        <w:tabs>
          <w:tab w:pos="729" w:val="left"/>
        </w:tabs>
        <w:bidi w:val="0"/>
        <w:spacing w:before="0" w:after="0" w:line="316" w:lineRule="exact"/>
        <w:ind w:left="0" w:right="0"/>
        <w:jc w:val="left"/>
      </w:pPr>
      <w:bookmarkStart w:id="390" w:name="bookmark390"/>
      <w:bookmarkEnd w:id="390"/>
      <w:r>
        <w:rPr>
          <w:color w:val="000000"/>
          <w:spacing w:val="0"/>
          <w:w w:val="100"/>
          <w:position w:val="0"/>
        </w:rPr>
        <w:t>2021年2月4日，公司召开了第七届董事会第十次临时会议，审议通过了《关于公司＜2021年股票期权激励计划（草案）〉 及其摘要的议案》、《关于公司＜2021年股票期权激励计划实施考核管理办法〉的议案》、《关于提请股东大会授权董事会办理 2021年股票期权激励计划有关事项的议案》等议案。独立董事对公司2021年股票期权激励计划发表了同意的独立意见。</w:t>
      </w:r>
    </w:p>
    <w:p>
      <w:pPr>
        <w:pStyle w:val="Style18"/>
        <w:keepNext w:val="0"/>
        <w:keepLines w:val="0"/>
        <w:widowControl w:val="0"/>
        <w:numPr>
          <w:ilvl w:val="0"/>
          <w:numId w:val="9"/>
        </w:numPr>
        <w:shd w:val="clear" w:color="auto" w:fill="auto"/>
        <w:tabs>
          <w:tab w:pos="729" w:val="left"/>
        </w:tabs>
        <w:bidi w:val="0"/>
        <w:spacing w:before="0" w:after="0" w:line="316" w:lineRule="exact"/>
        <w:ind w:left="0" w:right="0"/>
        <w:jc w:val="left"/>
      </w:pPr>
      <w:bookmarkStart w:id="391" w:name="bookmark391"/>
      <w:bookmarkEnd w:id="391"/>
      <w:r>
        <w:rPr>
          <w:color w:val="000000"/>
          <w:spacing w:val="0"/>
          <w:w w:val="100"/>
          <w:position w:val="0"/>
        </w:rPr>
        <w:t>2021年2月4日，公司召开了第七届监事会第七次临时会议，审议通过了《关于公司＜2021年股票期权激励计划（草案）〉 及其摘要的议案》、《关于公司＜2021年股票期权激励计划实施考核管理办法〉的议案》、《关于核实公司＜2021年股票期权激 励计划首次授权部分激励对象名单〉的议案》。</w:t>
      </w:r>
    </w:p>
    <w:p>
      <w:pPr>
        <w:pStyle w:val="Style18"/>
        <w:keepNext w:val="0"/>
        <w:keepLines w:val="0"/>
        <w:widowControl w:val="0"/>
        <w:numPr>
          <w:ilvl w:val="0"/>
          <w:numId w:val="9"/>
        </w:numPr>
        <w:shd w:val="clear" w:color="auto" w:fill="auto"/>
        <w:tabs>
          <w:tab w:pos="724" w:val="left"/>
        </w:tabs>
        <w:bidi w:val="0"/>
        <w:spacing w:before="0" w:after="0" w:line="318" w:lineRule="exact"/>
        <w:ind w:left="0" w:right="0"/>
        <w:jc w:val="left"/>
      </w:pPr>
      <w:bookmarkStart w:id="392" w:name="bookmark392"/>
      <w:bookmarkEnd w:id="392"/>
      <w:r>
        <w:rPr>
          <w:color w:val="000000"/>
          <w:spacing w:val="0"/>
          <w:w w:val="100"/>
          <w:position w:val="0"/>
        </w:rPr>
        <w:t>2021年2月7日至2021年2月17日，公司对本次激励计划的激励对象名单的姓名和职务在公司内部进行了公示，在公示 期内，公司监事会未接到与本次激励计划拟激励对象有关的任何异议。2021年2月19日，公司披露了《监事会关于2021年股 票期权激励计划首次授权部分激励对象名单的审核意见及公示情况说明》。</w:t>
      </w:r>
    </w:p>
    <w:p>
      <w:pPr>
        <w:pStyle w:val="Style18"/>
        <w:keepNext w:val="0"/>
        <w:keepLines w:val="0"/>
        <w:widowControl w:val="0"/>
        <w:numPr>
          <w:ilvl w:val="0"/>
          <w:numId w:val="9"/>
        </w:numPr>
        <w:shd w:val="clear" w:color="auto" w:fill="auto"/>
        <w:tabs>
          <w:tab w:pos="729" w:val="left"/>
        </w:tabs>
        <w:bidi w:val="0"/>
        <w:spacing w:before="0" w:after="0" w:line="318" w:lineRule="exact"/>
        <w:ind w:left="0" w:right="0"/>
        <w:jc w:val="left"/>
      </w:pPr>
      <w:bookmarkStart w:id="393" w:name="bookmark393"/>
      <w:bookmarkEnd w:id="393"/>
      <w:r>
        <w:rPr>
          <w:color w:val="000000"/>
          <w:spacing w:val="0"/>
          <w:w w:val="100"/>
          <w:position w:val="0"/>
        </w:rPr>
        <w:t>2021年2月24日，公司召开2021年第一次临时股东大会，审议通过了《关于公司＜2021年股票期权激励计划（草案）〉 及其摘要的议案》、《关于公司＜2021年股票期权激励计划实施考核管理办法〉的议案》、《关于提请股东大会授权董事会办理 2021年股票期权激励计划相关事宜的议案》等议案，并披露了《关于2021年股票期权激励计划内幕信息知情人及激励对象买 卖公司股票情况的自查报告》。</w:t>
      </w:r>
    </w:p>
    <w:p>
      <w:pPr>
        <w:pStyle w:val="Style18"/>
        <w:keepNext w:val="0"/>
        <w:keepLines w:val="0"/>
        <w:widowControl w:val="0"/>
        <w:numPr>
          <w:ilvl w:val="0"/>
          <w:numId w:val="9"/>
        </w:numPr>
        <w:shd w:val="clear" w:color="auto" w:fill="auto"/>
        <w:tabs>
          <w:tab w:pos="369" w:val="left"/>
        </w:tabs>
        <w:bidi w:val="0"/>
        <w:spacing w:before="0" w:after="0" w:line="318" w:lineRule="exact"/>
        <w:ind w:left="0" w:right="0"/>
        <w:jc w:val="left"/>
      </w:pPr>
      <w:bookmarkStart w:id="394" w:name="bookmark394"/>
      <w:bookmarkEnd w:id="394"/>
      <w:r>
        <w:rPr>
          <w:color w:val="000000"/>
          <w:spacing w:val="0"/>
          <w:w w:val="100"/>
          <w:position w:val="0"/>
        </w:rPr>
        <w:t xml:space="preserve">2021年2月26日，公司召开第七届董事会第十一次临时会议和第七届监事会第八次临时会议，审议通过了《关于向激 </w:t>
      </w:r>
      <w:r>
        <w:rPr>
          <w:color w:val="000000"/>
          <w:spacing w:val="0"/>
          <w:w w:val="100"/>
          <w:position w:val="0"/>
        </w:rPr>
        <w:t>励对象首次授予股票期权的议案》。公司独立董事对前述事项发表了独立意见，公司监事会对激励对象名单进行了核实并发 表了核查意见。</w:t>
      </w:r>
    </w:p>
    <w:p>
      <w:pPr>
        <w:pStyle w:val="Style18"/>
        <w:keepNext w:val="0"/>
        <w:keepLines w:val="0"/>
        <w:widowControl w:val="0"/>
        <w:numPr>
          <w:ilvl w:val="0"/>
          <w:numId w:val="9"/>
        </w:numPr>
        <w:shd w:val="clear" w:color="auto" w:fill="auto"/>
        <w:tabs>
          <w:tab w:pos="728" w:val="left"/>
        </w:tabs>
        <w:bidi w:val="0"/>
        <w:spacing w:before="0" w:after="0" w:line="312" w:lineRule="exact"/>
        <w:ind w:left="0" w:right="0"/>
        <w:jc w:val="both"/>
      </w:pPr>
      <w:bookmarkStart w:id="395" w:name="bookmark395"/>
      <w:bookmarkEnd w:id="395"/>
      <w:r>
        <w:rPr>
          <w:color w:val="000000"/>
          <w:spacing w:val="0"/>
          <w:w w:val="100"/>
          <w:position w:val="0"/>
        </w:rPr>
        <w:t>2021年4月15日，公司完成了首次授予部分股票期权登记工作，公司本次股票期权激励计划首次授予数量1,403万份， 激励对象为138人。</w:t>
      </w:r>
    </w:p>
    <w:p>
      <w:pPr>
        <w:pStyle w:val="Style18"/>
        <w:keepNext w:val="0"/>
        <w:keepLines w:val="0"/>
        <w:widowControl w:val="0"/>
        <w:numPr>
          <w:ilvl w:val="0"/>
          <w:numId w:val="9"/>
        </w:numPr>
        <w:shd w:val="clear" w:color="auto" w:fill="auto"/>
        <w:tabs>
          <w:tab w:pos="728" w:val="left"/>
        </w:tabs>
        <w:bidi w:val="0"/>
        <w:spacing w:before="0" w:after="0" w:line="312" w:lineRule="exact"/>
        <w:ind w:left="0" w:right="0"/>
        <w:jc w:val="both"/>
      </w:pPr>
      <w:bookmarkStart w:id="396" w:name="bookmark396"/>
      <w:bookmarkEnd w:id="396"/>
      <w:r>
        <w:rPr>
          <w:color w:val="000000"/>
          <w:spacing w:val="0"/>
          <w:w w:val="100"/>
          <w:position w:val="0"/>
        </w:rPr>
        <w:t>2021年12月24日，公司召开第七届董事会第十五次临时会议和第七届监事会第十二次临时会议，审议通过了《关于调 整公司2021年股票期权激励计划首次授予部分股票期权行权价格的议案》和《关于向激励对象授予预留部分股票期权的议 案》。公司本次股票期权激励计划预留授予数量50万份，激励对象为9人。公司独立董事对前述事项发表了独立意见，公司监 事会对激励对象名单进行了核实并发表了核查意见。鉴于公司2021半年度利润分配方案已实施完毕，公司首次授予部分股票 期权的行权价格由</w:t>
      </w:r>
      <w:r>
        <w:rPr>
          <w:color w:val="000000"/>
          <w:spacing w:val="0"/>
          <w:w w:val="100"/>
          <w:position w:val="0"/>
        </w:rPr>
        <w:t>4.43</w:t>
      </w:r>
      <w:r>
        <w:rPr>
          <w:color w:val="000000"/>
          <w:spacing w:val="0"/>
          <w:w w:val="100"/>
          <w:position w:val="0"/>
        </w:rPr>
        <w:t>元/份调整为</w:t>
      </w:r>
      <w:r>
        <w:rPr>
          <w:color w:val="000000"/>
          <w:spacing w:val="0"/>
          <w:w w:val="100"/>
          <w:position w:val="0"/>
        </w:rPr>
        <w:t>4.215</w:t>
      </w:r>
      <w:r>
        <w:rPr>
          <w:color w:val="000000"/>
          <w:spacing w:val="0"/>
          <w:w w:val="100"/>
          <w:position w:val="0"/>
        </w:rPr>
        <w:t>元/份。</w:t>
      </w:r>
    </w:p>
    <w:p>
      <w:pPr>
        <w:pStyle w:val="Style18"/>
        <w:keepNext w:val="0"/>
        <w:keepLines w:val="0"/>
        <w:widowControl w:val="0"/>
        <w:numPr>
          <w:ilvl w:val="0"/>
          <w:numId w:val="9"/>
        </w:numPr>
        <w:shd w:val="clear" w:color="auto" w:fill="auto"/>
        <w:tabs>
          <w:tab w:pos="723" w:val="left"/>
        </w:tabs>
        <w:bidi w:val="0"/>
        <w:spacing w:before="0" w:after="300" w:line="312" w:lineRule="exact"/>
        <w:ind w:left="0" w:right="0"/>
        <w:jc w:val="both"/>
      </w:pPr>
      <w:bookmarkStart w:id="397" w:name="bookmark397"/>
      <w:bookmarkEnd w:id="397"/>
      <w:r>
        <w:rPr>
          <w:color w:val="000000"/>
          <w:spacing w:val="0"/>
          <w:w w:val="100"/>
          <w:position w:val="0"/>
        </w:rPr>
        <w:t>2022年1月16日，公司完成了2021年股票期权激励计划预留部分的授予登记工作，公司本次股票期权激励计划预留授 予数量50万份，激励对象为9人。</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（2）本次股票期权的授予情况</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首次授予部分股票期权：</w:t>
      </w:r>
    </w:p>
    <w:p>
      <w:pPr>
        <w:pStyle w:val="Style18"/>
        <w:keepNext w:val="0"/>
        <w:keepLines w:val="0"/>
        <w:widowControl w:val="0"/>
        <w:numPr>
          <w:ilvl w:val="0"/>
          <w:numId w:val="11"/>
        </w:numPr>
        <w:shd w:val="clear" w:color="auto" w:fill="auto"/>
        <w:tabs>
          <w:tab w:pos="753" w:val="left"/>
        </w:tabs>
        <w:bidi w:val="0"/>
        <w:spacing w:before="0" w:after="0" w:line="312" w:lineRule="exact"/>
        <w:ind w:left="0" w:right="0"/>
        <w:jc w:val="both"/>
      </w:pPr>
      <w:bookmarkStart w:id="398" w:name="bookmark398"/>
      <w:bookmarkEnd w:id="398"/>
      <w:r>
        <w:rPr>
          <w:color w:val="000000"/>
          <w:spacing w:val="0"/>
          <w:w w:val="100"/>
          <w:position w:val="0"/>
        </w:rPr>
        <w:t>期权简称：恒宝</w:t>
      </w:r>
      <w:r>
        <w:rPr>
          <w:color w:val="000000"/>
          <w:spacing w:val="0"/>
          <w:w w:val="100"/>
          <w:position w:val="0"/>
        </w:rPr>
        <w:t>J LC2</w:t>
      </w:r>
    </w:p>
    <w:p>
      <w:pPr>
        <w:pStyle w:val="Style18"/>
        <w:keepNext w:val="0"/>
        <w:keepLines w:val="0"/>
        <w:widowControl w:val="0"/>
        <w:numPr>
          <w:ilvl w:val="0"/>
          <w:numId w:val="11"/>
        </w:numPr>
        <w:shd w:val="clear" w:color="auto" w:fill="auto"/>
        <w:tabs>
          <w:tab w:pos="753" w:val="left"/>
        </w:tabs>
        <w:bidi w:val="0"/>
        <w:spacing w:before="0" w:after="0" w:line="312" w:lineRule="exact"/>
        <w:ind w:left="0" w:right="0"/>
        <w:jc w:val="both"/>
      </w:pPr>
      <w:bookmarkStart w:id="399" w:name="bookmark399"/>
      <w:bookmarkEnd w:id="399"/>
      <w:r>
        <w:rPr>
          <w:color w:val="000000"/>
          <w:spacing w:val="0"/>
          <w:w w:val="100"/>
          <w:position w:val="0"/>
        </w:rPr>
        <w:t>期权代码：037111</w:t>
      </w:r>
    </w:p>
    <w:p>
      <w:pPr>
        <w:pStyle w:val="Style18"/>
        <w:keepNext w:val="0"/>
        <w:keepLines w:val="0"/>
        <w:widowControl w:val="0"/>
        <w:numPr>
          <w:ilvl w:val="0"/>
          <w:numId w:val="11"/>
        </w:numPr>
        <w:shd w:val="clear" w:color="auto" w:fill="auto"/>
        <w:tabs>
          <w:tab w:pos="753" w:val="left"/>
        </w:tabs>
        <w:bidi w:val="0"/>
        <w:spacing w:before="0" w:after="0" w:line="312" w:lineRule="exact"/>
        <w:ind w:left="0" w:right="0"/>
        <w:jc w:val="both"/>
      </w:pPr>
      <w:bookmarkStart w:id="400" w:name="bookmark400"/>
      <w:bookmarkEnd w:id="400"/>
      <w:r>
        <w:rPr>
          <w:color w:val="000000"/>
          <w:spacing w:val="0"/>
          <w:w w:val="100"/>
          <w:position w:val="0"/>
        </w:rPr>
        <w:t>首次授权日：2021年2月26日</w:t>
      </w:r>
    </w:p>
    <w:p>
      <w:pPr>
        <w:pStyle w:val="Style18"/>
        <w:keepNext w:val="0"/>
        <w:keepLines w:val="0"/>
        <w:widowControl w:val="0"/>
        <w:numPr>
          <w:ilvl w:val="0"/>
          <w:numId w:val="11"/>
        </w:numPr>
        <w:shd w:val="clear" w:color="auto" w:fill="auto"/>
        <w:tabs>
          <w:tab w:pos="753" w:val="left"/>
        </w:tabs>
        <w:bidi w:val="0"/>
        <w:spacing w:before="0" w:after="0" w:line="312" w:lineRule="exact"/>
        <w:ind w:left="0" w:right="0"/>
        <w:jc w:val="both"/>
      </w:pPr>
      <w:bookmarkStart w:id="401" w:name="bookmark401"/>
      <w:bookmarkEnd w:id="401"/>
      <w:r>
        <w:rPr>
          <w:color w:val="000000"/>
          <w:spacing w:val="0"/>
          <w:w w:val="100"/>
          <w:position w:val="0"/>
        </w:rPr>
        <w:t>首次行权价格：4.215元/股</w:t>
      </w:r>
    </w:p>
    <w:p>
      <w:pPr>
        <w:pStyle w:val="Style18"/>
        <w:keepNext w:val="0"/>
        <w:keepLines w:val="0"/>
        <w:widowControl w:val="0"/>
        <w:numPr>
          <w:ilvl w:val="0"/>
          <w:numId w:val="11"/>
        </w:numPr>
        <w:shd w:val="clear" w:color="auto" w:fill="auto"/>
        <w:tabs>
          <w:tab w:pos="753" w:val="left"/>
        </w:tabs>
        <w:bidi w:val="0"/>
        <w:spacing w:before="0" w:after="0" w:line="312" w:lineRule="exact"/>
        <w:ind w:left="0" w:right="0"/>
        <w:jc w:val="both"/>
      </w:pPr>
      <w:bookmarkStart w:id="402" w:name="bookmark402"/>
      <w:bookmarkEnd w:id="402"/>
      <w:r>
        <w:rPr>
          <w:color w:val="000000"/>
          <w:spacing w:val="0"/>
          <w:w w:val="100"/>
          <w:position w:val="0"/>
        </w:rPr>
        <w:t>本次股票期权实际授予激励对象为138人，实际授予数量为1,403万份</w:t>
      </w:r>
    </w:p>
    <w:p>
      <w:pPr>
        <w:pStyle w:val="Style18"/>
        <w:keepNext w:val="0"/>
        <w:keepLines w:val="0"/>
        <w:widowControl w:val="0"/>
        <w:numPr>
          <w:ilvl w:val="0"/>
          <w:numId w:val="11"/>
        </w:numPr>
        <w:shd w:val="clear" w:color="auto" w:fill="auto"/>
        <w:tabs>
          <w:tab w:pos="753" w:val="left"/>
        </w:tabs>
        <w:bidi w:val="0"/>
        <w:spacing w:before="0" w:after="0" w:line="312" w:lineRule="exact"/>
        <w:ind w:left="0" w:right="0"/>
        <w:jc w:val="both"/>
      </w:pPr>
      <w:bookmarkStart w:id="403" w:name="bookmark403"/>
      <w:bookmarkEnd w:id="403"/>
      <w:r>
        <w:rPr>
          <w:color w:val="000000"/>
          <w:spacing w:val="0"/>
          <w:w w:val="100"/>
          <w:position w:val="0"/>
        </w:rPr>
        <w:t>股票期权登记完成时间：2021年4月15日</w:t>
      </w:r>
    </w:p>
    <w:p>
      <w:pPr>
        <w:pStyle w:val="Style18"/>
        <w:keepNext w:val="0"/>
        <w:keepLines w:val="0"/>
        <w:widowControl w:val="0"/>
        <w:numPr>
          <w:ilvl w:val="0"/>
          <w:numId w:val="11"/>
        </w:numPr>
        <w:shd w:val="clear" w:color="auto" w:fill="auto"/>
        <w:tabs>
          <w:tab w:pos="753" w:val="left"/>
        </w:tabs>
        <w:bidi w:val="0"/>
        <w:spacing w:before="0" w:after="380" w:line="312" w:lineRule="exact"/>
        <w:ind w:left="0" w:right="0"/>
        <w:jc w:val="both"/>
      </w:pPr>
      <w:bookmarkStart w:id="404" w:name="bookmark404"/>
      <w:bookmarkEnd w:id="404"/>
      <w:r>
        <w:rPr>
          <w:color w:val="000000"/>
          <w:spacing w:val="0"/>
          <w:w w:val="100"/>
          <w:position w:val="0"/>
        </w:rPr>
        <w:t>股票来源：公司向激励对象定向发行公司</w:t>
      </w:r>
      <w:r>
        <w:rPr>
          <w:color w:val="000000"/>
          <w:spacing w:val="0"/>
          <w:w w:val="100"/>
          <w:position w:val="0"/>
        </w:rPr>
        <w:t>A</w:t>
      </w:r>
      <w:r>
        <w:rPr>
          <w:color w:val="000000"/>
          <w:spacing w:val="0"/>
          <w:w w:val="100"/>
          <w:position w:val="0"/>
        </w:rPr>
        <w:t>股普通股。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预留授予部分股票期权：</w:t>
      </w:r>
    </w:p>
    <w:p>
      <w:pPr>
        <w:pStyle w:val="Style18"/>
        <w:keepNext w:val="0"/>
        <w:keepLines w:val="0"/>
        <w:widowControl w:val="0"/>
        <w:numPr>
          <w:ilvl w:val="0"/>
          <w:numId w:val="13"/>
        </w:numPr>
        <w:shd w:val="clear" w:color="auto" w:fill="auto"/>
        <w:tabs>
          <w:tab w:pos="753" w:val="left"/>
        </w:tabs>
        <w:bidi w:val="0"/>
        <w:spacing w:before="0" w:after="0" w:line="312" w:lineRule="exact"/>
        <w:ind w:left="0" w:right="0"/>
        <w:jc w:val="both"/>
      </w:pPr>
      <w:bookmarkStart w:id="405" w:name="bookmark405"/>
      <w:bookmarkEnd w:id="405"/>
      <w:r>
        <w:rPr>
          <w:color w:val="000000"/>
          <w:spacing w:val="0"/>
          <w:w w:val="100"/>
          <w:position w:val="0"/>
        </w:rPr>
        <w:t>期权简称：恒宝</w:t>
      </w:r>
      <w:r>
        <w:rPr>
          <w:color w:val="000000"/>
          <w:spacing w:val="0"/>
          <w:w w:val="100"/>
          <w:position w:val="0"/>
        </w:rPr>
        <w:t>J LC3</w:t>
      </w:r>
    </w:p>
    <w:p>
      <w:pPr>
        <w:pStyle w:val="Style18"/>
        <w:keepNext w:val="0"/>
        <w:keepLines w:val="0"/>
        <w:widowControl w:val="0"/>
        <w:numPr>
          <w:ilvl w:val="0"/>
          <w:numId w:val="13"/>
        </w:numPr>
        <w:shd w:val="clear" w:color="auto" w:fill="auto"/>
        <w:tabs>
          <w:tab w:pos="753" w:val="left"/>
        </w:tabs>
        <w:bidi w:val="0"/>
        <w:spacing w:before="0" w:after="0" w:line="312" w:lineRule="exact"/>
        <w:ind w:left="0" w:right="0"/>
        <w:jc w:val="both"/>
      </w:pPr>
      <w:bookmarkStart w:id="406" w:name="bookmark406"/>
      <w:bookmarkEnd w:id="406"/>
      <w:r>
        <w:rPr>
          <w:color w:val="000000"/>
          <w:spacing w:val="0"/>
          <w:w w:val="100"/>
          <w:position w:val="0"/>
        </w:rPr>
        <w:t>期权代码：037209</w:t>
      </w:r>
    </w:p>
    <w:p>
      <w:pPr>
        <w:pStyle w:val="Style18"/>
        <w:keepNext w:val="0"/>
        <w:keepLines w:val="0"/>
        <w:widowControl w:val="0"/>
        <w:numPr>
          <w:ilvl w:val="0"/>
          <w:numId w:val="13"/>
        </w:numPr>
        <w:shd w:val="clear" w:color="auto" w:fill="auto"/>
        <w:tabs>
          <w:tab w:pos="753" w:val="left"/>
        </w:tabs>
        <w:bidi w:val="0"/>
        <w:spacing w:before="0" w:after="0" w:line="312" w:lineRule="exact"/>
        <w:ind w:left="0" w:right="0"/>
        <w:jc w:val="both"/>
      </w:pPr>
      <w:bookmarkStart w:id="407" w:name="bookmark407"/>
      <w:bookmarkEnd w:id="407"/>
      <w:r>
        <w:rPr>
          <w:color w:val="000000"/>
          <w:spacing w:val="0"/>
          <w:w w:val="100"/>
          <w:position w:val="0"/>
        </w:rPr>
        <w:t>预留授权日：2021年12月24日</w:t>
      </w:r>
    </w:p>
    <w:p>
      <w:pPr>
        <w:pStyle w:val="Style18"/>
        <w:keepNext w:val="0"/>
        <w:keepLines w:val="0"/>
        <w:widowControl w:val="0"/>
        <w:numPr>
          <w:ilvl w:val="0"/>
          <w:numId w:val="13"/>
        </w:numPr>
        <w:shd w:val="clear" w:color="auto" w:fill="auto"/>
        <w:tabs>
          <w:tab w:pos="753" w:val="left"/>
        </w:tabs>
        <w:bidi w:val="0"/>
        <w:spacing w:before="0" w:after="0" w:line="312" w:lineRule="exact"/>
        <w:ind w:left="0" w:right="0"/>
        <w:jc w:val="both"/>
      </w:pPr>
      <w:bookmarkStart w:id="408" w:name="bookmark408"/>
      <w:bookmarkEnd w:id="408"/>
      <w:r>
        <w:rPr>
          <w:color w:val="000000"/>
          <w:spacing w:val="0"/>
          <w:w w:val="100"/>
          <w:position w:val="0"/>
        </w:rPr>
        <w:t>预留行权价格：4.43元/股</w:t>
      </w:r>
    </w:p>
    <w:p>
      <w:pPr>
        <w:pStyle w:val="Style18"/>
        <w:keepNext w:val="0"/>
        <w:keepLines w:val="0"/>
        <w:widowControl w:val="0"/>
        <w:numPr>
          <w:ilvl w:val="0"/>
          <w:numId w:val="13"/>
        </w:numPr>
        <w:shd w:val="clear" w:color="auto" w:fill="auto"/>
        <w:tabs>
          <w:tab w:pos="753" w:val="left"/>
        </w:tabs>
        <w:bidi w:val="0"/>
        <w:spacing w:before="0" w:after="0" w:line="312" w:lineRule="exact"/>
        <w:ind w:left="0" w:right="0"/>
        <w:jc w:val="both"/>
      </w:pPr>
      <w:bookmarkStart w:id="409" w:name="bookmark409"/>
      <w:bookmarkEnd w:id="409"/>
      <w:r>
        <w:rPr>
          <w:color w:val="000000"/>
          <w:spacing w:val="0"/>
          <w:w w:val="100"/>
          <w:position w:val="0"/>
        </w:rPr>
        <w:t>本次股票期权实际授予激励对象为9人，实际授予数量为50万份</w:t>
      </w:r>
    </w:p>
    <w:p>
      <w:pPr>
        <w:pStyle w:val="Style18"/>
        <w:keepNext w:val="0"/>
        <w:keepLines w:val="0"/>
        <w:widowControl w:val="0"/>
        <w:numPr>
          <w:ilvl w:val="0"/>
          <w:numId w:val="13"/>
        </w:numPr>
        <w:shd w:val="clear" w:color="auto" w:fill="auto"/>
        <w:tabs>
          <w:tab w:pos="753" w:val="left"/>
        </w:tabs>
        <w:bidi w:val="0"/>
        <w:spacing w:before="0" w:after="0" w:line="312" w:lineRule="exact"/>
        <w:ind w:left="0" w:right="0"/>
        <w:jc w:val="both"/>
      </w:pPr>
      <w:bookmarkStart w:id="410" w:name="bookmark410"/>
      <w:bookmarkEnd w:id="410"/>
      <w:r>
        <w:rPr>
          <w:color w:val="000000"/>
          <w:spacing w:val="0"/>
          <w:w w:val="100"/>
          <w:position w:val="0"/>
        </w:rPr>
        <w:t>股票期权登记完成时间：2022年1月26日</w:t>
      </w:r>
    </w:p>
    <w:p>
      <w:pPr>
        <w:pStyle w:val="Style18"/>
        <w:keepNext w:val="0"/>
        <w:keepLines w:val="0"/>
        <w:widowControl w:val="0"/>
        <w:numPr>
          <w:ilvl w:val="0"/>
          <w:numId w:val="13"/>
        </w:numPr>
        <w:shd w:val="clear" w:color="auto" w:fill="auto"/>
        <w:tabs>
          <w:tab w:pos="753" w:val="left"/>
        </w:tabs>
        <w:bidi w:val="0"/>
        <w:spacing w:before="0" w:after="380" w:line="312" w:lineRule="exact"/>
        <w:ind w:left="0" w:right="0"/>
        <w:jc w:val="both"/>
      </w:pPr>
      <w:bookmarkStart w:id="411" w:name="bookmark411"/>
      <w:bookmarkEnd w:id="411"/>
      <w:r>
        <w:rPr>
          <w:color w:val="000000"/>
          <w:spacing w:val="0"/>
          <w:w w:val="100"/>
          <w:position w:val="0"/>
        </w:rPr>
        <w:t>股票来源：公司向激励对象定向发行公司</w:t>
      </w:r>
      <w:r>
        <w:rPr>
          <w:color w:val="000000"/>
          <w:spacing w:val="0"/>
          <w:w w:val="100"/>
          <w:position w:val="0"/>
        </w:rPr>
        <w:t>A</w:t>
      </w:r>
      <w:r>
        <w:rPr>
          <w:color w:val="000000"/>
          <w:spacing w:val="0"/>
          <w:w w:val="100"/>
          <w:position w:val="0"/>
        </w:rPr>
        <w:t>股普通股。</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公司董事、高级管理人员获得的股权激励情况</w:t>
      </w:r>
    </w:p>
    <w:p>
      <w:pPr>
        <w:pStyle w:val="Style1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86"/>
        <w:gridCol w:w="686"/>
        <w:gridCol w:w="682"/>
        <w:gridCol w:w="686"/>
        <w:gridCol w:w="682"/>
        <w:gridCol w:w="682"/>
        <w:gridCol w:w="682"/>
        <w:gridCol w:w="682"/>
        <w:gridCol w:w="686"/>
        <w:gridCol w:w="682"/>
        <w:gridCol w:w="682"/>
        <w:gridCol w:w="686"/>
        <w:gridCol w:w="682"/>
        <w:gridCol w:w="691"/>
      </w:tblGrid>
      <w:tr>
        <w:trPr>
          <w:trHeight w:val="259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8" w:lineRule="exact"/>
              <w:ind w:left="0" w:right="0" w:firstLine="0"/>
              <w:jc w:val="center"/>
            </w:pPr>
            <w:r>
              <w:rPr>
                <w:rFonts w:ascii="SimSun" w:eastAsia="SimSun" w:hAnsi="SimSun" w:cs="SimSun"/>
                <w:color w:val="000000"/>
                <w:spacing w:val="0"/>
                <w:w w:val="100"/>
                <w:position w:val="0"/>
              </w:rPr>
              <w:t>年初 持有 股票 期权 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60" w:right="0" w:firstLine="0"/>
              <w:jc w:val="both"/>
            </w:pPr>
            <w:r>
              <w:rPr>
                <w:rFonts w:ascii="SimSun" w:eastAsia="SimSun" w:hAnsi="SimSun" w:cs="SimSun"/>
                <w:color w:val="000000"/>
                <w:spacing w:val="0"/>
                <w:w w:val="100"/>
                <w:position w:val="0"/>
              </w:rPr>
              <w:t>报告 期新 授予 股票 期权 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报告 期内 可行 权股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报告 期内 已行 权股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140"/>
              <w:jc w:val="both"/>
            </w:pPr>
            <w:r>
              <w:rPr>
                <w:rFonts w:ascii="SimSun" w:eastAsia="SimSun" w:hAnsi="SimSun" w:cs="SimSun"/>
                <w:color w:val="000000"/>
                <w:spacing w:val="0"/>
                <w:w w:val="100"/>
                <w:position w:val="0"/>
              </w:rPr>
              <w:t xml:space="preserve">报告 期内 已行 权股 数行 权价 格（元 </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8" w:lineRule="exact"/>
              <w:ind w:left="160" w:right="0" w:firstLine="0"/>
              <w:jc w:val="left"/>
            </w:pPr>
            <w:r>
              <w:rPr>
                <w:rFonts w:ascii="SimSun" w:eastAsia="SimSun" w:hAnsi="SimSun" w:cs="SimSun"/>
                <w:color w:val="000000"/>
                <w:spacing w:val="0"/>
                <w:w w:val="100"/>
                <w:position w:val="0"/>
              </w:rPr>
              <w:t>期末 持有 股票 期权 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市价</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（元</w:t>
            </w:r>
            <w:r>
              <w:rPr>
                <w:color w:val="000000"/>
                <w:spacing w:val="0"/>
                <w:w w:val="100"/>
                <w:position w:val="0"/>
              </w:rPr>
              <w:t>/</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期初 持有 限制 性股 票数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本期 已解 锁股 份数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报告 期新 授予 限制 性股 票数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140"/>
              <w:jc w:val="left"/>
            </w:pPr>
            <w:r>
              <w:rPr>
                <w:rFonts w:ascii="SimSun" w:eastAsia="SimSun" w:hAnsi="SimSun" w:cs="SimSun"/>
                <w:color w:val="000000"/>
                <w:spacing w:val="0"/>
                <w:w w:val="100"/>
                <w:position w:val="0"/>
              </w:rPr>
              <w:t>限制 性股 票的 授予 价格</w:t>
            </w:r>
          </w:p>
          <w:p>
            <w:pPr>
              <w:pStyle w:val="Style20"/>
              <w:keepNext w:val="0"/>
              <w:keepLines w:val="0"/>
              <w:widowControl w:val="0"/>
              <w:shd w:val="clear" w:color="auto" w:fill="auto"/>
              <w:bidi w:val="0"/>
              <w:spacing w:before="0" w:after="0" w:line="315" w:lineRule="exact"/>
              <w:ind w:left="0" w:right="0" w:firstLine="140"/>
              <w:jc w:val="left"/>
            </w:pPr>
            <w:r>
              <w:rPr>
                <w:rFonts w:ascii="SimSun" w:eastAsia="SimSun" w:hAnsi="SimSun" w:cs="SimSun"/>
                <w:color w:val="000000"/>
                <w:spacing w:val="0"/>
                <w:w w:val="100"/>
                <w:position w:val="0"/>
              </w:rPr>
              <w:t>（元</w:t>
            </w:r>
            <w:r>
              <w:rPr>
                <w:color w:val="000000"/>
                <w:spacing w:val="0"/>
                <w:w w:val="100"/>
                <w:position w:val="0"/>
              </w:rPr>
              <w:t xml:space="preserve">/ </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期末 持有 限制 性股 票数 量</w:t>
            </w:r>
          </w:p>
        </w:tc>
      </w:tr>
      <w:tr>
        <w:trPr>
          <w:trHeight w:val="40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高强</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8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80"/>
              <w:jc w:val="left"/>
            </w:pPr>
            <w:r>
              <w:rPr>
                <w:color w:val="000000"/>
                <w:spacing w:val="0"/>
                <w:w w:val="100"/>
                <w:position w:val="0"/>
              </w:rPr>
              <w:t>15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8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8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8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6.79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686"/>
        <w:gridCol w:w="686"/>
        <w:gridCol w:w="682"/>
        <w:gridCol w:w="686"/>
        <w:gridCol w:w="682"/>
        <w:gridCol w:w="682"/>
        <w:gridCol w:w="682"/>
        <w:gridCol w:w="682"/>
        <w:gridCol w:w="686"/>
        <w:gridCol w:w="682"/>
        <w:gridCol w:w="682"/>
        <w:gridCol w:w="686"/>
        <w:gridCol w:w="682"/>
        <w:gridCol w:w="69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徐霄</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董事、 副总 裁、财 务总 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陈妹</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董事、 副总 裁、董 事会 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公司已经建立了公正、合理、有效的高级管理人员绩效考核和股权激励评价体系，促进高级管理人员薪酬与公司经营效 益、经营成果的有机结合，确保公司长远目标的实现，保证高级管理人员的稳定性和公司的持续健康发展。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公司高级管理人员由公司董事会聘任，直接对董事会负责。报告期内，董事会实行公司高级管理人员薪酬收入与公司经 营业绩考核相挂钩，以业绩为导向的绩效考核制度，根据考核情况进行相应的奖惩。</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公司董事会下设薪酬与考核委员会，作为公司高级管理人员的薪酬考核管理机构，具体审查公司高级管理人员的薪酬奖 励方案，根据公司实际经营情况以及高级管理人员的工作绩效，对高级管理人员进行年度绩效考核，并监督具体薪酬执行情 况。</w:t>
      </w:r>
    </w:p>
    <w:p>
      <w:pPr>
        <w:pStyle w:val="Style18"/>
        <w:keepNext w:val="0"/>
        <w:keepLines w:val="0"/>
        <w:widowControl w:val="0"/>
        <w:shd w:val="clear" w:color="auto" w:fill="auto"/>
        <w:bidi w:val="0"/>
        <w:spacing w:before="0" w:after="720" w:line="312" w:lineRule="exact"/>
        <w:ind w:left="0" w:right="0"/>
        <w:jc w:val="left"/>
      </w:pPr>
      <w:r>
        <w:rPr>
          <w:color w:val="000000"/>
          <w:spacing w:val="0"/>
          <w:w w:val="100"/>
          <w:position w:val="0"/>
        </w:rPr>
        <w:t>报告期内，公司实施了2021年股票期权激励计划，3名高级管理人员作为激励对象，参与了本次激励计划。</w:t>
      </w:r>
    </w:p>
    <w:p>
      <w:pPr>
        <w:pStyle w:val="Style27"/>
        <w:keepNext/>
        <w:keepLines/>
        <w:widowControl w:val="0"/>
        <w:shd w:val="clear" w:color="auto" w:fill="auto"/>
        <w:tabs>
          <w:tab w:pos="378" w:val="left"/>
        </w:tabs>
        <w:bidi w:val="0"/>
        <w:spacing w:before="0" w:after="26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w:t>
        <w:tab/>
        <w:t>员工持股计划的实施情况</w:t>
      </w:r>
      <w:bookmarkEnd w:id="412"/>
      <w:bookmarkEnd w:id="413"/>
      <w:bookmarkEnd w:id="415"/>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27"/>
        <w:keepNext/>
        <w:keepLines/>
        <w:widowControl w:val="0"/>
        <w:shd w:val="clear" w:color="auto" w:fill="auto"/>
        <w:tabs>
          <w:tab w:pos="378" w:val="left"/>
        </w:tabs>
        <w:bidi w:val="0"/>
        <w:spacing w:before="0" w:after="26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3</w:t>
      </w:r>
      <w:bookmarkEnd w:id="418"/>
      <w:r>
        <w:rPr>
          <w:color w:val="000000"/>
          <w:spacing w:val="0"/>
          <w:w w:val="100"/>
          <w:position w:val="0"/>
        </w:rPr>
        <w:t>、</w:t>
        <w:tab/>
        <w:t>其他员工激励措施</w:t>
      </w:r>
      <w:bookmarkEnd w:id="416"/>
      <w:bookmarkEnd w:id="417"/>
      <w:bookmarkEnd w:id="419"/>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60" w:line="240" w:lineRule="auto"/>
        <w:ind w:left="0" w:right="0" w:firstLine="0"/>
        <w:jc w:val="left"/>
      </w:pPr>
      <w:bookmarkStart w:id="420" w:name="bookmark420"/>
      <w:bookmarkStart w:id="421" w:name="bookmark421"/>
      <w:bookmarkStart w:id="422" w:name="bookmark422"/>
      <w:r>
        <w:rPr>
          <w:color w:val="000000"/>
          <w:spacing w:val="0"/>
          <w:w w:val="100"/>
          <w:position w:val="0"/>
          <w:sz w:val="24"/>
          <w:szCs w:val="24"/>
        </w:rPr>
        <w:t>十二、报告期内的内部控制制度建设及实施情况</w:t>
      </w:r>
      <w:bookmarkEnd w:id="420"/>
      <w:bookmarkEnd w:id="421"/>
      <w:bookmarkEnd w:id="422"/>
    </w:p>
    <w:p>
      <w:pPr>
        <w:pStyle w:val="Style27"/>
        <w:keepNext/>
        <w:keepLines/>
        <w:widowControl w:val="0"/>
        <w:shd w:val="clear" w:color="auto" w:fill="auto"/>
        <w:bidi w:val="0"/>
        <w:spacing w:before="0" w:after="26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、内部控制建设及实施情况</w:t>
      </w:r>
      <w:bookmarkEnd w:id="423"/>
      <w:bookmarkEnd w:id="424"/>
      <w:bookmarkEnd w:id="426"/>
    </w:p>
    <w:p>
      <w:pPr>
        <w:pStyle w:val="Style18"/>
        <w:keepNext w:val="0"/>
        <w:keepLines w:val="0"/>
        <w:widowControl w:val="0"/>
        <w:shd w:val="clear" w:color="auto" w:fill="auto"/>
        <w:bidi w:val="0"/>
        <w:spacing w:before="0" w:after="260" w:line="312" w:lineRule="exact"/>
        <w:ind w:left="0" w:right="0"/>
        <w:jc w:val="left"/>
      </w:pPr>
      <w:r>
        <w:rPr>
          <w:color w:val="000000"/>
          <w:spacing w:val="0"/>
          <w:w w:val="100"/>
          <w:position w:val="0"/>
        </w:rPr>
        <w:t>报告期内，公司管理层严格按照企业内控制度体系的相关要求开展了风险管理和内部控制工作，并根据公司经营环境的 变化情况，不断完善公司内控制度，梳理和规范内控流程；公司的经营管理效率从而得到了不断增强，治理能力也不断提升， 财务、运营等风险持续保持低位，进而保障了公司股东、债权人等利益相关者的权益。公司内控部负责监督公司内控制度体 系的建立与运行情况，并对公司的风险管理和内部控制的有效性进行评价。报告期内，公司结合内部控制自我评价和独立监 督检查的情况，编制了公司内部控制自我评价报告，并按照证监会要求按时完成了披露。</w:t>
      </w:r>
      <w:r>
        <w:br w:type="page"/>
      </w:r>
    </w:p>
    <w:p>
      <w:pPr>
        <w:pStyle w:val="Style27"/>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、报告期内发现的内部控制重大缺陷的具体情况</w:t>
      </w:r>
      <w:bookmarkEnd w:id="427"/>
      <w:bookmarkEnd w:id="428"/>
      <w:bookmarkEnd w:id="43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23"/>
        <w:keepNext/>
        <w:keepLines/>
        <w:widowControl w:val="0"/>
        <w:shd w:val="clear" w:color="auto" w:fill="auto"/>
        <w:bidi w:val="0"/>
        <w:spacing w:before="0" w:after="320" w:line="240" w:lineRule="auto"/>
        <w:ind w:left="0" w:right="0" w:firstLine="0"/>
        <w:jc w:val="left"/>
      </w:pPr>
      <w:bookmarkStart w:id="431" w:name="bookmark431"/>
      <w:bookmarkStart w:id="432" w:name="bookmark432"/>
      <w:bookmarkStart w:id="433" w:name="bookmark433"/>
      <w:r>
        <w:rPr>
          <w:color w:val="000000"/>
          <w:spacing w:val="0"/>
          <w:w w:val="100"/>
          <w:position w:val="0"/>
          <w:sz w:val="24"/>
          <w:szCs w:val="24"/>
        </w:rPr>
        <w:t>十三、公司报告期内对子公司的管理控制情况</w:t>
      </w:r>
      <w:bookmarkEnd w:id="431"/>
      <w:bookmarkEnd w:id="432"/>
      <w:bookmarkEnd w:id="433"/>
    </w:p>
    <w:tbl>
      <w:tblPr>
        <w:tblOverlap w:val="never"/>
        <w:jc w:val="center"/>
        <w:tblLayout w:type="fixed"/>
      </w:tblPr>
      <w:tblGrid>
        <w:gridCol w:w="1373"/>
        <w:gridCol w:w="1363"/>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整合计划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整合进展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整合中遇到的 问题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已采取的解决 措施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434" w:name="bookmark434"/>
      <w:bookmarkStart w:id="435" w:name="bookmark435"/>
      <w:bookmarkStart w:id="436" w:name="bookmark436"/>
      <w:r>
        <w:rPr>
          <w:color w:val="000000"/>
          <w:spacing w:val="0"/>
          <w:w w:val="100"/>
          <w:position w:val="0"/>
          <w:sz w:val="24"/>
          <w:szCs w:val="24"/>
        </w:rPr>
        <w:t>十四、内部控制自我评价报告或内部控制审计报告</w:t>
      </w:r>
      <w:bookmarkEnd w:id="434"/>
      <w:bookmarkEnd w:id="435"/>
      <w:bookmarkEnd w:id="436"/>
    </w:p>
    <w:p>
      <w:pPr>
        <w:pStyle w:val="Style27"/>
        <w:keepNext/>
        <w:keepLines/>
        <w:widowControl w:val="0"/>
        <w:shd w:val="clear" w:color="auto" w:fill="auto"/>
        <w:bidi w:val="0"/>
        <w:spacing w:before="0" w:after="32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、内控自我评价报告</w:t>
      </w:r>
      <w:bookmarkEnd w:id="437"/>
      <w:bookmarkEnd w:id="438"/>
      <w:bookmarkEnd w:id="440"/>
    </w:p>
    <w:tbl>
      <w:tblPr>
        <w:tblOverlap w:val="never"/>
        <w:jc w:val="center"/>
        <w:tblLayout w:type="fixed"/>
      </w:tblPr>
      <w:tblGrid>
        <w:gridCol w:w="3197"/>
        <w:gridCol w:w="3322"/>
        <w:gridCol w:w="3062"/>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《证券时报》、《中国证券报》、《上海证券报》和网站巨潮网</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http://www.cninfo.com</w:t>
            </w:r>
            <w:r>
              <w:rPr>
                <w:color w:val="000000"/>
                <w:spacing w:val="0"/>
                <w:w w:val="100"/>
                <w:position w:val="0"/>
              </w:rPr>
              <w:t>. cn</w:t>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598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）财务报告重大缺陷的迹象包括：① 公司高级管理人员舞弊；②公司更正已 公布的财务报告；③注册会计师发现当 期财务报告存在重大错报，而内部控制 在运行过程中未能发现该错报；④公司 对内部控制的监督无效。（</w:t>
            </w:r>
            <w:r>
              <w:rPr>
                <w:color w:val="000000"/>
                <w:spacing w:val="0"/>
                <w:w w:val="100"/>
                <w:position w:val="0"/>
              </w:rPr>
              <w:t>2</w:t>
            </w:r>
            <w:r>
              <w:rPr>
                <w:rFonts w:ascii="SimSun" w:eastAsia="SimSun" w:hAnsi="SimSun" w:cs="SimSun"/>
                <w:color w:val="000000"/>
                <w:spacing w:val="0"/>
                <w:w w:val="100"/>
                <w:position w:val="0"/>
              </w:rPr>
              <w:t>）财务报告 重要缺陷的迹象包括</w:t>
            </w:r>
            <w:r>
              <w:rPr>
                <w:color w:val="000000"/>
                <w:spacing w:val="0"/>
                <w:w w:val="100"/>
                <w:position w:val="0"/>
              </w:rPr>
              <w:t>:</w:t>
            </w:r>
            <w:r>
              <w:rPr>
                <w:rFonts w:ascii="SimSun" w:eastAsia="SimSun" w:hAnsi="SimSun" w:cs="SimSun"/>
                <w:color w:val="000000"/>
                <w:spacing w:val="0"/>
                <w:w w:val="100"/>
                <w:position w:val="0"/>
              </w:rPr>
              <w:t>①未依照公认会 计准则选择和应用会计政策、未建立反 舞弊程序和控制措施；②对于非常规或 特殊交易的账务处理没有建立相应的控 制机制或没有实施且没有相应的补偿性 控制；③对于期末财务报告过程的控制 存在一项或多项缺陷且不能合理保证编 制的财务报表达到真实、准确的目标。</w:t>
            </w:r>
          </w:p>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）财务报告一般缺陷是指除上述重大 缺陷、重要缺陷之外的其他控制缺陷。</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非财务报告缺陷认定主要以缺陷对 业务流程有效性的影响程度、发生的 可能性作判定。如果缺陷发生的可能 性较小，会降低工作效率或效果、或 加大效果的不确定性、或使之偏离预 期目标为一般缺陷；如果缺陷发生的 可能性较高，会显著降低工作效率或 效果、或显著加大效果的不确定性、 或使之显著偏离预期目标为重要缺 陷；如果缺陷发生的可能性高，会严 重降低工作效率或效果、或严重加大 效果的不确定性、或使之严重偏离预 期目标为重大缺陷；另外，以下迹象 通常表明非财务报告内部控制可能 存在重大缺陷：（</w:t>
            </w:r>
            <w:r>
              <w:rPr>
                <w:color w:val="000000"/>
                <w:spacing w:val="0"/>
                <w:w w:val="100"/>
                <w:position w:val="0"/>
              </w:rPr>
              <w:t>1</w:t>
            </w:r>
            <w:r>
              <w:rPr>
                <w:rFonts w:ascii="SimSun" w:eastAsia="SimSun" w:hAnsi="SimSun" w:cs="SimSun"/>
                <w:color w:val="000000"/>
                <w:spacing w:val="0"/>
                <w:w w:val="100"/>
                <w:position w:val="0"/>
              </w:rPr>
              <w:t>）公司决策程序不 科学，如决策失误，导致企业并购后 未能达到预期目标；（</w:t>
            </w:r>
            <w:r>
              <w:rPr>
                <w:color w:val="000000"/>
                <w:spacing w:val="0"/>
                <w:w w:val="100"/>
                <w:position w:val="0"/>
              </w:rPr>
              <w:t>2</w:t>
            </w:r>
            <w:r>
              <w:rPr>
                <w:rFonts w:ascii="SimSun" w:eastAsia="SimSun" w:hAnsi="SimSun" w:cs="SimSun"/>
                <w:color w:val="000000"/>
                <w:spacing w:val="0"/>
                <w:w w:val="100"/>
                <w:position w:val="0"/>
              </w:rPr>
              <w:t>）违犯国家法 律、法规，如产品质量不合格；（</w:t>
            </w:r>
            <w:r>
              <w:rPr>
                <w:color w:val="000000"/>
                <w:spacing w:val="0"/>
                <w:w w:val="100"/>
                <w:position w:val="0"/>
              </w:rPr>
              <w:t>3</w:t>
            </w:r>
            <w:r>
              <w:rPr>
                <w:rFonts w:ascii="SimSun" w:eastAsia="SimSun" w:hAnsi="SimSun" w:cs="SimSun"/>
                <w:color w:val="000000"/>
                <w:spacing w:val="0"/>
                <w:w w:val="100"/>
                <w:position w:val="0"/>
              </w:rPr>
              <w:t>） 管理人员或关键技术人员纷纷流失；</w:t>
            </w:r>
          </w:p>
        </w:tc>
      </w:tr>
    </w:tbl>
    <w:p>
      <w:pPr>
        <w:spacing w:lineRule="exact" w:line="1"/>
        <w:rPr>
          <w:sz w:val="2"/>
          <w:szCs w:val="2"/>
        </w:rPr>
      </w:pPr>
      <w:r>
        <w:br w:type="page"/>
      </w:r>
    </w:p>
    <w:tbl>
      <w:tblPr>
        <w:tblOverlap w:val="never"/>
        <w:jc w:val="center"/>
        <w:tblLayout w:type="fixed"/>
      </w:tblPr>
      <w:tblGrid>
        <w:gridCol w:w="3197"/>
        <w:gridCol w:w="3322"/>
        <w:gridCol w:w="3062"/>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）媒体负面新闻频现；（</w:t>
            </w:r>
            <w:r>
              <w:rPr>
                <w:color w:val="000000"/>
                <w:spacing w:val="0"/>
                <w:w w:val="100"/>
                <w:position w:val="0"/>
              </w:rPr>
              <w:t>5</w:t>
            </w:r>
            <w:r>
              <w:rPr>
                <w:rFonts w:ascii="SimSun" w:eastAsia="SimSun" w:hAnsi="SimSun" w:cs="SimSun"/>
                <w:color w:val="000000"/>
                <w:spacing w:val="0"/>
                <w:w w:val="100"/>
                <w:position w:val="0"/>
              </w:rPr>
              <w:t>）内部 控制评价的结果特别是重大或重要 缺陷未得到整改；（</w:t>
            </w:r>
            <w:r>
              <w:rPr>
                <w:color w:val="000000"/>
                <w:spacing w:val="0"/>
                <w:w w:val="100"/>
                <w:position w:val="0"/>
              </w:rPr>
              <w:t>6</w:t>
            </w:r>
            <w:r>
              <w:rPr>
                <w:rFonts w:ascii="SimSun" w:eastAsia="SimSun" w:hAnsi="SimSun" w:cs="SimSun"/>
                <w:color w:val="000000"/>
                <w:spacing w:val="0"/>
                <w:w w:val="100"/>
                <w:position w:val="0"/>
              </w:rPr>
              <w:t>）重要业务缺乏 制度控制或制度系统性失效。</w:t>
            </w:r>
          </w:p>
        </w:tc>
      </w:tr>
      <w:tr>
        <w:trPr>
          <w:trHeight w:val="445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将财务报告内部控制的缺陷划分为重大 缺陷、重要缺陷和一般缺陷。重大缺陷： 错报</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利润总额的</w:t>
            </w:r>
            <w:r>
              <w:rPr>
                <w:color w:val="000000"/>
                <w:spacing w:val="0"/>
                <w:w w:val="100"/>
                <w:position w:val="0"/>
              </w:rPr>
              <w:t>5%</w:t>
            </w:r>
            <w:r>
              <w:rPr>
                <w:rFonts w:ascii="SimSun" w:eastAsia="SimSun" w:hAnsi="SimSun" w:cs="SimSun"/>
                <w:color w:val="000000"/>
                <w:spacing w:val="0"/>
                <w:w w:val="100"/>
                <w:position w:val="0"/>
              </w:rPr>
              <w:t>；重要缺陷：利润 总额的</w:t>
            </w:r>
            <w:r>
              <w:rPr>
                <w:color w:val="000000"/>
                <w:spacing w:val="0"/>
                <w:w w:val="100"/>
                <w:position w:val="0"/>
              </w:rPr>
              <w:t>3%</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错报〈利润总额的</w:t>
            </w:r>
            <w:r>
              <w:rPr>
                <w:color w:val="000000"/>
                <w:spacing w:val="0"/>
                <w:w w:val="100"/>
                <w:position w:val="0"/>
              </w:rPr>
              <w:t>5%</w:t>
            </w:r>
            <w:r>
              <w:rPr>
                <w:rFonts w:ascii="SimSun" w:eastAsia="SimSun" w:hAnsi="SimSun" w:cs="SimSun"/>
                <w:color w:val="000000"/>
                <w:spacing w:val="0"/>
                <w:w w:val="100"/>
                <w:position w:val="0"/>
              </w:rPr>
              <w:t>； 一 般缺陷错报〈利润总额的</w:t>
            </w: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根据对内部控制目标实现影响程度， 非财务报告内部控制缺陷分为一般 缺陷、重要缺陷和重大缺陷。一般缺 陷：资产总额存在错报，错报金额 〈资产总额</w:t>
            </w:r>
            <w:r>
              <w:rPr>
                <w:color w:val="000000"/>
                <w:spacing w:val="0"/>
                <w:w w:val="100"/>
                <w:position w:val="0"/>
              </w:rPr>
              <w:t xml:space="preserve">0.5% </w:t>
            </w:r>
            <w:r>
              <w:rPr>
                <w:rFonts w:ascii="SimSun" w:eastAsia="SimSun" w:hAnsi="SimSun" w:cs="SimSun"/>
                <w:color w:val="000000"/>
                <w:spacing w:val="0"/>
                <w:w w:val="100"/>
                <w:position w:val="0"/>
              </w:rPr>
              <w:t>,营业收入存在错 报，错报金额〈营业收入总额</w:t>
            </w:r>
            <w:r>
              <w:rPr>
                <w:color w:val="000000"/>
                <w:spacing w:val="0"/>
                <w:w w:val="100"/>
                <w:position w:val="0"/>
              </w:rPr>
              <w:t>0.5%</w:t>
            </w:r>
            <w:r>
              <w:rPr>
                <w:rFonts w:ascii="SimSun" w:eastAsia="SimSun" w:hAnsi="SimSun" w:cs="SimSun"/>
                <w:color w:val="000000"/>
                <w:spacing w:val="0"/>
                <w:w w:val="100"/>
                <w:position w:val="0"/>
              </w:rPr>
              <w:t>； 重要缺陷：资产总额存在错报，资产 总额</w:t>
            </w:r>
            <w:r>
              <w:rPr>
                <w:color w:val="000000"/>
                <w:spacing w:val="0"/>
                <w:w w:val="100"/>
                <w:position w:val="0"/>
              </w:rPr>
              <w:t xml:space="preserve">0.5% </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 xml:space="preserve">错报金额〈资产总额 </w:t>
            </w:r>
            <w:r>
              <w:rPr>
                <w:color w:val="000000"/>
                <w:spacing w:val="0"/>
                <w:w w:val="100"/>
                <w:position w:val="0"/>
              </w:rPr>
              <w:t xml:space="preserve">1% </w:t>
            </w:r>
            <w:r>
              <w:rPr>
                <w:rFonts w:ascii="SimSun" w:eastAsia="SimSun" w:hAnsi="SimSun" w:cs="SimSun"/>
                <w:color w:val="000000"/>
                <w:spacing w:val="0"/>
                <w:w w:val="100"/>
                <w:position w:val="0"/>
              </w:rPr>
              <w:t>，营业收入存在错报，营业收入 总额</w:t>
            </w:r>
            <w:r>
              <w:rPr>
                <w:color w:val="000000"/>
                <w:spacing w:val="0"/>
                <w:w w:val="100"/>
                <w:position w:val="0"/>
              </w:rPr>
              <w:t>0.5%</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错报金额〈营业收入总 额</w:t>
            </w:r>
            <w:r>
              <w:rPr>
                <w:color w:val="000000"/>
                <w:spacing w:val="0"/>
                <w:w w:val="100"/>
                <w:position w:val="0"/>
              </w:rPr>
              <w:t>1%</w:t>
            </w:r>
            <w:r>
              <w:rPr>
                <w:rFonts w:ascii="SimSun" w:eastAsia="SimSun" w:hAnsi="SimSun" w:cs="SimSun"/>
                <w:color w:val="000000"/>
                <w:spacing w:val="0"/>
                <w:w w:val="100"/>
                <w:position w:val="0"/>
              </w:rPr>
              <w:t>；重大缺陷：资产总额存在错 报，错报金额</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资产总额</w:t>
            </w:r>
            <w:r>
              <w:rPr>
                <w:color w:val="000000"/>
                <w:spacing w:val="0"/>
                <w:w w:val="100"/>
                <w:position w:val="0"/>
              </w:rPr>
              <w:t>1%</w:t>
            </w:r>
            <w:r>
              <w:rPr>
                <w:rFonts w:ascii="SimSun" w:eastAsia="SimSun" w:hAnsi="SimSun" w:cs="SimSun"/>
                <w:color w:val="000000"/>
                <w:spacing w:val="0"/>
                <w:w w:val="100"/>
                <w:position w:val="0"/>
              </w:rPr>
              <w:t>，营 业收入存在错报，错报金额</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营业收 入总额</w:t>
            </w:r>
            <w:r>
              <w:rPr>
                <w:color w:val="000000"/>
                <w:spacing w:val="0"/>
                <w:w w:val="100"/>
                <w:position w:val="0"/>
              </w:rPr>
              <w:t>1%</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6160" w:right="0" w:firstLine="0"/>
              <w:jc w:val="left"/>
            </w:pPr>
            <w:r>
              <w:rPr>
                <w:color w:val="000000"/>
                <w:spacing w:val="0"/>
                <w:w w:val="100"/>
                <w:position w:val="0"/>
              </w:rPr>
              <w:t>0</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2</w:t>
      </w:r>
      <w:bookmarkEnd w:id="443"/>
      <w:r>
        <w:rPr>
          <w:color w:val="000000"/>
          <w:spacing w:val="0"/>
          <w:w w:val="100"/>
          <w:position w:val="0"/>
        </w:rPr>
        <w:t>、内部控制审计报告</w:t>
      </w:r>
      <w:bookmarkEnd w:id="441"/>
      <w:bookmarkEnd w:id="442"/>
      <w:bookmarkEnd w:id="444"/>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内部控制审计报告中的审议意见段</w:t>
            </w:r>
          </w:p>
        </w:tc>
      </w:tr>
      <w:tr>
        <w:trPr>
          <w:trHeight w:val="2002"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我们认为，除“导致保留意见的事项”部分所述事项产生的影响外，恒宝股份公司按照《深圳证券交易所上市公司自律 监管指引第</w:t>
            </w:r>
            <w:r>
              <w:rPr>
                <w:color w:val="000000"/>
                <w:spacing w:val="0"/>
                <w:w w:val="100"/>
                <w:position w:val="0"/>
              </w:rPr>
              <w:t>1</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一一</w:t>
            </w:r>
            <w:r>
              <w:rPr>
                <w:rFonts w:ascii="SimSun" w:eastAsia="SimSun" w:hAnsi="SimSun" w:cs="SimSun"/>
                <w:color w:val="000000"/>
                <w:spacing w:val="0"/>
                <w:w w:val="100"/>
                <w:position w:val="0"/>
              </w:rPr>
              <w:t>主板上市公司规范运作》（深证上〔</w:t>
            </w:r>
            <w:r>
              <w:rPr>
                <w:color w:val="000000"/>
                <w:spacing w:val="0"/>
                <w:w w:val="100"/>
                <w:position w:val="0"/>
              </w:rPr>
              <w:t>2022</w:t>
            </w:r>
            <w:r>
              <w:rPr>
                <w:rFonts w:ascii="SimSun" w:eastAsia="SimSun" w:hAnsi="SimSun" w:cs="SimSun"/>
                <w:color w:val="000000"/>
                <w:spacing w:val="0"/>
                <w:w w:val="100"/>
                <w:position w:val="0"/>
              </w:rPr>
              <w:t xml:space="preserve">〕 </w:t>
            </w:r>
            <w:r>
              <w:rPr>
                <w:color w:val="000000"/>
                <w:spacing w:val="0"/>
                <w:w w:val="100"/>
                <w:position w:val="0"/>
              </w:rPr>
              <w:t>13</w:t>
            </w:r>
            <w:r>
              <w:rPr>
                <w:rFonts w:ascii="SimSun" w:eastAsia="SimSun" w:hAnsi="SimSun" w:cs="SimSun"/>
                <w:color w:val="000000"/>
                <w:spacing w:val="0"/>
                <w:w w:val="100"/>
                <w:position w:val="0"/>
              </w:rPr>
              <w:t>号）规定于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日在所有重大方面保持 了有效的财务报告内部控制。</w:t>
            </w:r>
          </w:p>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（导致保留意见的事项：本次鉴证业务中，我们注意到恒宝股份公司的财务报告内部控制存在如下缺陷：恒宝股份公司 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日公告对控股子公司深圳一卡易科技股份有限公司失去控制，恒宝股份公司在对控股子公司管理中存 在缺陷。）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内部控制审计报告全文披露日 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内部控制审计报告全文披露索 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《证券时报》、《中国证券报》、《上海证券报》和网站巨潮网</w:t>
            </w: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保留意见</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会计师事务所是否出具非标准意见的内部控制审计报告</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会计师事务所出具非标准意见的内部控制审计报告的说明</w:t>
      </w:r>
    </w:p>
    <w:p>
      <w:pPr>
        <w:pStyle w:val="Style18"/>
        <w:keepNext w:val="0"/>
        <w:keepLines w:val="0"/>
        <w:widowControl w:val="0"/>
        <w:shd w:val="clear" w:color="auto" w:fill="auto"/>
        <w:bidi w:val="0"/>
        <w:spacing w:before="0" w:after="360" w:line="312" w:lineRule="exact"/>
        <w:ind w:left="0" w:right="0" w:firstLine="0"/>
        <w:jc w:val="center"/>
      </w:pPr>
      <w:r>
        <w:rPr>
          <w:b/>
          <w:bCs/>
          <w:color w:val="000000"/>
          <w:spacing w:val="0"/>
          <w:w w:val="100"/>
          <w:position w:val="0"/>
        </w:rPr>
        <w:t>内部控制鉴证报告</w:t>
      </w:r>
    </w:p>
    <w:p>
      <w:pPr>
        <w:pStyle w:val="Style18"/>
        <w:keepNext w:val="0"/>
        <w:keepLines w:val="0"/>
        <w:widowControl w:val="0"/>
        <w:shd w:val="clear" w:color="auto" w:fill="auto"/>
        <w:bidi w:val="0"/>
        <w:spacing w:before="0" w:after="400" w:line="312" w:lineRule="exact"/>
        <w:ind w:left="0" w:right="0" w:firstLine="0"/>
        <w:jc w:val="right"/>
      </w:pPr>
      <w:r>
        <w:rPr>
          <w:color w:val="000000"/>
          <w:spacing w:val="0"/>
          <w:w w:val="100"/>
          <w:position w:val="0"/>
        </w:rPr>
        <w:t>中兴华审字（2022）第020659号</w:t>
      </w:r>
    </w:p>
    <w:p>
      <w:pPr>
        <w:pStyle w:val="Style18"/>
        <w:keepNext w:val="0"/>
        <w:keepLines w:val="0"/>
        <w:widowControl w:val="0"/>
        <w:shd w:val="clear" w:color="auto" w:fill="auto"/>
        <w:bidi w:val="0"/>
        <w:spacing w:before="0" w:after="500" w:line="312" w:lineRule="exact"/>
        <w:ind w:left="0" w:right="0" w:firstLine="0"/>
        <w:jc w:val="left"/>
      </w:pPr>
      <w:r>
        <w:rPr>
          <w:b/>
          <w:bCs/>
          <w:color w:val="000000"/>
          <w:spacing w:val="0"/>
          <w:w w:val="100"/>
          <w:position w:val="0"/>
        </w:rPr>
        <w:t>恒宝股份有限公司全体股东：</w:t>
      </w:r>
    </w:p>
    <w:p>
      <w:pPr>
        <w:pStyle w:val="Style18"/>
        <w:keepNext w:val="0"/>
        <w:keepLines w:val="0"/>
        <w:widowControl w:val="0"/>
        <w:shd w:val="clear" w:color="auto" w:fill="auto"/>
        <w:bidi w:val="0"/>
        <w:spacing w:before="0" w:after="140" w:line="298" w:lineRule="exact"/>
        <w:ind w:left="0" w:right="0"/>
        <w:jc w:val="both"/>
      </w:pPr>
      <w:r>
        <w:rPr>
          <w:color w:val="000000"/>
          <w:spacing w:val="0"/>
          <w:w w:val="100"/>
          <w:position w:val="0"/>
        </w:rPr>
        <w:t>我们鉴证了后附的恒宝股份有限公司（以下简称恒宝股份公司）管理层按照《深圳证券交易所上市公司自律监管指引第 1号</w:t>
      </w:r>
      <w:r>
        <w:rPr>
          <w:color w:val="000000"/>
          <w:spacing w:val="0"/>
          <w:w w:val="100"/>
          <w:position w:val="0"/>
        </w:rPr>
        <w:t>一一</w:t>
      </w:r>
      <w:r>
        <w:rPr>
          <w:color w:val="000000"/>
          <w:spacing w:val="0"/>
          <w:w w:val="100"/>
          <w:position w:val="0"/>
        </w:rPr>
        <w:t>主板上市公司规范运作》（深圳上〔2022〕 13号）规定对2021年12月31日财务报告内部控制有效性作出的认定。</w:t>
      </w:r>
    </w:p>
    <w:p>
      <w:pPr>
        <w:pStyle w:val="Style18"/>
        <w:keepNext w:val="0"/>
        <w:keepLines w:val="0"/>
        <w:widowControl w:val="0"/>
        <w:shd w:val="clear" w:color="auto" w:fill="auto"/>
        <w:tabs>
          <w:tab w:pos="820" w:val="left"/>
        </w:tabs>
        <w:bidi w:val="0"/>
        <w:spacing w:before="0" w:after="140" w:line="312" w:lineRule="exact"/>
        <w:ind w:left="0" w:right="0"/>
        <w:jc w:val="both"/>
      </w:pPr>
      <w:bookmarkStart w:id="445" w:name="bookmark445"/>
      <w:r>
        <w:rPr>
          <w:b/>
          <w:bCs/>
          <w:color w:val="000000"/>
          <w:spacing w:val="0"/>
          <w:w w:val="100"/>
          <w:position w:val="0"/>
        </w:rPr>
        <w:t>一</w:t>
      </w:r>
      <w:bookmarkEnd w:id="445"/>
      <w:r>
        <w:rPr>
          <w:b/>
          <w:bCs/>
          <w:color w:val="000000"/>
          <w:spacing w:val="0"/>
          <w:w w:val="100"/>
          <w:position w:val="0"/>
        </w:rPr>
        <w:t>、</w:t>
        <w:tab/>
        <w:t>重大固有限制的说明</w:t>
      </w:r>
    </w:p>
    <w:p>
      <w:pPr>
        <w:pStyle w:val="Style18"/>
        <w:keepNext w:val="0"/>
        <w:keepLines w:val="0"/>
        <w:widowControl w:val="0"/>
        <w:shd w:val="clear" w:color="auto" w:fill="auto"/>
        <w:bidi w:val="0"/>
        <w:spacing w:before="0" w:after="140" w:line="312" w:lineRule="exact"/>
        <w:ind w:left="0" w:right="0"/>
        <w:jc w:val="both"/>
      </w:pPr>
      <w:r>
        <w:rPr>
          <w:color w:val="000000"/>
          <w:spacing w:val="0"/>
          <w:w w:val="100"/>
          <w:position w:val="0"/>
        </w:rPr>
        <w:t>内部控制具有固有限制，存在由于错误或舞弊而导致错报发生和未被发现的可能性。此外，由于情况的变化可能导致内 部控制变得不恰当，或降低对控制政策、程序遵循的程度，根据内部控制评价结果推测未来内部控制有效性具有一定的风险。</w:t>
      </w:r>
    </w:p>
    <w:p>
      <w:pPr>
        <w:pStyle w:val="Style18"/>
        <w:keepNext w:val="0"/>
        <w:keepLines w:val="0"/>
        <w:widowControl w:val="0"/>
        <w:shd w:val="clear" w:color="auto" w:fill="auto"/>
        <w:tabs>
          <w:tab w:pos="820" w:val="left"/>
        </w:tabs>
        <w:bidi w:val="0"/>
        <w:spacing w:before="0" w:after="140" w:line="312" w:lineRule="exact"/>
        <w:ind w:left="0" w:right="0"/>
        <w:jc w:val="both"/>
      </w:pPr>
      <w:bookmarkStart w:id="446" w:name="bookmark446"/>
      <w:r>
        <w:rPr>
          <w:b/>
          <w:bCs/>
          <w:color w:val="000000"/>
          <w:spacing w:val="0"/>
          <w:w w:val="100"/>
          <w:position w:val="0"/>
        </w:rPr>
        <w:t>二</w:t>
      </w:r>
      <w:bookmarkEnd w:id="446"/>
      <w:r>
        <w:rPr>
          <w:b/>
          <w:bCs/>
          <w:color w:val="000000"/>
          <w:spacing w:val="0"/>
          <w:w w:val="100"/>
          <w:position w:val="0"/>
        </w:rPr>
        <w:t>、</w:t>
        <w:tab/>
        <w:t>对报告使用者和使用目的的限定</w:t>
      </w:r>
    </w:p>
    <w:p>
      <w:pPr>
        <w:pStyle w:val="Style18"/>
        <w:keepNext w:val="0"/>
        <w:keepLines w:val="0"/>
        <w:widowControl w:val="0"/>
        <w:shd w:val="clear" w:color="auto" w:fill="auto"/>
        <w:bidi w:val="0"/>
        <w:spacing w:before="0" w:after="140" w:line="307" w:lineRule="exact"/>
        <w:ind w:left="0" w:right="0"/>
        <w:jc w:val="both"/>
      </w:pPr>
      <w:r>
        <w:rPr>
          <w:color w:val="000000"/>
          <w:spacing w:val="0"/>
          <w:w w:val="100"/>
          <w:position w:val="0"/>
        </w:rPr>
        <w:t>本鉴证报告仅供恒宝股份公司披露2021年度报告时使用，不得用作任何其他目的。我们同意本鉴证报告作为恒宝股份公 司2021年度报告的必备文件，随同其他材料一起报送并对外披露。</w:t>
      </w:r>
    </w:p>
    <w:p>
      <w:pPr>
        <w:pStyle w:val="Style18"/>
        <w:keepNext w:val="0"/>
        <w:keepLines w:val="0"/>
        <w:widowControl w:val="0"/>
        <w:shd w:val="clear" w:color="auto" w:fill="auto"/>
        <w:tabs>
          <w:tab w:pos="825" w:val="left"/>
        </w:tabs>
        <w:bidi w:val="0"/>
        <w:spacing w:before="0" w:after="140" w:line="312" w:lineRule="exact"/>
        <w:ind w:left="0" w:right="0"/>
        <w:jc w:val="both"/>
      </w:pPr>
      <w:bookmarkStart w:id="447" w:name="bookmark447"/>
      <w:r>
        <w:rPr>
          <w:b/>
          <w:bCs/>
          <w:color w:val="000000"/>
          <w:spacing w:val="0"/>
          <w:w w:val="100"/>
          <w:position w:val="0"/>
        </w:rPr>
        <w:t>三</w:t>
      </w:r>
      <w:bookmarkEnd w:id="447"/>
      <w:r>
        <w:rPr>
          <w:b/>
          <w:bCs/>
          <w:color w:val="000000"/>
          <w:spacing w:val="0"/>
          <w:w w:val="100"/>
          <w:position w:val="0"/>
        </w:rPr>
        <w:t>、</w:t>
        <w:tab/>
        <w:t>管理层的责任</w:t>
      </w:r>
    </w:p>
    <w:p>
      <w:pPr>
        <w:pStyle w:val="Style18"/>
        <w:keepNext w:val="0"/>
        <w:keepLines w:val="0"/>
        <w:widowControl w:val="0"/>
        <w:shd w:val="clear" w:color="auto" w:fill="auto"/>
        <w:bidi w:val="0"/>
        <w:spacing w:before="0" w:after="140" w:line="312" w:lineRule="exact"/>
        <w:ind w:left="0" w:right="0"/>
        <w:jc w:val="both"/>
      </w:pPr>
      <w:r>
        <w:rPr>
          <w:color w:val="000000"/>
          <w:spacing w:val="0"/>
          <w:w w:val="100"/>
          <w:position w:val="0"/>
        </w:rPr>
        <w:t>恒宝股份公司管理层的责任是建立健全内部控制并保持其有效性，同时按照《深圳证券交易所上市公司自律监管指引第 1号一主板上市公司规范运作》（深圳上〔2022〕13号）规定对2021年12月31日内部控制有效性作出认定，并对上述认定负 责。</w:t>
      </w:r>
    </w:p>
    <w:p>
      <w:pPr>
        <w:pStyle w:val="Style18"/>
        <w:keepNext w:val="0"/>
        <w:keepLines w:val="0"/>
        <w:widowControl w:val="0"/>
        <w:shd w:val="clear" w:color="auto" w:fill="auto"/>
        <w:tabs>
          <w:tab w:pos="825" w:val="left"/>
        </w:tabs>
        <w:bidi w:val="0"/>
        <w:spacing w:before="0" w:after="140" w:line="312" w:lineRule="exact"/>
        <w:ind w:left="0" w:right="0"/>
        <w:jc w:val="both"/>
      </w:pPr>
      <w:bookmarkStart w:id="448" w:name="bookmark448"/>
      <w:r>
        <w:rPr>
          <w:b/>
          <w:bCs/>
          <w:color w:val="000000"/>
          <w:spacing w:val="0"/>
          <w:w w:val="100"/>
          <w:position w:val="0"/>
        </w:rPr>
        <w:t>四</w:t>
      </w:r>
      <w:bookmarkEnd w:id="448"/>
      <w:r>
        <w:rPr>
          <w:b/>
          <w:bCs/>
          <w:color w:val="000000"/>
          <w:spacing w:val="0"/>
          <w:w w:val="100"/>
          <w:position w:val="0"/>
        </w:rPr>
        <w:t>、</w:t>
        <w:tab/>
        <w:t>注册会计师的责任</w:t>
      </w:r>
    </w:p>
    <w:p>
      <w:pPr>
        <w:pStyle w:val="Style18"/>
        <w:keepNext w:val="0"/>
        <w:keepLines w:val="0"/>
        <w:widowControl w:val="0"/>
        <w:shd w:val="clear" w:color="auto" w:fill="auto"/>
        <w:bidi w:val="0"/>
        <w:spacing w:before="0" w:after="140" w:line="312" w:lineRule="exact"/>
        <w:ind w:left="0" w:right="0"/>
        <w:jc w:val="left"/>
      </w:pPr>
      <w:r>
        <w:rPr>
          <w:color w:val="000000"/>
          <w:spacing w:val="0"/>
          <w:w w:val="100"/>
          <w:position w:val="0"/>
        </w:rPr>
        <w:t>我们的责任是在实施鉴证工作的基础上对财务报告内部控制有效性发表鉴证意见。</w:t>
      </w:r>
    </w:p>
    <w:p>
      <w:pPr>
        <w:pStyle w:val="Style18"/>
        <w:keepNext w:val="0"/>
        <w:keepLines w:val="0"/>
        <w:widowControl w:val="0"/>
        <w:shd w:val="clear" w:color="auto" w:fill="auto"/>
        <w:tabs>
          <w:tab w:pos="825" w:val="left"/>
        </w:tabs>
        <w:bidi w:val="0"/>
        <w:spacing w:before="0" w:after="140" w:line="312" w:lineRule="exact"/>
        <w:ind w:left="0" w:right="0"/>
        <w:jc w:val="both"/>
      </w:pPr>
      <w:bookmarkStart w:id="449" w:name="bookmark449"/>
      <w:r>
        <w:rPr>
          <w:b/>
          <w:bCs/>
          <w:color w:val="000000"/>
          <w:spacing w:val="0"/>
          <w:w w:val="100"/>
          <w:position w:val="0"/>
        </w:rPr>
        <w:t>五</w:t>
      </w:r>
      <w:bookmarkEnd w:id="449"/>
      <w:r>
        <w:rPr>
          <w:b/>
          <w:bCs/>
          <w:color w:val="000000"/>
          <w:spacing w:val="0"/>
          <w:w w:val="100"/>
          <w:position w:val="0"/>
        </w:rPr>
        <w:t>、</w:t>
        <w:tab/>
        <w:t>工作概述</w:t>
      </w:r>
    </w:p>
    <w:p>
      <w:pPr>
        <w:pStyle w:val="Style18"/>
        <w:keepNext w:val="0"/>
        <w:keepLines w:val="0"/>
        <w:widowControl w:val="0"/>
        <w:shd w:val="clear" w:color="auto" w:fill="auto"/>
        <w:bidi w:val="0"/>
        <w:spacing w:before="0" w:after="140" w:line="314" w:lineRule="exact"/>
        <w:ind w:left="0" w:right="0"/>
        <w:jc w:val="both"/>
      </w:pPr>
      <w:r>
        <w:rPr>
          <w:color w:val="000000"/>
          <w:spacing w:val="0"/>
          <w:w w:val="100"/>
          <w:position w:val="0"/>
        </w:rPr>
        <w:t>我们按照《中国注册会计师其他鉴证业务准则第3101号——历史财务信息审计或审阅以外的鉴证业务》的规定执行了鉴 证业务。上述规定要求我们计划和实施鉴证工作，以对鉴证对象信息是否不存在重大错报获取合理保证。在鉴证过程中，我 们实施了包括了解、测试和评价内部控制系统设计的合理性和执行的有效性，以及我们认为必要的其他程序。我们相信，我 们的鉴证工作为发表意见提供了合理的基础。</w:t>
      </w:r>
    </w:p>
    <w:p>
      <w:pPr>
        <w:pStyle w:val="Style18"/>
        <w:keepNext w:val="0"/>
        <w:keepLines w:val="0"/>
        <w:widowControl w:val="0"/>
        <w:shd w:val="clear" w:color="auto" w:fill="auto"/>
        <w:tabs>
          <w:tab w:pos="825" w:val="left"/>
        </w:tabs>
        <w:bidi w:val="0"/>
        <w:spacing w:before="0" w:after="140" w:line="312" w:lineRule="exact"/>
        <w:ind w:left="0" w:right="0"/>
        <w:jc w:val="both"/>
      </w:pPr>
      <w:bookmarkStart w:id="450" w:name="bookmark450"/>
      <w:r>
        <w:rPr>
          <w:b/>
          <w:bCs/>
          <w:color w:val="000000"/>
          <w:spacing w:val="0"/>
          <w:w w:val="100"/>
          <w:position w:val="0"/>
        </w:rPr>
        <w:t>六</w:t>
      </w:r>
      <w:bookmarkEnd w:id="450"/>
      <w:r>
        <w:rPr>
          <w:b/>
          <w:bCs/>
          <w:color w:val="000000"/>
          <w:spacing w:val="0"/>
          <w:w w:val="100"/>
          <w:position w:val="0"/>
        </w:rPr>
        <w:t>、</w:t>
        <w:tab/>
        <w:t>导致保留意见的事项</w:t>
      </w:r>
    </w:p>
    <w:p>
      <w:pPr>
        <w:pStyle w:val="Style18"/>
        <w:keepNext w:val="0"/>
        <w:keepLines w:val="0"/>
        <w:widowControl w:val="0"/>
        <w:shd w:val="clear" w:color="auto" w:fill="auto"/>
        <w:bidi w:val="0"/>
        <w:spacing w:before="0" w:after="0" w:line="336" w:lineRule="exact"/>
        <w:ind w:left="0" w:right="0"/>
        <w:jc w:val="both"/>
      </w:pPr>
      <w:r>
        <w:rPr>
          <w:color w:val="000000"/>
          <w:spacing w:val="0"/>
          <w:w w:val="100"/>
          <w:position w:val="0"/>
        </w:rPr>
        <w:t>本次鉴证业务中，我们注意到恒宝股份公司的财务报告内部控制存在如下缺陷：</w:t>
      </w:r>
    </w:p>
    <w:p>
      <w:pPr>
        <w:pStyle w:val="Style18"/>
        <w:keepNext w:val="0"/>
        <w:keepLines w:val="0"/>
        <w:widowControl w:val="0"/>
        <w:shd w:val="clear" w:color="auto" w:fill="auto"/>
        <w:bidi w:val="0"/>
        <w:spacing w:before="0" w:after="140" w:line="336" w:lineRule="exact"/>
        <w:ind w:left="0" w:right="0"/>
        <w:jc w:val="both"/>
      </w:pPr>
      <w:r>
        <w:rPr>
          <w:color w:val="000000"/>
          <w:spacing w:val="0"/>
          <w:w w:val="100"/>
          <w:position w:val="0"/>
        </w:rPr>
        <w:t>恒宝股份公司于2021年4月1日披露了对控股子公司深圳一卡易科技股份有限公司失去控制，恒宝股份公司在对控股子公 司管理中存在缺陷。</w:t>
      </w:r>
    </w:p>
    <w:p>
      <w:pPr>
        <w:pStyle w:val="Style18"/>
        <w:keepNext w:val="0"/>
        <w:keepLines w:val="0"/>
        <w:widowControl w:val="0"/>
        <w:shd w:val="clear" w:color="auto" w:fill="auto"/>
        <w:tabs>
          <w:tab w:pos="825" w:val="left"/>
        </w:tabs>
        <w:bidi w:val="0"/>
        <w:spacing w:before="0" w:after="140" w:line="312" w:lineRule="exact"/>
        <w:ind w:left="0" w:right="0"/>
        <w:jc w:val="both"/>
      </w:pPr>
      <w:bookmarkStart w:id="451" w:name="bookmark451"/>
      <w:r>
        <w:rPr>
          <w:b/>
          <w:bCs/>
          <w:color w:val="000000"/>
          <w:spacing w:val="0"/>
          <w:w w:val="100"/>
          <w:position w:val="0"/>
        </w:rPr>
        <w:t>七</w:t>
      </w:r>
      <w:bookmarkEnd w:id="451"/>
      <w:r>
        <w:rPr>
          <w:b/>
          <w:bCs/>
          <w:color w:val="000000"/>
          <w:spacing w:val="0"/>
          <w:w w:val="100"/>
          <w:position w:val="0"/>
        </w:rPr>
        <w:t>、</w:t>
        <w:tab/>
        <w:t>鉴证结论</w:t>
      </w:r>
    </w:p>
    <w:p>
      <w:pPr>
        <w:pStyle w:val="Style18"/>
        <w:keepNext w:val="0"/>
        <w:keepLines w:val="0"/>
        <w:widowControl w:val="0"/>
        <w:shd w:val="clear" w:color="auto" w:fill="auto"/>
        <w:bidi w:val="0"/>
        <w:spacing w:before="0" w:after="140" w:line="310" w:lineRule="exact"/>
        <w:ind w:left="0" w:right="0"/>
        <w:jc w:val="both"/>
      </w:pPr>
      <w:r>
        <w:rPr>
          <w:color w:val="000000"/>
          <w:spacing w:val="0"/>
          <w:w w:val="100"/>
          <w:position w:val="0"/>
        </w:rPr>
        <w:t>我们认为，除</w:t>
      </w:r>
      <w:r>
        <w:rPr>
          <w:rFonts w:ascii="Times New Roman" w:eastAsia="Times New Roman" w:hAnsi="Times New Roman" w:cs="Times New Roman"/>
          <w:color w:val="000000"/>
          <w:spacing w:val="0"/>
          <w:w w:val="100"/>
          <w:position w:val="0"/>
        </w:rPr>
        <w:t>“</w:t>
      </w:r>
      <w:r>
        <w:rPr>
          <w:color w:val="000000"/>
          <w:spacing w:val="0"/>
          <w:w w:val="100"/>
          <w:position w:val="0"/>
        </w:rPr>
        <w:t>导致保留意见的事项</w:t>
      </w:r>
      <w:r>
        <w:rPr>
          <w:rFonts w:ascii="Times New Roman" w:eastAsia="Times New Roman" w:hAnsi="Times New Roman" w:cs="Times New Roman"/>
          <w:color w:val="000000"/>
          <w:spacing w:val="0"/>
          <w:w w:val="100"/>
          <w:position w:val="0"/>
        </w:rPr>
        <w:t>”</w:t>
      </w:r>
      <w:r>
        <w:rPr>
          <w:color w:val="000000"/>
          <w:spacing w:val="0"/>
          <w:w w:val="100"/>
          <w:position w:val="0"/>
        </w:rPr>
        <w:t>部分所述事项产生的影响外，恒宝股份公司按照《深圳证券交易所上市公司自律监 管指引第1号</w:t>
      </w:r>
      <w:r>
        <w:rPr>
          <w:color w:val="000000"/>
          <w:spacing w:val="0"/>
          <w:w w:val="100"/>
          <w:position w:val="0"/>
        </w:rPr>
        <w:t>一一</w:t>
      </w:r>
      <w:r>
        <w:rPr>
          <w:color w:val="000000"/>
          <w:spacing w:val="0"/>
          <w:w w:val="100"/>
          <w:position w:val="0"/>
        </w:rPr>
        <w:t>主板上市公司规范运作》（深证上〔2022〕13号）规定于2021年12月31日在所有重大方面保持了有效的财务 报告内部控制。</w:t>
      </w:r>
    </w:p>
    <w:p>
      <w:pPr>
        <w:pStyle w:val="Style18"/>
        <w:keepNext w:val="0"/>
        <w:keepLines w:val="0"/>
        <w:widowControl w:val="0"/>
        <w:shd w:val="clear" w:color="auto" w:fill="auto"/>
        <w:bidi w:val="0"/>
        <w:spacing w:before="0" w:after="540" w:line="240" w:lineRule="auto"/>
        <w:ind w:left="0" w:right="0"/>
        <w:jc w:val="left"/>
      </w:pPr>
      <w:r>
        <w:rPr>
          <w:color w:val="000000"/>
          <w:spacing w:val="0"/>
          <w:w w:val="100"/>
          <w:position w:val="0"/>
        </w:rPr>
        <w:t>本结论是在受到鉴证报告中指出的固有限制的条件下形成的。</w:t>
      </w:r>
    </w:p>
    <w:p>
      <w:pPr>
        <w:pStyle w:val="Style18"/>
        <w:keepNext w:val="0"/>
        <w:keepLines w:val="0"/>
        <w:widowControl w:val="0"/>
        <w:shd w:val="clear" w:color="auto" w:fill="auto"/>
        <w:tabs>
          <w:tab w:pos="4631" w:val="left"/>
        </w:tabs>
        <w:bidi w:val="0"/>
        <w:spacing w:before="0" w:after="200" w:line="240" w:lineRule="auto"/>
        <w:ind w:left="0" w:right="0" w:firstLine="820"/>
        <w:jc w:val="left"/>
      </w:pPr>
      <w:r>
        <w:rPr>
          <w:color w:val="000000"/>
          <w:spacing w:val="0"/>
          <w:w w:val="100"/>
          <w:position w:val="0"/>
        </w:rPr>
        <w:t>中兴华会计师事务所（特殊普通合伙）</w:t>
        <w:tab/>
        <w:t>中国注册会计师：汪军</w:t>
      </w:r>
    </w:p>
    <w:p>
      <w:pPr>
        <w:pStyle w:val="Style18"/>
        <w:keepNext w:val="0"/>
        <w:keepLines w:val="0"/>
        <w:widowControl w:val="0"/>
        <w:shd w:val="clear" w:color="auto" w:fill="auto"/>
        <w:tabs>
          <w:tab w:pos="4631" w:val="left"/>
        </w:tabs>
        <w:bidi w:val="0"/>
        <w:spacing w:before="0" w:after="1120" w:line="240" w:lineRule="auto"/>
        <w:ind w:left="1900" w:right="0" w:firstLine="0"/>
        <w:jc w:val="left"/>
      </w:pPr>
      <w:r>
        <w:rPr>
          <w:color w:val="000000"/>
          <w:spacing w:val="0"/>
          <w:w w:val="100"/>
          <w:position w:val="0"/>
        </w:rPr>
        <w:t>中国•北京</w:t>
        <w:tab/>
        <w:t>中国注册会计师：陈桂春</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”是□否</w:t>
      </w:r>
    </w:p>
    <w:p>
      <w:pPr>
        <w:pStyle w:val="Style23"/>
        <w:keepNext/>
        <w:keepLines/>
        <w:widowControl w:val="0"/>
        <w:shd w:val="clear" w:color="auto" w:fill="auto"/>
        <w:bidi w:val="0"/>
        <w:spacing w:before="0" w:after="360" w:line="240" w:lineRule="auto"/>
        <w:ind w:left="0" w:right="0" w:firstLine="0"/>
        <w:jc w:val="left"/>
      </w:pPr>
      <w:bookmarkStart w:id="452" w:name="bookmark452"/>
      <w:bookmarkStart w:id="453" w:name="bookmark453"/>
      <w:bookmarkStart w:id="454" w:name="bookmark454"/>
      <w:r>
        <w:rPr>
          <w:color w:val="000000"/>
          <w:spacing w:val="0"/>
          <w:w w:val="100"/>
          <w:position w:val="0"/>
          <w:sz w:val="24"/>
          <w:szCs w:val="24"/>
        </w:rPr>
        <w:t>十五、上市公司治理专项行动自查问题整改情况</w:t>
      </w:r>
      <w:bookmarkEnd w:id="452"/>
      <w:bookmarkEnd w:id="453"/>
      <w:bookmarkEnd w:id="454"/>
    </w:p>
    <w:p>
      <w:pPr>
        <w:pStyle w:val="Style1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4" w:right="1048" w:bottom="1441" w:left="1075" w:header="0" w:footer="3" w:gutter="0"/>
          <w:cols w:space="720"/>
          <w:noEndnote/>
          <w:rtlGutter w:val="0"/>
          <w:docGrid w:linePitch="360"/>
        </w:sectPr>
      </w:pPr>
      <w:r>
        <w:rPr>
          <w:color w:val="000000"/>
          <w:spacing w:val="0"/>
          <w:w w:val="100"/>
          <w:position w:val="0"/>
        </w:rPr>
        <w:t>不适用</w:t>
      </w:r>
    </w:p>
    <w:p>
      <w:pPr>
        <w:pStyle w:val="Style10"/>
        <w:keepNext/>
        <w:keepLines/>
        <w:widowControl w:val="0"/>
        <w:shd w:val="clear" w:color="auto" w:fill="auto"/>
        <w:bidi w:val="0"/>
        <w:spacing w:before="580" w:after="540" w:line="240" w:lineRule="auto"/>
        <w:ind w:left="0" w:right="0" w:firstLine="0"/>
        <w:jc w:val="center"/>
      </w:pPr>
      <w:bookmarkStart w:id="455" w:name="bookmark455"/>
      <w:bookmarkStart w:id="456" w:name="bookmark456"/>
      <w:bookmarkStart w:id="457" w:name="bookmark457"/>
      <w:r>
        <w:rPr>
          <w:color w:val="000000"/>
          <w:spacing w:val="0"/>
          <w:w w:val="100"/>
          <w:position w:val="0"/>
        </w:rPr>
        <w:t>第五节环境和社会责任</w:t>
      </w:r>
      <w:bookmarkEnd w:id="455"/>
      <w:bookmarkEnd w:id="456"/>
      <w:bookmarkEnd w:id="457"/>
    </w:p>
    <w:p>
      <w:pPr>
        <w:pStyle w:val="Style23"/>
        <w:keepNext/>
        <w:keepLines/>
        <w:widowControl w:val="0"/>
        <w:shd w:val="clear" w:color="auto" w:fill="auto"/>
        <w:bidi w:val="0"/>
        <w:spacing w:before="0" w:after="36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sz w:val="24"/>
          <w:szCs w:val="24"/>
        </w:rPr>
        <w:t>一</w:t>
      </w:r>
      <w:bookmarkEnd w:id="460"/>
      <w:r>
        <w:rPr>
          <w:color w:val="000000"/>
          <w:spacing w:val="0"/>
          <w:w w:val="100"/>
          <w:position w:val="0"/>
          <w:sz w:val="24"/>
          <w:szCs w:val="24"/>
        </w:rPr>
        <w:t>、重大环保问题</w:t>
      </w:r>
      <w:bookmarkEnd w:id="458"/>
      <w:bookmarkEnd w:id="459"/>
      <w:bookmarkEnd w:id="461"/>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公司或子公司名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处罚原因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违规情形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处罚结果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360" w:line="316"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26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sz w:val="24"/>
          <w:szCs w:val="24"/>
        </w:rPr>
        <w:t>二</w:t>
      </w:r>
      <w:bookmarkEnd w:id="464"/>
      <w:r>
        <w:rPr>
          <w:color w:val="000000"/>
          <w:spacing w:val="0"/>
          <w:w w:val="100"/>
          <w:position w:val="0"/>
          <w:sz w:val="24"/>
          <w:szCs w:val="24"/>
        </w:rPr>
        <w:t>、社会责任情况</w:t>
      </w:r>
      <w:bookmarkEnd w:id="462"/>
      <w:bookmarkEnd w:id="463"/>
      <w:bookmarkEnd w:id="465"/>
    </w:p>
    <w:p>
      <w:pPr>
        <w:pStyle w:val="Style18"/>
        <w:keepNext w:val="0"/>
        <w:keepLines w:val="0"/>
        <w:widowControl w:val="0"/>
        <w:numPr>
          <w:ilvl w:val="0"/>
          <w:numId w:val="15"/>
        </w:numPr>
        <w:shd w:val="clear" w:color="auto" w:fill="auto"/>
        <w:tabs>
          <w:tab w:pos="901" w:val="left"/>
        </w:tabs>
        <w:bidi w:val="0"/>
        <w:spacing w:before="0" w:after="0" w:line="316" w:lineRule="exact"/>
        <w:ind w:left="0" w:right="0"/>
        <w:jc w:val="both"/>
      </w:pPr>
      <w:bookmarkStart w:id="466" w:name="bookmark466"/>
      <w:bookmarkEnd w:id="466"/>
      <w:r>
        <w:rPr>
          <w:color w:val="000000"/>
          <w:spacing w:val="0"/>
          <w:w w:val="100"/>
          <w:position w:val="0"/>
        </w:rPr>
        <w:t>保障股东特别是中小股东的权益的责任：规范运作公司</w:t>
      </w:r>
      <w:r>
        <w:rPr>
          <w:rFonts w:ascii="Times New Roman" w:eastAsia="Times New Roman" w:hAnsi="Times New Roman" w:cs="Times New Roman"/>
          <w:color w:val="000000"/>
          <w:spacing w:val="0"/>
          <w:w w:val="100"/>
          <w:position w:val="0"/>
        </w:rPr>
        <w:t>“</w:t>
      </w:r>
      <w:r>
        <w:rPr>
          <w:color w:val="000000"/>
          <w:spacing w:val="0"/>
          <w:w w:val="100"/>
          <w:position w:val="0"/>
        </w:rPr>
        <w:t>三会</w:t>
      </w:r>
      <w:r>
        <w:rPr>
          <w:rFonts w:ascii="Times New Roman" w:eastAsia="Times New Roman" w:hAnsi="Times New Roman" w:cs="Times New Roman"/>
          <w:color w:val="000000"/>
          <w:spacing w:val="0"/>
          <w:w w:val="100"/>
          <w:position w:val="0"/>
        </w:rPr>
        <w:t>”</w:t>
      </w:r>
      <w:r>
        <w:rPr>
          <w:color w:val="000000"/>
          <w:spacing w:val="0"/>
          <w:w w:val="100"/>
          <w:position w:val="0"/>
        </w:rPr>
        <w:t>，及时准确完整地披露相关信息；建立投资者关系 平台，及时回答投资者的提问；做好投资者调研接待，真实完整介绍公司的经营现状和发展战略，确保广大投资者能公开、 公平地获得公司信息，了解公司经营状况。</w:t>
      </w:r>
    </w:p>
    <w:p>
      <w:pPr>
        <w:pStyle w:val="Style18"/>
        <w:keepNext w:val="0"/>
        <w:keepLines w:val="0"/>
        <w:widowControl w:val="0"/>
        <w:numPr>
          <w:ilvl w:val="0"/>
          <w:numId w:val="15"/>
        </w:numPr>
        <w:shd w:val="clear" w:color="auto" w:fill="auto"/>
        <w:tabs>
          <w:tab w:pos="901" w:val="left"/>
        </w:tabs>
        <w:bidi w:val="0"/>
        <w:spacing w:before="0" w:after="0" w:line="316" w:lineRule="exact"/>
        <w:ind w:left="0" w:right="0"/>
        <w:jc w:val="both"/>
      </w:pPr>
      <w:bookmarkStart w:id="467" w:name="bookmark467"/>
      <w:bookmarkEnd w:id="467"/>
      <w:r>
        <w:rPr>
          <w:color w:val="000000"/>
          <w:spacing w:val="0"/>
          <w:w w:val="100"/>
          <w:position w:val="0"/>
        </w:rPr>
        <w:t>保护员工合法权益的责任：严格按照国家相关法律法规建立员工用工制度和保障制度，注重员工工作环境的改造 和优化，特殊工种享有特种补贴，公司通过了</w:t>
      </w:r>
      <w:r>
        <w:rPr>
          <w:rFonts w:ascii="Times New Roman" w:eastAsia="Times New Roman" w:hAnsi="Times New Roman" w:cs="Times New Roman"/>
          <w:color w:val="000000"/>
          <w:spacing w:val="0"/>
          <w:w w:val="100"/>
          <w:position w:val="0"/>
        </w:rPr>
        <w:t>OHSAS18001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2007</w:t>
      </w:r>
      <w:r>
        <w:rPr>
          <w:color w:val="000000"/>
          <w:spacing w:val="0"/>
          <w:w w:val="100"/>
          <w:position w:val="0"/>
        </w:rPr>
        <w:t>职业健康安全管理体系；积极发挥工会的作用，维护员工 个人合法权益；建立员工培训和持续教育制度，注重员工素质的培养和提高，建立人才成长通道；重视企业文化建设，构建 企业与员工共同发展的环境。</w:t>
      </w:r>
    </w:p>
    <w:p>
      <w:pPr>
        <w:pStyle w:val="Style18"/>
        <w:keepNext w:val="0"/>
        <w:keepLines w:val="0"/>
        <w:widowControl w:val="0"/>
        <w:numPr>
          <w:ilvl w:val="0"/>
          <w:numId w:val="15"/>
        </w:numPr>
        <w:shd w:val="clear" w:color="auto" w:fill="auto"/>
        <w:tabs>
          <w:tab w:pos="896" w:val="left"/>
        </w:tabs>
        <w:bidi w:val="0"/>
        <w:spacing w:before="0" w:after="0" w:line="316" w:lineRule="exact"/>
        <w:ind w:left="0" w:right="0"/>
        <w:jc w:val="both"/>
      </w:pPr>
      <w:bookmarkStart w:id="468" w:name="bookmark468"/>
      <w:bookmarkEnd w:id="468"/>
      <w:r>
        <w:rPr>
          <w:color w:val="000000"/>
          <w:spacing w:val="0"/>
          <w:w w:val="100"/>
          <w:position w:val="0"/>
        </w:rPr>
        <w:t>保护债权人、消费者合法权益的责任：公司是江苏省</w:t>
      </w:r>
      <w:r>
        <w:rPr>
          <w:rFonts w:ascii="Times New Roman" w:eastAsia="Times New Roman" w:hAnsi="Times New Roman" w:cs="Times New Roman"/>
          <w:color w:val="000000"/>
          <w:spacing w:val="0"/>
          <w:w w:val="100"/>
          <w:position w:val="0"/>
        </w:rPr>
        <w:t>“</w:t>
      </w:r>
      <w:r>
        <w:rPr>
          <w:color w:val="000000"/>
          <w:spacing w:val="0"/>
          <w:w w:val="100"/>
          <w:position w:val="0"/>
        </w:rPr>
        <w:t>重合同守信用</w:t>
      </w:r>
      <w:r>
        <w:rPr>
          <w:rFonts w:ascii="Times New Roman" w:eastAsia="Times New Roman" w:hAnsi="Times New Roman" w:cs="Times New Roman"/>
          <w:color w:val="000000"/>
          <w:spacing w:val="0"/>
          <w:w w:val="100"/>
          <w:position w:val="0"/>
        </w:rPr>
        <w:t>”</w:t>
      </w:r>
      <w:r>
        <w:rPr>
          <w:color w:val="000000"/>
          <w:spacing w:val="0"/>
          <w:w w:val="100"/>
          <w:position w:val="0"/>
        </w:rPr>
        <w:t>单位，镇江市</w:t>
      </w:r>
      <w:r>
        <w:rPr>
          <w:rFonts w:ascii="Times New Roman" w:eastAsia="Times New Roman" w:hAnsi="Times New Roman" w:cs="Times New Roman"/>
          <w:color w:val="000000"/>
          <w:spacing w:val="0"/>
          <w:w w:val="100"/>
          <w:position w:val="0"/>
        </w:rPr>
        <w:t>“A</w:t>
      </w:r>
      <w:r>
        <w:rPr>
          <w:color w:val="000000"/>
          <w:spacing w:val="0"/>
          <w:w w:val="100"/>
          <w:position w:val="0"/>
        </w:rPr>
        <w:t>纳税信用等级</w:t>
      </w:r>
      <w:r>
        <w:rPr>
          <w:rFonts w:ascii="Times New Roman" w:eastAsia="Times New Roman" w:hAnsi="Times New Roman" w:cs="Times New Roman"/>
          <w:color w:val="000000"/>
          <w:spacing w:val="0"/>
          <w:w w:val="100"/>
          <w:position w:val="0"/>
        </w:rPr>
        <w:t>”</w:t>
      </w:r>
      <w:r>
        <w:rPr>
          <w:color w:val="000000"/>
          <w:spacing w:val="0"/>
          <w:w w:val="100"/>
          <w:position w:val="0"/>
        </w:rPr>
        <w:t>单位，</w:t>
      </w:r>
      <w:r>
        <w:rPr>
          <w:rFonts w:ascii="Times New Roman" w:eastAsia="Times New Roman" w:hAnsi="Times New Roman" w:cs="Times New Roman"/>
          <w:color w:val="000000"/>
          <w:spacing w:val="0"/>
          <w:w w:val="100"/>
          <w:position w:val="0"/>
        </w:rPr>
        <w:t xml:space="preserve">“AAA </w:t>
      </w:r>
      <w:r>
        <w:rPr>
          <w:color w:val="000000"/>
          <w:spacing w:val="0"/>
          <w:w w:val="100"/>
          <w:position w:val="0"/>
        </w:rPr>
        <w:t>资信等级</w:t>
      </w:r>
      <w:r>
        <w:rPr>
          <w:rFonts w:ascii="Times New Roman" w:eastAsia="Times New Roman" w:hAnsi="Times New Roman" w:cs="Times New Roman"/>
          <w:color w:val="000000"/>
          <w:spacing w:val="0"/>
          <w:w w:val="100"/>
          <w:position w:val="0"/>
        </w:rPr>
        <w:t>”</w:t>
      </w:r>
      <w:r>
        <w:rPr>
          <w:color w:val="000000"/>
          <w:spacing w:val="0"/>
          <w:w w:val="100"/>
          <w:position w:val="0"/>
        </w:rPr>
        <w:t>单位，通过了</w:t>
      </w:r>
      <w:r>
        <w:rPr>
          <w:rFonts w:ascii="Times New Roman" w:eastAsia="Times New Roman" w:hAnsi="Times New Roman" w:cs="Times New Roman"/>
          <w:color w:val="000000"/>
          <w:spacing w:val="0"/>
          <w:w w:val="100"/>
          <w:position w:val="0"/>
        </w:rPr>
        <w:t>ISO9001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2008</w:t>
      </w:r>
      <w:r>
        <w:rPr>
          <w:color w:val="000000"/>
          <w:spacing w:val="0"/>
          <w:w w:val="100"/>
          <w:position w:val="0"/>
        </w:rPr>
        <w:t>质量管理体系、</w:t>
      </w:r>
      <w:r>
        <w:rPr>
          <w:rFonts w:ascii="Times New Roman" w:eastAsia="Times New Roman" w:hAnsi="Times New Roman" w:cs="Times New Roman"/>
          <w:color w:val="000000"/>
          <w:spacing w:val="0"/>
          <w:w w:val="100"/>
          <w:position w:val="0"/>
        </w:rPr>
        <w:t>ISO14001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2004</w:t>
      </w:r>
      <w:r>
        <w:rPr>
          <w:color w:val="000000"/>
          <w:spacing w:val="0"/>
          <w:w w:val="100"/>
          <w:position w:val="0"/>
        </w:rPr>
        <w:t>环境管理体系，注重与供应商的交流和沟通，以互 惠互利、质量优先为前提，共同发展；重视产品质量的提高和服务的优化，保护消费者的合法权益。</w:t>
      </w:r>
    </w:p>
    <w:p>
      <w:pPr>
        <w:pStyle w:val="Style18"/>
        <w:keepNext w:val="0"/>
        <w:keepLines w:val="0"/>
        <w:widowControl w:val="0"/>
        <w:numPr>
          <w:ilvl w:val="0"/>
          <w:numId w:val="15"/>
        </w:numPr>
        <w:shd w:val="clear" w:color="auto" w:fill="auto"/>
        <w:tabs>
          <w:tab w:pos="906" w:val="left"/>
        </w:tabs>
        <w:bidi w:val="0"/>
        <w:spacing w:before="0" w:after="0" w:line="316" w:lineRule="exact"/>
        <w:ind w:left="0" w:right="0"/>
        <w:jc w:val="both"/>
      </w:pPr>
      <w:bookmarkStart w:id="469" w:name="bookmark469"/>
      <w:bookmarkEnd w:id="469"/>
      <w:r>
        <w:rPr>
          <w:color w:val="000000"/>
          <w:spacing w:val="0"/>
          <w:w w:val="100"/>
          <w:position w:val="0"/>
        </w:rPr>
        <w:t>保护环境的社会责任：公司是高新企业，提供高端智能卡及解决方案，无</w:t>
      </w:r>
      <w:r>
        <w:rPr>
          <w:rFonts w:ascii="Times New Roman" w:eastAsia="Times New Roman" w:hAnsi="Times New Roman" w:cs="Times New Roman"/>
          <w:color w:val="000000"/>
          <w:spacing w:val="0"/>
          <w:w w:val="100"/>
          <w:position w:val="0"/>
        </w:rPr>
        <w:t>“</w:t>
      </w:r>
      <w:r>
        <w:rPr>
          <w:color w:val="000000"/>
          <w:spacing w:val="0"/>
          <w:w w:val="100"/>
          <w:position w:val="0"/>
        </w:rPr>
        <w:t>三废</w:t>
      </w:r>
      <w:r>
        <w:rPr>
          <w:rFonts w:ascii="Times New Roman" w:eastAsia="Times New Roman" w:hAnsi="Times New Roman" w:cs="Times New Roman"/>
          <w:color w:val="000000"/>
          <w:spacing w:val="0"/>
          <w:w w:val="100"/>
          <w:position w:val="0"/>
        </w:rPr>
        <w:t>”</w:t>
      </w:r>
      <w:r>
        <w:rPr>
          <w:color w:val="000000"/>
          <w:spacing w:val="0"/>
          <w:w w:val="100"/>
          <w:position w:val="0"/>
        </w:rPr>
        <w:t>污染；厂区实施园林式建设和规 划，环境优美。</w:t>
      </w:r>
    </w:p>
    <w:p>
      <w:pPr>
        <w:pStyle w:val="Style18"/>
        <w:keepNext w:val="0"/>
        <w:keepLines w:val="0"/>
        <w:widowControl w:val="0"/>
        <w:numPr>
          <w:ilvl w:val="0"/>
          <w:numId w:val="15"/>
        </w:numPr>
        <w:shd w:val="clear" w:color="auto" w:fill="auto"/>
        <w:tabs>
          <w:tab w:pos="825" w:val="left"/>
        </w:tabs>
        <w:bidi w:val="0"/>
        <w:spacing w:before="0" w:after="720" w:line="316" w:lineRule="exact"/>
        <w:ind w:left="0" w:right="0"/>
        <w:jc w:val="both"/>
      </w:pPr>
      <w:bookmarkStart w:id="470" w:name="bookmark470"/>
      <w:bookmarkEnd w:id="470"/>
      <w:r>
        <w:rPr>
          <w:color w:val="000000"/>
          <w:spacing w:val="0"/>
          <w:w w:val="100"/>
          <w:position w:val="0"/>
        </w:rPr>
        <w:t>其他社会责任：注重社区社会责任，每年为社区内的学校、敬老院等提供资助和服务，构建和谐的社区文化。</w:t>
      </w:r>
    </w:p>
    <w:p>
      <w:pPr>
        <w:pStyle w:val="Style23"/>
        <w:keepNext/>
        <w:keepLines/>
        <w:widowControl w:val="0"/>
        <w:shd w:val="clear" w:color="auto" w:fill="auto"/>
        <w:bidi w:val="0"/>
        <w:spacing w:before="0" w:after="36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sz w:val="24"/>
          <w:szCs w:val="24"/>
        </w:rPr>
        <w:t>三</w:t>
      </w:r>
      <w:bookmarkEnd w:id="473"/>
      <w:r>
        <w:rPr>
          <w:color w:val="000000"/>
          <w:spacing w:val="0"/>
          <w:w w:val="100"/>
          <w:position w:val="0"/>
          <w:sz w:val="24"/>
          <w:szCs w:val="24"/>
        </w:rPr>
        <w:t>、巩固拓展脱贫攻坚成果、乡村振兴的情况</w:t>
      </w:r>
      <w:bookmarkEnd w:id="471"/>
      <w:bookmarkEnd w:id="472"/>
      <w:bookmarkEnd w:id="474"/>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r>
        <w:br w:type="page"/>
      </w:r>
    </w:p>
    <w:p>
      <w:pPr>
        <w:pStyle w:val="Style10"/>
        <w:keepNext/>
        <w:keepLines/>
        <w:widowControl w:val="0"/>
        <w:shd w:val="clear" w:color="auto" w:fill="auto"/>
        <w:bidi w:val="0"/>
        <w:spacing w:before="0" w:after="540" w:line="240" w:lineRule="auto"/>
        <w:ind w:left="0" w:right="0" w:firstLine="0"/>
        <w:jc w:val="center"/>
      </w:pPr>
      <w:bookmarkStart w:id="475" w:name="bookmark475"/>
      <w:bookmarkStart w:id="476" w:name="bookmark476"/>
      <w:bookmarkStart w:id="477" w:name="bookmark477"/>
      <w:r>
        <w:rPr>
          <w:color w:val="000000"/>
          <w:spacing w:val="0"/>
          <w:w w:val="100"/>
          <w:position w:val="0"/>
        </w:rPr>
        <w:t>第六节重要事项</w:t>
      </w:r>
      <w:bookmarkEnd w:id="475"/>
      <w:bookmarkEnd w:id="476"/>
      <w:bookmarkEnd w:id="477"/>
    </w:p>
    <w:p>
      <w:pPr>
        <w:pStyle w:val="Style23"/>
        <w:keepNext/>
        <w:keepLines/>
        <w:widowControl w:val="0"/>
        <w:shd w:val="clear" w:color="auto" w:fill="auto"/>
        <w:bidi w:val="0"/>
        <w:spacing w:before="0" w:after="26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sz w:val="24"/>
          <w:szCs w:val="24"/>
        </w:rPr>
        <w:t>一</w:t>
      </w:r>
      <w:bookmarkEnd w:id="480"/>
      <w:r>
        <w:rPr>
          <w:color w:val="000000"/>
          <w:spacing w:val="0"/>
          <w:w w:val="100"/>
          <w:position w:val="0"/>
          <w:sz w:val="24"/>
          <w:szCs w:val="24"/>
        </w:rPr>
        <w:t>、承诺事项履行情况</w:t>
      </w:r>
      <w:bookmarkEnd w:id="478"/>
      <w:bookmarkEnd w:id="479"/>
      <w:bookmarkEnd w:id="481"/>
    </w:p>
    <w:p>
      <w:pPr>
        <w:pStyle w:val="Style27"/>
        <w:keepNext/>
        <w:keepLines/>
        <w:widowControl w:val="0"/>
        <w:shd w:val="clear" w:color="auto" w:fill="auto"/>
        <w:bidi w:val="0"/>
        <w:spacing w:before="0" w:line="322" w:lineRule="exact"/>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、公司实际控制人、股东、关联方、收购人以及公司等承诺相关方在报告期内履行完毕及截至报告期末 尚未履行完毕的承诺事项</w:t>
      </w:r>
      <w:bookmarkEnd w:id="482"/>
      <w:bookmarkEnd w:id="483"/>
      <w:bookmarkEnd w:id="485"/>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37"/>
        <w:gridCol w:w="1128"/>
        <w:gridCol w:w="1123"/>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首次公开发行或再融资时所作承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钱京、钱平、 江浩然、胡 三龙、潘梅 芳、曹志新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（一）首次 公开发行股 票前持有公 司</w:t>
            </w:r>
            <w:r>
              <w:rPr>
                <w:color w:val="000000"/>
                <w:spacing w:val="0"/>
                <w:w w:val="100"/>
                <w:position w:val="0"/>
              </w:rPr>
              <w:t>5%</w:t>
            </w:r>
            <w:r>
              <w:rPr>
                <w:rFonts w:ascii="SimSun" w:eastAsia="SimSun" w:hAnsi="SimSun" w:cs="SimSun"/>
                <w:color w:val="000000"/>
                <w:spacing w:val="0"/>
                <w:w w:val="100"/>
                <w:position w:val="0"/>
              </w:rPr>
              <w:t>以上 股份的股东 承诺：在作 为恒宝股份 有限公司股 东期间，不 会在中国境 内或境外， 以任何方式 （包括但不 限于单独经 营、通过合 资经营或拥 有另一公司 或企业的股 份及其他权 益）直接或 间接参与任 何与恒宝股 份有限公司 构成竞争的 任何业务或 活动，也不 会在与恒宝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182" w:val="left"/>
              </w:tabs>
              <w:bidi w:val="0"/>
              <w:spacing w:before="0" w:after="0" w:line="31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 xml:space="preserve">首次公开 发行股票前 持有公司 </w:t>
            </w:r>
            <w:r>
              <w:rPr>
                <w:color w:val="000000"/>
                <w:spacing w:val="0"/>
                <w:w w:val="100"/>
                <w:position w:val="0"/>
              </w:rPr>
              <w:t>5%</w:t>
            </w:r>
            <w:r>
              <w:rPr>
                <w:rFonts w:ascii="SimSun" w:eastAsia="SimSun" w:hAnsi="SimSun" w:cs="SimSun"/>
                <w:color w:val="000000"/>
                <w:spacing w:val="0"/>
                <w:w w:val="100"/>
                <w:position w:val="0"/>
              </w:rPr>
              <w:t>以上股 份的股东在 作为恒宝股 份有限公司 股东期间；</w:t>
            </w:r>
          </w:p>
          <w:p>
            <w:pPr>
              <w:pStyle w:val="Style20"/>
              <w:keepNext w:val="0"/>
              <w:keepLines w:val="0"/>
              <w:widowControl w:val="0"/>
              <w:shd w:val="clear" w:color="auto" w:fill="auto"/>
              <w:tabs>
                <w:tab w:pos="197" w:val="left"/>
              </w:tabs>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担任公司 董事、监事、 高级管理人 员的股东钱 京、钱平、 江浩然、曹 志新在其任 职期间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3"/>
        <w:gridCol w:w="1123"/>
        <w:gridCol w:w="1118"/>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股份有限公 司有竞争关 系的企业或 组织内任 职。截至报 告期末，未 发现同业竞 争情况。</w:t>
            </w:r>
          </w:p>
          <w:p>
            <w:pPr>
              <w:pStyle w:val="Style20"/>
              <w:keepNext w:val="0"/>
              <w:keepLines w:val="0"/>
              <w:widowControl w:val="0"/>
              <w:shd w:val="clear" w:color="auto" w:fill="auto"/>
              <w:tabs>
                <w:tab w:pos="552" w:val="left"/>
              </w:tabs>
              <w:bidi w:val="0"/>
              <w:spacing w:before="0" w:after="0" w:line="313" w:lineRule="exact"/>
              <w:ind w:left="0" w:right="0" w:firstLine="0"/>
              <w:jc w:val="both"/>
            </w:pPr>
            <w:r>
              <w:rPr>
                <w:rFonts w:ascii="SimSun" w:eastAsia="SimSun" w:hAnsi="SimSun" w:cs="SimSun"/>
                <w:color w:val="000000"/>
                <w:spacing w:val="0"/>
                <w:w w:val="100"/>
                <w:position w:val="0"/>
              </w:rPr>
              <w:t>（二）</w:t>
              <w:tab/>
              <w:t>公司 控股股东钱 京承诺：自 公司股票上 市之日起三 十六个月 内，不转让 或者委托他 人管理其持 有的发行人 股份，也不 由发行人回 购其持有的 股份。截止 报告期末， 该承诺已履 行完毕。</w:t>
            </w:r>
          </w:p>
          <w:p>
            <w:pPr>
              <w:pStyle w:val="Style20"/>
              <w:keepNext w:val="0"/>
              <w:keepLines w:val="0"/>
              <w:widowControl w:val="0"/>
              <w:shd w:val="clear" w:color="auto" w:fill="auto"/>
              <w:tabs>
                <w:tab w:pos="557" w:val="left"/>
              </w:tabs>
              <w:bidi w:val="0"/>
              <w:spacing w:before="0" w:after="0" w:line="313" w:lineRule="exact"/>
              <w:ind w:left="0" w:right="0" w:firstLine="0"/>
              <w:jc w:val="both"/>
            </w:pPr>
            <w:r>
              <w:rPr>
                <w:rFonts w:ascii="SimSun" w:eastAsia="SimSun" w:hAnsi="SimSun" w:cs="SimSun"/>
                <w:color w:val="000000"/>
                <w:spacing w:val="0"/>
                <w:w w:val="100"/>
                <w:position w:val="0"/>
              </w:rPr>
              <w:t>（三）</w:t>
              <w:tab/>
              <w:t xml:space="preserve">公司 其他股东钱 平、江浩然、 胡三龙、潘 梅芳和曹志 新承诺：其 所持有的股 份中，因 </w:t>
            </w:r>
            <w:r>
              <w:rPr>
                <w:color w:val="000000"/>
                <w:spacing w:val="0"/>
                <w:w w:val="100"/>
                <w:position w:val="0"/>
              </w:rPr>
              <w:t xml:space="preserve">2005 </w:t>
            </w:r>
            <w:r>
              <w:rPr>
                <w:rFonts w:ascii="SimSun" w:eastAsia="SimSun" w:hAnsi="SimSun" w:cs="SimSun"/>
                <w:color w:val="000000"/>
                <w:spacing w:val="0"/>
                <w:w w:val="100"/>
                <w:position w:val="0"/>
              </w:rPr>
              <w:t>年度 利润分配增 加的股份</w:t>
            </w:r>
          </w:p>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（合计</w:t>
            </w:r>
            <w:r>
              <w:rPr>
                <w:color w:val="000000"/>
                <w:spacing w:val="0"/>
                <w:w w:val="100"/>
                <w:position w:val="0"/>
              </w:rPr>
              <w:t xml:space="preserve">864 </w:t>
            </w:r>
            <w:r>
              <w:rPr>
                <w:rFonts w:ascii="SimSun" w:eastAsia="SimSun" w:hAnsi="SimSun" w:cs="SimSun"/>
                <w:color w:val="000000"/>
                <w:spacing w:val="0"/>
                <w:w w:val="100"/>
                <w:position w:val="0"/>
              </w:rPr>
              <w:t>万股），自工 商变更之日</w:t>
            </w:r>
          </w:p>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2006 </w:t>
            </w:r>
            <w:r>
              <w:rPr>
                <w:rFonts w:ascii="SimSun" w:eastAsia="SimSun" w:hAnsi="SimSun" w:cs="SimSun"/>
                <w:color w:val="000000"/>
                <w:spacing w:val="0"/>
                <w:w w:val="100"/>
                <w:position w:val="0"/>
              </w:rPr>
              <w:t xml:space="preserve">年 </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 xml:space="preserve">20 </w:t>
            </w:r>
            <w:r>
              <w:rPr>
                <w:rFonts w:ascii="SimSun" w:eastAsia="SimSun" w:hAnsi="SimSun" w:cs="SimSun"/>
                <w:color w:val="000000"/>
                <w:spacing w:val="0"/>
                <w:w w:val="100"/>
                <w:position w:val="0"/>
              </w:rPr>
              <w:t>日）起三十 六个月内不 转让；其他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3"/>
        <w:gridCol w:w="1123"/>
        <w:gridCol w:w="1118"/>
      </w:tblGrid>
      <w:tr>
        <w:trPr>
          <w:trHeight w:val="106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股份（合计 </w:t>
            </w:r>
            <w:r>
              <w:rPr>
                <w:color w:val="000000"/>
                <w:spacing w:val="0"/>
                <w:w w:val="100"/>
                <w:position w:val="0"/>
              </w:rPr>
              <w:t xml:space="preserve">4,320 </w:t>
            </w:r>
            <w:r>
              <w:rPr>
                <w:rFonts w:ascii="SimSun" w:eastAsia="SimSun" w:hAnsi="SimSun" w:cs="SimSun"/>
                <w:color w:val="000000"/>
                <w:spacing w:val="0"/>
                <w:w w:val="100"/>
                <w:position w:val="0"/>
              </w:rPr>
              <w:t>万 股）自公司 股票上市交 易之日起一 年内不转 让。截止报 告期末，该 承诺已履行 完毕。（四） 担任公司董 事、监事、 高级管理人 员的股东钱 京、钱平、 江浩然、曹 志新还承 诺：除前述 锁定期外， 在其任职期 间每年转让 的股份不得 超过其上年 底所持有本 公司股份总 数的百分之 二十五；离 职后半年 内，不转让 其所持有的 本公司股 份。该承诺 正在履行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恒宝股份有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公司承诺不 为激励对象 依本激励计 划获取有关 股票期权提 供贷款以及 其他任何形 式的财务资 助，包括为 其贷款提供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本激励计划 有效期自股 票期权首次 授权登记完 成之日起至 激励对象获 授的股票期 权全部行权 或注销之日 止，最长不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3"/>
        <w:gridCol w:w="1123"/>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超过</w:t>
            </w:r>
            <w:r>
              <w:rPr>
                <w:color w:val="000000"/>
                <w:spacing w:val="0"/>
                <w:w w:val="100"/>
                <w:position w:val="0"/>
              </w:rPr>
              <w:t>60</w:t>
            </w:r>
            <w:r>
              <w:rPr>
                <w:rFonts w:ascii="SimSun" w:eastAsia="SimSun" w:hAnsi="SimSun" w:cs="SimSun"/>
                <w:color w:val="000000"/>
                <w:spacing w:val="0"/>
                <w:w w:val="100"/>
                <w:position w:val="0"/>
              </w:rPr>
              <w:t>个 月。</w:t>
            </w: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313" w:lineRule="exact"/>
              <w:ind w:left="0" w:right="0" w:firstLine="0"/>
              <w:jc w:val="left"/>
            </w:pPr>
            <w:r>
              <w:rPr>
                <w:rFonts w:ascii="SimSun" w:eastAsia="SimSun" w:hAnsi="SimSun" w:cs="SimSun"/>
                <w:color w:val="000000"/>
                <w:spacing w:val="0"/>
                <w:w w:val="100"/>
                <w:position w:val="0"/>
              </w:rPr>
              <w:t>高强、徐霄 凌、陈妹妹 以及公司</w:t>
            </w:r>
          </w:p>
          <w:p>
            <w:pPr>
              <w:pStyle w:val="Style20"/>
              <w:keepNext w:val="0"/>
              <w:keepLines w:val="0"/>
              <w:widowControl w:val="0"/>
              <w:shd w:val="clear" w:color="auto" w:fill="auto"/>
              <w:bidi w:val="0"/>
              <w:spacing w:before="0" w:after="0" w:line="36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年股</w:t>
            </w:r>
          </w:p>
          <w:p>
            <w:pPr>
              <w:pStyle w:val="Style2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票期权激励 计划其他激 励对象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激励对象承 诺，若公司 因信息披露 文件中有虚 假记载、误 导性陈述或 者重大遗 漏，导致不 符合授予权 益或行使权 益安排的， 激励对象应 当自相关信 息披露文件 被确认存在 虚假记载、 误导性陈述 或者重大遗 漏后，将由 股权激励计 划所获得的 全部利益返 还公司。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本激励计划 有效期自股 票期权首次 授权登记完 成之日起至 激励对象获 授的股票期 权全部行权 或注销之日 止，最长不 超过</w:t>
            </w:r>
            <w:r>
              <w:rPr>
                <w:color w:val="000000"/>
                <w:spacing w:val="0"/>
                <w:w w:val="100"/>
                <w:position w:val="0"/>
              </w:rPr>
              <w:t>60</w:t>
            </w:r>
            <w:r>
              <w:rPr>
                <w:rFonts w:ascii="SimSun" w:eastAsia="SimSun" w:hAnsi="SimSun" w:cs="SimSun"/>
                <w:color w:val="000000"/>
                <w:spacing w:val="0"/>
                <w:w w:val="100"/>
                <w:position w:val="0"/>
              </w:rPr>
              <w:t>个 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w:t>
            </w:r>
          </w:p>
        </w:tc>
      </w:tr>
      <w:tr>
        <w:trPr>
          <w:trHeight w:val="598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根据《国家 秘密载体印 制资质管理 办法》规定：</w:t>
            </w:r>
          </w:p>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“国家秘密 载体印制资 质申请单位</w:t>
            </w:r>
          </w:p>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（以下简称 申请单位） 应具备以下 基本条件：</w:t>
            </w:r>
          </w:p>
          <w:p>
            <w:pPr>
              <w:pStyle w:val="Style20"/>
              <w:keepNext w:val="0"/>
              <w:keepLines w:val="0"/>
              <w:widowControl w:val="0"/>
              <w:shd w:val="clear" w:color="auto" w:fill="auto"/>
              <w:tabs>
                <w:tab w:pos="538" w:val="left"/>
              </w:tabs>
              <w:bidi w:val="0"/>
              <w:spacing w:before="0" w:after="0" w:line="312" w:lineRule="exact"/>
              <w:ind w:left="0" w:right="0" w:firstLine="0"/>
              <w:jc w:val="both"/>
            </w:pPr>
            <w:r>
              <w:rPr>
                <w:rFonts w:ascii="SimSun" w:eastAsia="SimSun" w:hAnsi="SimSun" w:cs="SimSun"/>
                <w:color w:val="000000"/>
                <w:spacing w:val="0"/>
                <w:w w:val="100"/>
                <w:position w:val="0"/>
              </w:rPr>
              <w:t>（一）</w:t>
              <w:tab/>
              <w:t>在中 华人民共和 国境内注册 的企业法人 或者事业单 位法人；</w:t>
            </w:r>
          </w:p>
          <w:p>
            <w:pPr>
              <w:pStyle w:val="Style20"/>
              <w:keepNext w:val="0"/>
              <w:keepLines w:val="0"/>
              <w:widowControl w:val="0"/>
              <w:shd w:val="clear" w:color="auto" w:fill="auto"/>
              <w:tabs>
                <w:tab w:pos="528" w:val="left"/>
              </w:tabs>
              <w:bidi w:val="0"/>
              <w:spacing w:before="0" w:after="0" w:line="312" w:lineRule="exact"/>
              <w:ind w:left="0" w:right="0" w:firstLine="0"/>
              <w:jc w:val="both"/>
            </w:pPr>
            <w:r>
              <w:rPr>
                <w:rFonts w:ascii="SimSun" w:eastAsia="SimSun" w:hAnsi="SimSun" w:cs="SimSun"/>
                <w:color w:val="000000"/>
                <w:spacing w:val="0"/>
                <w:w w:val="100"/>
                <w:position w:val="0"/>
              </w:rPr>
              <w:t>（二）</w:t>
              <w:tab/>
              <w:t>参与 国家秘密载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公司在持有 国家秘密载 体印制甲级 涉密防伪票 据证书资质 期间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3"/>
        <w:gridCol w:w="1123"/>
        <w:gridCol w:w="1118"/>
      </w:tblGrid>
      <w:tr>
        <w:trPr>
          <w:trHeight w:val="119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体印制业务 的人员为中 华人民共和 国境内公 民，国家另 有规定的除 外”，“有境 夕卜（含香港、 澳门、台湾） 组织、机构、 人员控股或 者参与经营 管理的，不 得授予国家 统一考试试 卷、涉密防 伪票据证书 印制资质” 等规定，为 确保公司持 有涉密资质 期间，公司 实际控制人 始终为中 方，钱京先 生承诺如 下：恒宝股 份有限公司 在持有国家 秘密载体印 制甲级涉密 防伪票据证 书资质期 间，不向影 响保密条款 的自然人或 机构出售股 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27"/>
        <w:keepNext/>
        <w:keepLines/>
        <w:widowControl w:val="0"/>
        <w:shd w:val="clear" w:color="auto" w:fill="auto"/>
        <w:bidi w:val="0"/>
        <w:spacing w:before="0" w:after="260" w:line="322" w:lineRule="exact"/>
        <w:ind w:left="0" w:right="0" w:firstLine="0"/>
        <w:jc w:val="both"/>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、公司资产或项目存在盈利预测，且报告期仍处在盈利预测期间，公司就资产或项目达到原盈利预测及 其原因做出说明</w:t>
      </w:r>
      <w:bookmarkEnd w:id="486"/>
      <w:bookmarkEnd w:id="487"/>
      <w:bookmarkEnd w:id="489"/>
    </w:p>
    <w:p>
      <w:pPr>
        <w:pStyle w:val="Style1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口适用”不适用</w:t>
      </w:r>
    </w:p>
    <w:p>
      <w:pPr>
        <w:pStyle w:val="Style23"/>
        <w:keepNext/>
        <w:keepLines/>
        <w:widowControl w:val="0"/>
        <w:shd w:val="clear" w:color="auto" w:fill="auto"/>
        <w:tabs>
          <w:tab w:pos="518" w:val="left"/>
        </w:tabs>
        <w:bidi w:val="0"/>
        <w:spacing w:before="0" w:after="260" w:line="240" w:lineRule="auto"/>
        <w:ind w:left="0" w:right="0" w:firstLine="0"/>
        <w:jc w:val="both"/>
      </w:pPr>
      <w:bookmarkStart w:id="490" w:name="bookmark490"/>
      <w:bookmarkStart w:id="491" w:name="bookmark491"/>
      <w:bookmarkStart w:id="492" w:name="bookmark492"/>
      <w:bookmarkStart w:id="493" w:name="bookmark493"/>
      <w:r>
        <w:rPr>
          <w:color w:val="000000"/>
          <w:spacing w:val="0"/>
          <w:w w:val="100"/>
          <w:position w:val="0"/>
          <w:sz w:val="24"/>
          <w:szCs w:val="24"/>
        </w:rPr>
        <w:t>二</w:t>
      </w:r>
      <w:bookmarkEnd w:id="492"/>
      <w:r>
        <w:rPr>
          <w:color w:val="000000"/>
          <w:spacing w:val="0"/>
          <w:w w:val="100"/>
          <w:position w:val="0"/>
          <w:sz w:val="24"/>
          <w:szCs w:val="24"/>
        </w:rPr>
        <w:t>、</w:t>
        <w:tab/>
        <w:t>控股股东及其他关联方对上市公司的非经营性占用资金情况</w:t>
      </w:r>
      <w:bookmarkEnd w:id="490"/>
      <w:bookmarkEnd w:id="491"/>
      <w:bookmarkEnd w:id="493"/>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23" w:val="left"/>
        </w:tabs>
        <w:bidi w:val="0"/>
        <w:spacing w:before="0" w:after="260" w:line="240" w:lineRule="auto"/>
        <w:ind w:left="0" w:right="0" w:firstLine="0"/>
        <w:jc w:val="both"/>
      </w:pPr>
      <w:bookmarkStart w:id="494" w:name="bookmark494"/>
      <w:bookmarkStart w:id="495" w:name="bookmark495"/>
      <w:bookmarkStart w:id="496" w:name="bookmark496"/>
      <w:bookmarkStart w:id="497" w:name="bookmark497"/>
      <w:r>
        <w:rPr>
          <w:color w:val="000000"/>
          <w:spacing w:val="0"/>
          <w:w w:val="100"/>
          <w:position w:val="0"/>
          <w:sz w:val="24"/>
          <w:szCs w:val="24"/>
        </w:rPr>
        <w:t>三</w:t>
      </w:r>
      <w:bookmarkEnd w:id="496"/>
      <w:r>
        <w:rPr>
          <w:color w:val="000000"/>
          <w:spacing w:val="0"/>
          <w:w w:val="100"/>
          <w:position w:val="0"/>
          <w:sz w:val="24"/>
          <w:szCs w:val="24"/>
        </w:rPr>
        <w:t>、</w:t>
        <w:tab/>
        <w:t>违规对外担保情况</w:t>
      </w:r>
      <w:bookmarkEnd w:id="494"/>
      <w:bookmarkEnd w:id="495"/>
      <w:bookmarkEnd w:id="497"/>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公司报告期无违规对外担保情况。</w:t>
      </w:r>
    </w:p>
    <w:p>
      <w:pPr>
        <w:pStyle w:val="Style23"/>
        <w:keepNext/>
        <w:keepLines/>
        <w:widowControl w:val="0"/>
        <w:shd w:val="clear" w:color="auto" w:fill="auto"/>
        <w:tabs>
          <w:tab w:pos="523" w:val="left"/>
        </w:tabs>
        <w:bidi w:val="0"/>
        <w:spacing w:before="0" w:after="260" w:line="240" w:lineRule="auto"/>
        <w:ind w:left="0" w:right="0" w:firstLine="0"/>
        <w:jc w:val="both"/>
      </w:pPr>
      <w:bookmarkStart w:id="498" w:name="bookmark498"/>
      <w:bookmarkStart w:id="499" w:name="bookmark499"/>
      <w:bookmarkStart w:id="500" w:name="bookmark500"/>
      <w:bookmarkStart w:id="501" w:name="bookmark501"/>
      <w:r>
        <w:rPr>
          <w:color w:val="000000"/>
          <w:spacing w:val="0"/>
          <w:w w:val="100"/>
          <w:position w:val="0"/>
          <w:sz w:val="24"/>
          <w:szCs w:val="24"/>
        </w:rPr>
        <w:t>四</w:t>
      </w:r>
      <w:bookmarkEnd w:id="500"/>
      <w:r>
        <w:rPr>
          <w:color w:val="000000"/>
          <w:spacing w:val="0"/>
          <w:w w:val="100"/>
          <w:position w:val="0"/>
          <w:sz w:val="24"/>
          <w:szCs w:val="24"/>
        </w:rPr>
        <w:t>、</w:t>
        <w:tab/>
        <w:t>董事会对最近一期“非标准审计报告"相关情况的说明</w:t>
      </w:r>
      <w:bookmarkEnd w:id="498"/>
      <w:bookmarkEnd w:id="499"/>
      <w:bookmarkEnd w:id="501"/>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after="40" w:line="302" w:lineRule="exact"/>
        <w:ind w:left="0" w:right="0"/>
        <w:jc w:val="left"/>
      </w:pPr>
      <w:r>
        <w:rPr>
          <w:color w:val="000000"/>
          <w:spacing w:val="0"/>
          <w:w w:val="100"/>
          <w:position w:val="0"/>
        </w:rPr>
        <w:t>中兴华会计师事务所（特殊普通合伙）所依据相关情况，本着严格、谨慎的原则，出具了保留意见的审计报告，客观和 真实的反映了公司现阶段的实际状况。除此之外，公司财务报表在所有重大方面按照企业会计准则的编制，公允反映了公司 2021年12月31日的财务状况以及2021年度的经营成果和现金流量。</w:t>
      </w:r>
    </w:p>
    <w:p>
      <w:pPr>
        <w:pStyle w:val="Style18"/>
        <w:keepNext w:val="0"/>
        <w:keepLines w:val="0"/>
        <w:widowControl w:val="0"/>
        <w:shd w:val="clear" w:color="auto" w:fill="auto"/>
        <w:bidi w:val="0"/>
        <w:spacing w:before="0" w:after="40" w:line="312" w:lineRule="exact"/>
        <w:ind w:left="0" w:right="0"/>
        <w:jc w:val="left"/>
      </w:pPr>
      <w:r>
        <w:rPr>
          <w:color w:val="000000"/>
          <w:spacing w:val="0"/>
          <w:w w:val="100"/>
          <w:position w:val="0"/>
        </w:rPr>
        <w:t>董事会高度重视保留意见涉及事项对公司产生的影响，将积极推进消除保留意见所涉事项及其影响的具体措施，及时履 行信息披露义务，切实维护公司和全体股东的合法权益。具体措施如下：</w:t>
      </w:r>
    </w:p>
    <w:p>
      <w:pPr>
        <w:pStyle w:val="Style18"/>
        <w:keepNext w:val="0"/>
        <w:keepLines w:val="0"/>
        <w:widowControl w:val="0"/>
        <w:shd w:val="clear" w:color="auto" w:fill="auto"/>
        <w:bidi w:val="0"/>
        <w:spacing w:before="0" w:after="40" w:line="314" w:lineRule="exact"/>
        <w:ind w:left="0" w:right="0"/>
        <w:jc w:val="left"/>
      </w:pPr>
      <w:r>
        <w:rPr>
          <w:color w:val="000000"/>
          <w:spacing w:val="0"/>
          <w:w w:val="100"/>
          <w:position w:val="0"/>
        </w:rPr>
        <w:t>为保障上市公司及全体股东的合法权益，公司积极行使作为一卡易股东的权利，积极寻找解决方案，并积极推进一卡易 董事会、监事会和股东大会相关进程，采取对应措施。经过努力，公司目前虽暂时占有一卡易董事会、监事会多数席位，但 仍不能对一卡易实施有效控制，仍无法根据相关法律法规主张自身应有的权利。</w:t>
      </w:r>
    </w:p>
    <w:p>
      <w:pPr>
        <w:pStyle w:val="Style18"/>
        <w:keepNext w:val="0"/>
        <w:keepLines w:val="0"/>
        <w:widowControl w:val="0"/>
        <w:shd w:val="clear" w:color="auto" w:fill="auto"/>
        <w:bidi w:val="0"/>
        <w:spacing w:before="0" w:after="40" w:line="308" w:lineRule="exact"/>
        <w:ind w:left="0" w:right="0"/>
        <w:jc w:val="left"/>
      </w:pPr>
      <w:r>
        <w:rPr>
          <w:color w:val="000000"/>
          <w:spacing w:val="0"/>
          <w:w w:val="100"/>
          <w:position w:val="0"/>
        </w:rPr>
        <w:t>鉴于于挺进等人屡次违反《股份转让协议》约定，屡次恶意阻挠公司行使控股股东权利，排除公司对一卡易的合法监管， 致使公司对一卡易公司失去控制，合同目的无法实现，公司已于2021年5月17日向上海仲裁委员会提交了仲裁申请书，要求 解除公司与于挺进等人签署的《股份转让协议》及《股份转让协议之补充协议》，并主张于挺进等人退还转让款（详见公司 于2021年6月19日披露的《关于对深圳证券交易所年报问询函的回复公告（2021-047）》）。上海仲裁委员会于2021年8月31日 对本案进行了开庭审理（案号：（2021）沪仲案字第2651号）。</w:t>
      </w:r>
    </w:p>
    <w:p>
      <w:pPr>
        <w:pStyle w:val="Style18"/>
        <w:keepNext w:val="0"/>
        <w:keepLines w:val="0"/>
        <w:widowControl w:val="0"/>
        <w:shd w:val="clear" w:color="auto" w:fill="auto"/>
        <w:bidi w:val="0"/>
        <w:spacing w:before="0" w:after="40" w:line="314" w:lineRule="exact"/>
        <w:ind w:left="0" w:right="0"/>
        <w:jc w:val="left"/>
      </w:pPr>
      <w:r>
        <w:rPr>
          <w:color w:val="000000"/>
          <w:spacing w:val="0"/>
          <w:w w:val="100"/>
          <w:position w:val="0"/>
        </w:rPr>
        <w:t>为保障上市公司及全体股东的利益，尽快消除一卡易相关事项的影响，公司将持续关注并全力配合仲裁庭推进上述仲裁 案件。与此同时，在公司仍担任一卡易股东期间，公司将通过一切法律手段合法行权，尽最大努力纠正一卡易原管理层违法 违规行为并追究因其违法违规行为给一卡易及公司造成的损失。</w:t>
      </w:r>
    </w:p>
    <w:p>
      <w:pPr>
        <w:pStyle w:val="Style18"/>
        <w:keepNext w:val="0"/>
        <w:keepLines w:val="0"/>
        <w:widowControl w:val="0"/>
        <w:shd w:val="clear" w:color="auto" w:fill="auto"/>
        <w:bidi w:val="0"/>
        <w:spacing w:before="0" w:after="680" w:line="312" w:lineRule="exact"/>
        <w:ind w:left="0" w:right="0"/>
        <w:jc w:val="left"/>
      </w:pPr>
      <w:r>
        <w:rPr>
          <w:color w:val="000000"/>
          <w:spacing w:val="0"/>
          <w:w w:val="100"/>
          <w:position w:val="0"/>
        </w:rPr>
        <w:t>同时，公司将根据相关法律法规及监管部门的要求，完善各项内部控制制度，不断优化公司业务及管理流程，加强风险 评估体系建设，加大内控执行情况监督检查力度，进一步完善法人治理结构、内部控制体系与风险防范机制，不断提升公司 规范治理水平，促进公司健康、可持续发展。</w:t>
      </w:r>
    </w:p>
    <w:p>
      <w:pPr>
        <w:pStyle w:val="Style23"/>
        <w:keepNext/>
        <w:keepLines/>
        <w:widowControl w:val="0"/>
        <w:shd w:val="clear" w:color="auto" w:fill="auto"/>
        <w:bidi w:val="0"/>
        <w:spacing w:before="0" w:after="360" w:line="322" w:lineRule="exact"/>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五</w:t>
      </w:r>
      <w:bookmarkEnd w:id="504"/>
      <w:r>
        <w:rPr>
          <w:color w:val="000000"/>
          <w:spacing w:val="0"/>
          <w:w w:val="100"/>
          <w:position w:val="0"/>
          <w:sz w:val="24"/>
          <w:szCs w:val="24"/>
        </w:rPr>
        <w:t>、董事会、监事会、独立董事（如有）对会计师事务所本报告期“非标准审计报告”的说 明</w:t>
      </w:r>
      <w:bookmarkEnd w:id="502"/>
      <w:bookmarkEnd w:id="503"/>
      <w:bookmarkEnd w:id="505"/>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tabs>
          <w:tab w:pos="714" w:val="left"/>
        </w:tabs>
        <w:bidi w:val="0"/>
        <w:spacing w:before="0" w:after="0" w:line="317" w:lineRule="exact"/>
        <w:ind w:left="0" w:right="0"/>
        <w:jc w:val="left"/>
      </w:pPr>
      <w:bookmarkStart w:id="506" w:name="bookmark506"/>
      <w:r>
        <w:rPr>
          <w:color w:val="000000"/>
          <w:spacing w:val="0"/>
          <w:w w:val="100"/>
          <w:position w:val="0"/>
        </w:rPr>
        <w:t>1</w:t>
      </w:r>
      <w:bookmarkEnd w:id="506"/>
      <w:r>
        <w:rPr>
          <w:color w:val="000000"/>
          <w:spacing w:val="0"/>
          <w:w w:val="100"/>
          <w:position w:val="0"/>
        </w:rPr>
        <w:t>、</w:t>
        <w:tab/>
        <w:t>董事会意见</w:t>
      </w:r>
    </w:p>
    <w:p>
      <w:pPr>
        <w:pStyle w:val="Style18"/>
        <w:keepNext w:val="0"/>
        <w:keepLines w:val="0"/>
        <w:widowControl w:val="0"/>
        <w:shd w:val="clear" w:color="auto" w:fill="auto"/>
        <w:bidi w:val="0"/>
        <w:spacing w:before="0" w:after="0" w:line="307" w:lineRule="exact"/>
        <w:ind w:left="0" w:right="0"/>
        <w:jc w:val="left"/>
      </w:pPr>
      <w:r>
        <w:rPr>
          <w:color w:val="000000"/>
          <w:spacing w:val="0"/>
          <w:w w:val="100"/>
          <w:position w:val="0"/>
        </w:rPr>
        <w:t>公司董事会认为：中兴华会计师事务所（特殊普通合伙）所依据相关情况，本着严格、谨慎的原则，出具了保留意见的 审计报告，客观和真实的反映了公司现阶段的实际状况。除此之外，公司财务报表在所有重大方面按照企业会计准则的编制， 公允反映了公司2021年12月31日的财务状况以及2021年度的经营成果和现金流量。</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董事会高度重视保留意见涉及事项对公司产生的影响，将积极推进消除保留意见所涉事项及其影响的具体措施，及时履 行信息披露义务，切实维护公司和全体股东的合法权益。</w:t>
      </w:r>
    </w:p>
    <w:p>
      <w:pPr>
        <w:pStyle w:val="Style18"/>
        <w:keepNext w:val="0"/>
        <w:keepLines w:val="0"/>
        <w:widowControl w:val="0"/>
        <w:shd w:val="clear" w:color="auto" w:fill="auto"/>
        <w:tabs>
          <w:tab w:pos="724" w:val="left"/>
        </w:tabs>
        <w:bidi w:val="0"/>
        <w:spacing w:before="0" w:after="0" w:line="317" w:lineRule="exact"/>
        <w:ind w:left="0" w:right="0"/>
        <w:jc w:val="left"/>
      </w:pPr>
      <w:bookmarkStart w:id="507" w:name="bookmark507"/>
      <w:r>
        <w:rPr>
          <w:color w:val="000000"/>
          <w:spacing w:val="0"/>
          <w:w w:val="100"/>
          <w:position w:val="0"/>
        </w:rPr>
        <w:t>2</w:t>
      </w:r>
      <w:bookmarkEnd w:id="507"/>
      <w:r>
        <w:rPr>
          <w:color w:val="000000"/>
          <w:spacing w:val="0"/>
          <w:w w:val="100"/>
          <w:position w:val="0"/>
        </w:rPr>
        <w:t>、</w:t>
        <w:tab/>
        <w:t>独立董事意见</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公司独立董事认为：中兴华会计师事务所（特殊普通合伙）为公司2021年度财务报告出具的保留意见审计报告客观真实 的反映了公司的实际情况，我们同意公司董事会出具的专项说明。同时，我们将持续关注和督促公司董事会及管理层落实相 应措施的情况，尽快消除上述事项对公司的影响，更好地促进公司发展，维护广大投资者的利益。</w:t>
      </w:r>
    </w:p>
    <w:p>
      <w:pPr>
        <w:pStyle w:val="Style18"/>
        <w:keepNext w:val="0"/>
        <w:keepLines w:val="0"/>
        <w:widowControl w:val="0"/>
        <w:shd w:val="clear" w:color="auto" w:fill="auto"/>
        <w:tabs>
          <w:tab w:pos="724" w:val="left"/>
        </w:tabs>
        <w:bidi w:val="0"/>
        <w:spacing w:before="0" w:after="0" w:line="317" w:lineRule="exact"/>
        <w:ind w:left="0" w:right="0"/>
        <w:jc w:val="left"/>
      </w:pPr>
      <w:bookmarkStart w:id="508" w:name="bookmark508"/>
      <w:r>
        <w:rPr>
          <w:color w:val="000000"/>
          <w:spacing w:val="0"/>
          <w:w w:val="100"/>
          <w:position w:val="0"/>
        </w:rPr>
        <w:t>3</w:t>
      </w:r>
      <w:bookmarkEnd w:id="508"/>
      <w:r>
        <w:rPr>
          <w:color w:val="000000"/>
          <w:spacing w:val="0"/>
          <w:w w:val="100"/>
          <w:position w:val="0"/>
        </w:rPr>
        <w:t>、</w:t>
        <w:tab/>
        <w:t>监事会意见</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公司监事会认为：中兴华会计师事务所（特殊普通合伙）为公司2021年度财务报告出具的保留意见审计报告客观、公正 的反映了公司的财务状况和经营成果，我们表示理解和认可。</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公司董事会依据中国证券监督管理委员会、深圳证券交易所相关规定的要求，对保留意见审计报告所涉及事项做出专项 说明，符合公司实际情况，我们同意董事会出具的专项说明。</w:t>
      </w:r>
    </w:p>
    <w:p>
      <w:pPr>
        <w:pStyle w:val="Style18"/>
        <w:keepNext w:val="0"/>
        <w:keepLines w:val="0"/>
        <w:widowControl w:val="0"/>
        <w:shd w:val="clear" w:color="auto" w:fill="auto"/>
        <w:bidi w:val="0"/>
        <w:spacing w:before="0" w:after="360" w:line="312" w:lineRule="exact"/>
        <w:ind w:left="0" w:right="0"/>
        <w:jc w:val="left"/>
      </w:pPr>
      <w:r>
        <w:rPr>
          <w:color w:val="000000"/>
          <w:spacing w:val="0"/>
          <w:w w:val="100"/>
          <w:position w:val="0"/>
        </w:rPr>
        <w:t>监事会将积极督促董事会和管理层推进相关工作，并不断提升规范运作水平，消除保留意见涉及事项对公司的不利影响， 切实维护公司及全体股东的合法权益。</w:t>
      </w:r>
    </w:p>
    <w:p>
      <w:pPr>
        <w:pStyle w:val="Style18"/>
        <w:keepNext w:val="0"/>
        <w:keepLines w:val="0"/>
        <w:widowControl w:val="0"/>
        <w:shd w:val="clear" w:color="auto" w:fill="auto"/>
        <w:bidi w:val="0"/>
        <w:spacing w:before="0" w:after="360" w:line="322" w:lineRule="exact"/>
        <w:ind w:left="0" w:right="0"/>
        <w:jc w:val="left"/>
      </w:pPr>
      <w:r>
        <w:rPr>
          <w:color w:val="000000"/>
          <w:spacing w:val="0"/>
          <w:w w:val="100"/>
          <w:position w:val="0"/>
        </w:rPr>
        <w:t>具体内容详见公司于2022年4月29日披露的《董事会关于2021年度保留意见审计报告和保留意见内部控制鉴证报告的专 项说明》。</w:t>
      </w:r>
    </w:p>
    <w:p>
      <w:pPr>
        <w:pStyle w:val="Style23"/>
        <w:keepNext/>
        <w:keepLines/>
        <w:widowControl w:val="0"/>
        <w:shd w:val="clear" w:color="auto" w:fill="auto"/>
        <w:tabs>
          <w:tab w:pos="564" w:val="left"/>
        </w:tabs>
        <w:bidi w:val="0"/>
        <w:spacing w:before="0" w:after="24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六</w:t>
      </w:r>
      <w:bookmarkEnd w:id="511"/>
      <w:r>
        <w:rPr>
          <w:color w:val="000000"/>
          <w:spacing w:val="0"/>
          <w:w w:val="100"/>
          <w:position w:val="0"/>
          <w:sz w:val="24"/>
          <w:szCs w:val="24"/>
        </w:rPr>
        <w:t>、</w:t>
        <w:tab/>
        <w:t>与上年度财务报告相比，会计政策、会计估计变更或重大会计差错更正的情况说明</w:t>
      </w:r>
      <w:bookmarkEnd w:id="509"/>
      <w:bookmarkEnd w:id="510"/>
      <w:bookmarkEnd w:id="512"/>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详见第十节、五</w:t>
      </w:r>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p>
    <w:p>
      <w:pPr>
        <w:pStyle w:val="Style23"/>
        <w:keepNext/>
        <w:keepLines/>
        <w:widowControl w:val="0"/>
        <w:shd w:val="clear" w:color="auto" w:fill="auto"/>
        <w:tabs>
          <w:tab w:pos="564" w:val="left"/>
        </w:tabs>
        <w:bidi w:val="0"/>
        <w:spacing w:before="0" w:after="24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七</w:t>
      </w:r>
      <w:bookmarkEnd w:id="515"/>
      <w:r>
        <w:rPr>
          <w:color w:val="000000"/>
          <w:spacing w:val="0"/>
          <w:w w:val="100"/>
          <w:position w:val="0"/>
          <w:sz w:val="24"/>
          <w:szCs w:val="24"/>
        </w:rPr>
        <w:t>、</w:t>
        <w:tab/>
        <w:t>与上年度财务报告相比，合并报表范围发生变化的情况说明</w:t>
      </w:r>
      <w:bookmarkEnd w:id="513"/>
      <w:bookmarkEnd w:id="514"/>
      <w:bookmarkEnd w:id="516"/>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720" w:line="317" w:lineRule="exact"/>
        <w:ind w:left="0" w:right="0"/>
        <w:jc w:val="left"/>
      </w:pPr>
      <w:r>
        <w:rPr>
          <w:color w:val="000000"/>
          <w:spacing w:val="0"/>
          <w:w w:val="100"/>
          <w:position w:val="0"/>
        </w:rPr>
        <w:t>公司于2021年3月31日召开第七届董事会第十二次临时会议、第七届监事会第九次临时会议审议通过了《关于深圳一卡 易股份科技股份有限公司不再纳入公司合并报表范围的议案》，一卡易股份本期不再纳入公司合并报表范围。同时，深圳一 卡易股份科技股份有限公司子公司深圳钱客多信息科技有限公司及深圳一卡易网络科技有限公司本期不再纳入公司合并报 表范围。</w:t>
      </w:r>
    </w:p>
    <w:p>
      <w:pPr>
        <w:pStyle w:val="Style23"/>
        <w:keepNext/>
        <w:keepLines/>
        <w:widowControl w:val="0"/>
        <w:shd w:val="clear" w:color="auto" w:fill="auto"/>
        <w:tabs>
          <w:tab w:pos="564" w:val="left"/>
        </w:tabs>
        <w:bidi w:val="0"/>
        <w:spacing w:before="0" w:after="36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sz w:val="24"/>
          <w:szCs w:val="24"/>
        </w:rPr>
        <w:t>八</w:t>
      </w:r>
      <w:bookmarkEnd w:id="519"/>
      <w:r>
        <w:rPr>
          <w:color w:val="000000"/>
          <w:spacing w:val="0"/>
          <w:w w:val="100"/>
          <w:position w:val="0"/>
          <w:sz w:val="24"/>
          <w:szCs w:val="24"/>
        </w:rPr>
        <w:t>、</w:t>
        <w:tab/>
        <w:t>聘任、解聘会计师事务所情况</w:t>
      </w:r>
      <w:bookmarkEnd w:id="517"/>
      <w:bookmarkEnd w:id="518"/>
      <w:bookmarkEnd w:id="52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中兴华会计师事务所（特殊普通合伙）</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413"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汪军、陈桂春</w:t>
            </w:r>
          </w:p>
        </w:tc>
      </w:tr>
      <w:tr>
        <w:trPr>
          <w:trHeight w:val="413"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2</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6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4"/>
          <w:szCs w:val="24"/>
        </w:rPr>
        <w:t>九</w:t>
      </w:r>
      <w:bookmarkEnd w:id="523"/>
      <w:r>
        <w:rPr>
          <w:color w:val="000000"/>
          <w:spacing w:val="0"/>
          <w:w w:val="100"/>
          <w:position w:val="0"/>
          <w:sz w:val="24"/>
          <w:szCs w:val="24"/>
        </w:rPr>
        <w:t>、年度报告披露后面临退市情况</w:t>
      </w:r>
      <w:bookmarkEnd w:id="521"/>
      <w:bookmarkEnd w:id="522"/>
      <w:bookmarkEnd w:id="52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60" w:line="240" w:lineRule="auto"/>
        <w:ind w:left="0" w:right="0" w:firstLine="0"/>
        <w:jc w:val="left"/>
      </w:pPr>
      <w:bookmarkStart w:id="525" w:name="bookmark525"/>
      <w:bookmarkStart w:id="526" w:name="bookmark526"/>
      <w:bookmarkStart w:id="527" w:name="bookmark527"/>
      <w:r>
        <w:rPr>
          <w:color w:val="000000"/>
          <w:spacing w:val="0"/>
          <w:w w:val="100"/>
          <w:position w:val="0"/>
          <w:sz w:val="24"/>
          <w:szCs w:val="24"/>
        </w:rPr>
        <w:t>十、破产重整相关事项</w:t>
      </w:r>
      <w:bookmarkEnd w:id="525"/>
      <w:bookmarkEnd w:id="526"/>
      <w:bookmarkEnd w:id="52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0"/>
        <w:jc w:val="left"/>
      </w:pPr>
      <w:bookmarkStart w:id="528" w:name="bookmark528"/>
      <w:bookmarkStart w:id="529" w:name="bookmark529"/>
      <w:bookmarkStart w:id="530" w:name="bookmark530"/>
      <w:r>
        <w:rPr>
          <w:color w:val="000000"/>
          <w:spacing w:val="0"/>
          <w:w w:val="100"/>
          <w:position w:val="0"/>
          <w:sz w:val="24"/>
          <w:szCs w:val="24"/>
        </w:rPr>
        <w:t>十一、重大诉讼、仲裁事项</w:t>
      </w:r>
      <w:bookmarkEnd w:id="528"/>
      <w:bookmarkEnd w:id="529"/>
      <w:bookmarkEnd w:id="530"/>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565"/>
        <w:gridCol w:w="1070"/>
        <w:gridCol w:w="1248"/>
        <w:gridCol w:w="936"/>
        <w:gridCol w:w="1378"/>
        <w:gridCol w:w="1248"/>
        <w:gridCol w:w="1061"/>
        <w:gridCol w:w="107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基本 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涉案金额</w:t>
            </w:r>
          </w:p>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是否形成预</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裁</w:t>
            </w:r>
            <w:r>
              <w:rPr>
                <w:color w:val="000000"/>
                <w:spacing w:val="0"/>
                <w:w w:val="100"/>
                <w:position w:val="0"/>
              </w:rPr>
              <w:t>）</w:t>
            </w:r>
            <w:r>
              <w:rPr>
                <w:rFonts w:ascii="SimSun" w:eastAsia="SimSun" w:hAnsi="SimSun" w:cs="SimSun"/>
                <w:color w:val="000000"/>
                <w:spacing w:val="0"/>
                <w:w w:val="100"/>
                <w:position w:val="0"/>
              </w:rPr>
              <w:t>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审 理结果及影响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判 决执行情况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352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睢</w:t>
            </w:r>
            <w:r>
              <w:rPr>
                <w:color w:val="000000"/>
                <w:spacing w:val="0"/>
                <w:w w:val="100"/>
                <w:position w:val="0"/>
              </w:rPr>
              <w:t>XX</w:t>
            </w:r>
            <w:r>
              <w:rPr>
                <w:rFonts w:ascii="SimSun" w:eastAsia="SimSun" w:hAnsi="SimSun" w:cs="SimSun"/>
                <w:color w:val="000000"/>
                <w:spacing w:val="0"/>
                <w:w w:val="100"/>
                <w:position w:val="0"/>
              </w:rPr>
              <w:t>与恒宝提 供劳务者受害责 任纠纷案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日，法院 已出具民 事调解 书；</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 xml:space="preserve">18 </w:t>
            </w:r>
            <w:r>
              <w:rPr>
                <w:rFonts w:ascii="SimSun" w:eastAsia="SimSun" w:hAnsi="SimSun" w:cs="SimSun"/>
                <w:color w:val="000000"/>
                <w:spacing w:val="0"/>
                <w:w w:val="100"/>
                <w:position w:val="0"/>
              </w:rPr>
              <w:t xml:space="preserve">日，公司 已支付 </w:t>
            </w:r>
            <w:r>
              <w:rPr>
                <w:color w:val="000000"/>
                <w:spacing w:val="0"/>
                <w:w w:val="100"/>
                <w:position w:val="0"/>
              </w:rPr>
              <w:t>9.50</w:t>
            </w:r>
            <w:r>
              <w:rPr>
                <w:rFonts w:ascii="SimSun" w:eastAsia="SimSun" w:hAnsi="SimSun" w:cs="SimSun"/>
                <w:color w:val="000000"/>
                <w:spacing w:val="0"/>
                <w:w w:val="100"/>
                <w:position w:val="0"/>
              </w:rPr>
              <w:t>万元 赔偿款。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和解结案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李</w:t>
            </w:r>
            <w:r>
              <w:rPr>
                <w:color w:val="000000"/>
                <w:spacing w:val="0"/>
                <w:w w:val="100"/>
                <w:position w:val="0"/>
              </w:rPr>
              <w:t>XX</w:t>
            </w:r>
            <w:r>
              <w:rPr>
                <w:rFonts w:ascii="SimSun" w:eastAsia="SimSun" w:hAnsi="SimSun" w:cs="SimSun"/>
                <w:color w:val="000000"/>
                <w:spacing w:val="0"/>
                <w:w w:val="100"/>
                <w:position w:val="0"/>
              </w:rPr>
              <w:t>与恒宝劳</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动争议案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3 </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 法院已出 具民事调 解书；</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3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 xml:space="preserve">日， 公司已支 付 </w:t>
            </w:r>
            <w:r>
              <w:rPr>
                <w:color w:val="000000"/>
                <w:spacing w:val="0"/>
                <w:w w:val="100"/>
                <w:position w:val="0"/>
              </w:rPr>
              <w:t xml:space="preserve">15.00 </w:t>
            </w:r>
            <w:r>
              <w:rPr>
                <w:rFonts w:ascii="SimSun" w:eastAsia="SimSun" w:hAnsi="SimSun" w:cs="SimSun"/>
                <w:color w:val="000000"/>
                <w:spacing w:val="0"/>
                <w:w w:val="100"/>
                <w:position w:val="0"/>
              </w:rPr>
              <w:t>万元赔偿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和解结案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070"/>
        <w:gridCol w:w="1248"/>
        <w:gridCol w:w="936"/>
        <w:gridCol w:w="1378"/>
        <w:gridCol w:w="1248"/>
        <w:gridCol w:w="1061"/>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赵</w:t>
            </w:r>
            <w:r>
              <w:rPr>
                <w:color w:val="000000"/>
                <w:spacing w:val="0"/>
                <w:w w:val="100"/>
                <w:position w:val="0"/>
              </w:rPr>
              <w:t>XX</w:t>
            </w:r>
            <w:r>
              <w:rPr>
                <w:rFonts w:ascii="SimSun" w:eastAsia="SimSun" w:hAnsi="SimSun" w:cs="SimSun"/>
                <w:color w:val="000000"/>
                <w:spacing w:val="0"/>
                <w:w w:val="100"/>
                <w:position w:val="0"/>
              </w:rPr>
              <w:t>与恒宝劳 动争议纠纷案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 法院已出 具民事调 解书；</w:t>
            </w:r>
          </w:p>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 xml:space="preserve">日， 公司已支 付 </w:t>
            </w:r>
            <w:r>
              <w:rPr>
                <w:color w:val="000000"/>
                <w:spacing w:val="0"/>
                <w:w w:val="100"/>
                <w:position w:val="0"/>
              </w:rPr>
              <w:t xml:space="preserve">12.00 </w:t>
            </w:r>
            <w:r>
              <w:rPr>
                <w:rFonts w:ascii="SimSun" w:eastAsia="SimSun" w:hAnsi="SimSun" w:cs="SimSun"/>
                <w:color w:val="000000"/>
                <w:spacing w:val="0"/>
                <w:w w:val="100"/>
                <w:position w:val="0"/>
              </w:rPr>
              <w:t>万元赔偿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和解结案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北京市中伦律师</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事务所与恒宝</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《委托代理协</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议》合同争议案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numPr>
                <w:ilvl w:val="0"/>
                <w:numId w:val="17"/>
              </w:numPr>
              <w:shd w:val="clear" w:color="auto" w:fill="auto"/>
              <w:tabs>
                <w:tab w:pos="413" w:val="left"/>
              </w:tabs>
              <w:bidi w:val="0"/>
              <w:spacing w:before="0" w:after="0" w:line="314" w:lineRule="exact"/>
              <w:ind w:left="0" w:right="0" w:firstLine="0"/>
              <w:jc w:val="both"/>
            </w:pPr>
            <w:r>
              <w:rPr>
                <w:rFonts w:ascii="SimSun" w:eastAsia="SimSun" w:hAnsi="SimSun" w:cs="SimSun"/>
                <w:color w:val="000000"/>
                <w:spacing w:val="0"/>
                <w:w w:val="100"/>
                <w:position w:val="0"/>
              </w:rPr>
              <w:t xml:space="preserve">年 </w:t>
            </w:r>
            <w:r>
              <w:rPr>
                <w:color w:val="000000"/>
                <w:spacing w:val="0"/>
                <w:w w:val="100"/>
                <w:position w:val="0"/>
              </w:rPr>
              <w:t xml:space="preserve">8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 北京市中 伦律师事 务所向北 京仲裁委 员会申请 仲裁；</w:t>
            </w:r>
          </w:p>
          <w:p>
            <w:pPr>
              <w:pStyle w:val="Style20"/>
              <w:keepNext w:val="0"/>
              <w:keepLines w:val="0"/>
              <w:widowControl w:val="0"/>
              <w:numPr>
                <w:ilvl w:val="0"/>
                <w:numId w:val="17"/>
              </w:numPr>
              <w:shd w:val="clear" w:color="auto" w:fill="auto"/>
              <w:tabs>
                <w:tab w:pos="413" w:val="left"/>
              </w:tabs>
              <w:bidi w:val="0"/>
              <w:spacing w:before="0" w:after="0" w:line="314" w:lineRule="exact"/>
              <w:ind w:left="0" w:right="0" w:firstLine="0"/>
              <w:jc w:val="both"/>
            </w:pPr>
            <w:r>
              <w:rPr>
                <w:rFonts w:ascii="SimSun" w:eastAsia="SimSun" w:hAnsi="SimSun" w:cs="SimSun"/>
                <w:color w:val="000000"/>
                <w:spacing w:val="0"/>
                <w:w w:val="100"/>
                <w:position w:val="0"/>
              </w:rPr>
              <w:t xml:space="preserve">年 </w:t>
            </w:r>
            <w:r>
              <w:rPr>
                <w:color w:val="000000"/>
                <w:spacing w:val="0"/>
                <w:w w:val="100"/>
                <w:position w:val="0"/>
              </w:rPr>
              <w:t xml:space="preserve">1 </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 xml:space="preserve">日， 该案件第 </w:t>
            </w:r>
            <w:r>
              <w:rPr>
                <w:color w:val="000000"/>
                <w:spacing w:val="0"/>
                <w:w w:val="100"/>
                <w:position w:val="0"/>
              </w:rPr>
              <w:t>1</w:t>
            </w:r>
            <w:r>
              <w:rPr>
                <w:rFonts w:ascii="SimSun" w:eastAsia="SimSun" w:hAnsi="SimSun" w:cs="SimSun"/>
                <w:color w:val="000000"/>
                <w:spacing w:val="0"/>
                <w:w w:val="100"/>
                <w:position w:val="0"/>
              </w:rPr>
              <w:t>次开庭 审理；</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 xml:space="preserve">日， 该案件第 </w:t>
            </w:r>
            <w:r>
              <w:rPr>
                <w:color w:val="000000"/>
                <w:spacing w:val="0"/>
                <w:w w:val="100"/>
                <w:position w:val="0"/>
              </w:rPr>
              <w:t>2</w:t>
            </w:r>
            <w:r>
              <w:rPr>
                <w:rFonts w:ascii="SimSun" w:eastAsia="SimSun" w:hAnsi="SimSun" w:cs="SimSun"/>
                <w:color w:val="000000"/>
                <w:spacing w:val="0"/>
                <w:w w:val="100"/>
                <w:position w:val="0"/>
              </w:rPr>
              <w:t xml:space="preserve">次开庭 审理； </w:t>
            </w: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9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 公司收到 裁决书， 目前裁决 书内容已 执行完 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裁定结案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恒宝与黄</w:t>
            </w:r>
            <w:r>
              <w:rPr>
                <w:color w:val="000000"/>
                <w:spacing w:val="0"/>
                <w:w w:val="100"/>
                <w:position w:val="0"/>
              </w:rPr>
              <w:t>XX</w:t>
            </w:r>
            <w:r>
              <w:rPr>
                <w:rFonts w:ascii="SimSun" w:eastAsia="SimSun" w:hAnsi="SimSun" w:cs="SimSun"/>
                <w:color w:val="000000"/>
                <w:spacing w:val="0"/>
                <w:w w:val="100"/>
                <w:position w:val="0"/>
              </w:rPr>
              <w:t>名 誉权纠纷案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法院于</w:t>
            </w:r>
          </w:p>
          <w:p>
            <w:pPr>
              <w:pStyle w:val="Style20"/>
              <w:keepNext w:val="0"/>
              <w:keepLines w:val="0"/>
              <w:widowControl w:val="0"/>
              <w:shd w:val="clear" w:color="auto" w:fill="auto"/>
              <w:bidi w:val="0"/>
              <w:spacing w:before="0" w:after="80" w:line="319"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3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 立案；</w:t>
            </w:r>
          </w:p>
          <w:p>
            <w:pPr>
              <w:pStyle w:val="Style20"/>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判决结案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070"/>
        <w:gridCol w:w="1248"/>
        <w:gridCol w:w="936"/>
        <w:gridCol w:w="1378"/>
        <w:gridCol w:w="1248"/>
        <w:gridCol w:w="1061"/>
        <w:gridCol w:w="1075"/>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 法院已出 具民事判 决书，判 决黄</w:t>
            </w:r>
            <w:r>
              <w:rPr>
                <w:color w:val="000000"/>
                <w:spacing w:val="0"/>
                <w:w w:val="100"/>
                <w:position w:val="0"/>
              </w:rPr>
              <w:t xml:space="preserve">XX </w:t>
            </w:r>
            <w:r>
              <w:rPr>
                <w:rFonts w:ascii="SimSun" w:eastAsia="SimSun" w:hAnsi="SimSun" w:cs="SimSun"/>
                <w:color w:val="000000"/>
                <w:spacing w:val="0"/>
                <w:w w:val="100"/>
                <w:position w:val="0"/>
              </w:rPr>
              <w:t xml:space="preserve">支付公司 损失 </w:t>
            </w:r>
            <w:r>
              <w:rPr>
                <w:color w:val="000000"/>
                <w:spacing w:val="0"/>
                <w:w w:val="100"/>
                <w:position w:val="0"/>
              </w:rPr>
              <w:t xml:space="preserve">2000 </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恒宝与张</w:t>
            </w:r>
            <w:r>
              <w:rPr>
                <w:color w:val="000000"/>
                <w:spacing w:val="0"/>
                <w:w w:val="100"/>
                <w:position w:val="0"/>
              </w:rPr>
              <w:t>XX</w:t>
            </w:r>
            <w:r>
              <w:rPr>
                <w:rFonts w:ascii="SimSun" w:eastAsia="SimSun" w:hAnsi="SimSun" w:cs="SimSun"/>
                <w:color w:val="000000"/>
                <w:spacing w:val="0"/>
                <w:w w:val="100"/>
                <w:position w:val="0"/>
              </w:rPr>
              <w:t>名 誉权纠纷案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法院于</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3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 立案；原 告恒宝股 份有限公 司于</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9 </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 向法院提 出撤诉申 请。</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 xml:space="preserve">16 </w:t>
            </w:r>
            <w:r>
              <w:rPr>
                <w:rFonts w:ascii="SimSun" w:eastAsia="SimSun" w:hAnsi="SimSun" w:cs="SimSun"/>
                <w:color w:val="000000"/>
                <w:spacing w:val="0"/>
                <w:w w:val="100"/>
                <w:position w:val="0"/>
              </w:rPr>
              <w:t>日，法院 裁定准予 撤诉。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裁定撤诉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恒宝与于</w:t>
            </w:r>
            <w:r>
              <w:rPr>
                <w:color w:val="000000"/>
                <w:spacing w:val="0"/>
                <w:w w:val="100"/>
                <w:position w:val="0"/>
              </w:rPr>
              <w:t>XX</w:t>
            </w:r>
            <w:r>
              <w:rPr>
                <w:rFonts w:ascii="SimSun" w:eastAsia="SimSun" w:hAnsi="SimSun" w:cs="SimSun"/>
                <w:color w:val="000000"/>
                <w:spacing w:val="0"/>
                <w:w w:val="100"/>
                <w:position w:val="0"/>
              </w:rPr>
              <w:t>、符</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XX</w:t>
            </w:r>
            <w:r>
              <w:rPr>
                <w:rFonts w:ascii="SimSun" w:eastAsia="SimSun" w:hAnsi="SimSun" w:cs="SimSun"/>
                <w:color w:val="000000"/>
                <w:spacing w:val="0"/>
                <w:w w:val="100"/>
                <w:position w:val="0"/>
              </w:rPr>
              <w:t>名誉权纠纷</w:t>
            </w:r>
          </w:p>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法院于</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6 </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 立案；原 告恒宝股 份有限公 司于</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6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 向法院提 出撤诉申 请。</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 xml:space="preserve">17 </w:t>
            </w:r>
            <w:r>
              <w:rPr>
                <w:rFonts w:ascii="SimSun" w:eastAsia="SimSun" w:hAnsi="SimSun" w:cs="SimSun"/>
                <w:color w:val="000000"/>
                <w:spacing w:val="0"/>
                <w:w w:val="100"/>
                <w:position w:val="0"/>
              </w:rPr>
              <w:t>日，法院 裁定准予 撤诉。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裁定撤诉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恒宝与于</w:t>
            </w:r>
            <w:r>
              <w:rPr>
                <w:color w:val="000000"/>
                <w:spacing w:val="0"/>
                <w:w w:val="100"/>
                <w:position w:val="0"/>
              </w:rPr>
              <w:t>XX</w:t>
            </w:r>
            <w:r>
              <w:rPr>
                <w:rFonts w:ascii="SimSun" w:eastAsia="SimSun" w:hAnsi="SimSun" w:cs="SimSun"/>
                <w:color w:val="000000"/>
                <w:spacing w:val="0"/>
                <w:w w:val="100"/>
                <w:position w:val="0"/>
              </w:rPr>
              <w:t xml:space="preserve">、张 </w:t>
            </w:r>
            <w:r>
              <w:rPr>
                <w:color w:val="000000"/>
                <w:spacing w:val="0"/>
                <w:w w:val="100"/>
                <w:position w:val="0"/>
              </w:rPr>
              <w:t>XX</w:t>
            </w:r>
            <w:r>
              <w:rPr>
                <w:rFonts w:ascii="SimSun" w:eastAsia="SimSun" w:hAnsi="SimSun" w:cs="SimSun"/>
                <w:color w:val="000000"/>
                <w:spacing w:val="0"/>
                <w:w w:val="100"/>
                <w:position w:val="0"/>
              </w:rPr>
              <w:t>、蒙</w:t>
            </w:r>
            <w:r>
              <w:rPr>
                <w:color w:val="000000"/>
                <w:spacing w:val="0"/>
                <w:w w:val="100"/>
                <w:position w:val="0"/>
              </w:rPr>
              <w:t>XX</w:t>
            </w:r>
            <w:r>
              <w:rPr>
                <w:rFonts w:ascii="SimSun" w:eastAsia="SimSun" w:hAnsi="SimSun" w:cs="SimSun"/>
                <w:color w:val="000000"/>
                <w:spacing w:val="0"/>
                <w:w w:val="100"/>
                <w:position w:val="0"/>
              </w:rPr>
              <w:t>名誉 权纠纷案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法院于</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6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裁定撤诉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070"/>
        <w:gridCol w:w="1248"/>
        <w:gridCol w:w="936"/>
        <w:gridCol w:w="1378"/>
        <w:gridCol w:w="1248"/>
        <w:gridCol w:w="1061"/>
        <w:gridCol w:w="1075"/>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立案；原 告恒宝股 份有限公 司于</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7 </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 向法院提 出撤诉申 请。</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 xml:space="preserve">5 </w:t>
            </w:r>
            <w:r>
              <w:rPr>
                <w:rFonts w:ascii="SimSun" w:eastAsia="SimSun" w:hAnsi="SimSun" w:cs="SimSun"/>
                <w:color w:val="000000"/>
                <w:spacing w:val="0"/>
                <w:w w:val="100"/>
                <w:position w:val="0"/>
              </w:rPr>
              <w:t>日，法院 裁定准予 撤诉。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恒宝与于</w:t>
            </w:r>
            <w:r>
              <w:rPr>
                <w:color w:val="000000"/>
                <w:spacing w:val="0"/>
                <w:w w:val="100"/>
                <w:position w:val="0"/>
              </w:rPr>
              <w:t>XX</w:t>
            </w:r>
            <w:r>
              <w:rPr>
                <w:rFonts w:ascii="SimSun" w:eastAsia="SimSun" w:hAnsi="SimSun" w:cs="SimSun"/>
                <w:color w:val="000000"/>
                <w:spacing w:val="0"/>
                <w:w w:val="100"/>
                <w:position w:val="0"/>
              </w:rPr>
              <w:t>损 害股东责任利益 纠纷案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法院于</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8 </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 xml:space="preserve">日立 案；法院 于 </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19</w:t>
            </w:r>
            <w:r>
              <w:rPr>
                <w:rFonts w:ascii="SimSun" w:eastAsia="SimSun" w:hAnsi="SimSun" w:cs="SimSun"/>
                <w:color w:val="000000"/>
                <w:spacing w:val="0"/>
                <w:w w:val="100"/>
                <w:position w:val="0"/>
              </w:rPr>
              <w:t>日裁 定驳回原 告于挺进 的起诉。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裁定驳回起诉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恒宝与深圳钱客 多信息科技有限 公司的专利权纠 纷案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原告深圳 钱客多信 息科技有 限公司与 被告恒宝 股份有限 公司侵害 外观设计 专利权纠 纷一案于 </w:t>
            </w: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6 </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日在 南京市中 级人民法 院立案 后。</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 xml:space="preserve">14 </w:t>
            </w:r>
            <w:r>
              <w:rPr>
                <w:rFonts w:ascii="SimSun" w:eastAsia="SimSun" w:hAnsi="SimSun" w:cs="SimSun"/>
                <w:color w:val="000000"/>
                <w:spacing w:val="0"/>
                <w:w w:val="100"/>
                <w:position w:val="0"/>
              </w:rPr>
              <w:t>日，原告 向法院主 动提出撤 诉申请，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原告撤诉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070"/>
        <w:gridCol w:w="1248"/>
        <w:gridCol w:w="936"/>
        <w:gridCol w:w="1378"/>
        <w:gridCol w:w="1248"/>
        <w:gridCol w:w="1061"/>
        <w:gridCol w:w="1075"/>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该案件已</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原告撤诉</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恒宝与深圳钱客 多信息科技有限 公司的擅自使用 他人有一定影响 的商品名称、包 装、装潢纠纷案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原告深圳 钱客多信 息科技有 限公司与 被告恒宝 股份有限 公司擅自 使用他人 有一定影 响的商品 名称、包 装、装潢 纠纷一案 于 </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 xml:space="preserve">13 </w:t>
            </w:r>
            <w:r>
              <w:rPr>
                <w:rFonts w:ascii="SimSun" w:eastAsia="SimSun" w:hAnsi="SimSun" w:cs="SimSun"/>
                <w:color w:val="000000"/>
                <w:spacing w:val="0"/>
                <w:w w:val="100"/>
                <w:position w:val="0"/>
              </w:rPr>
              <w:t>日在江苏 省镇江市 中级人民 法院立 案。目前 尚未开庭 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审理中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张</w:t>
            </w:r>
            <w:r>
              <w:rPr>
                <w:color w:val="000000"/>
                <w:spacing w:val="0"/>
                <w:w w:val="100"/>
                <w:position w:val="0"/>
              </w:rPr>
              <w:t>XX</w:t>
            </w:r>
            <w:r>
              <w:rPr>
                <w:rFonts w:ascii="SimSun" w:eastAsia="SimSun" w:hAnsi="SimSun" w:cs="SimSun"/>
                <w:color w:val="000000"/>
                <w:spacing w:val="0"/>
                <w:w w:val="100"/>
                <w:position w:val="0"/>
              </w:rPr>
              <w:t>、于</w:t>
            </w:r>
            <w:r>
              <w:rPr>
                <w:color w:val="000000"/>
                <w:spacing w:val="0"/>
                <w:w w:val="100"/>
                <w:position w:val="0"/>
              </w:rPr>
              <w:t>XX</w:t>
            </w:r>
            <w:r>
              <w:rPr>
                <w:rFonts w:ascii="SimSun" w:eastAsia="SimSun" w:hAnsi="SimSun" w:cs="SimSun"/>
                <w:color w:val="000000"/>
                <w:spacing w:val="0"/>
                <w:w w:val="100"/>
                <w:position w:val="0"/>
              </w:rPr>
              <w:t>、 蒙</w:t>
            </w:r>
            <w:r>
              <w:rPr>
                <w:color w:val="000000"/>
                <w:spacing w:val="0"/>
                <w:w w:val="100"/>
                <w:position w:val="0"/>
              </w:rPr>
              <w:t>XX</w:t>
            </w:r>
            <w:r>
              <w:rPr>
                <w:rFonts w:ascii="SimSun" w:eastAsia="SimSun" w:hAnsi="SimSun" w:cs="SimSun"/>
                <w:color w:val="000000"/>
                <w:spacing w:val="0"/>
                <w:w w:val="100"/>
                <w:position w:val="0"/>
              </w:rPr>
              <w:t>、皮</w:t>
            </w:r>
            <w:r>
              <w:rPr>
                <w:color w:val="000000"/>
                <w:spacing w:val="0"/>
                <w:w w:val="100"/>
                <w:position w:val="0"/>
              </w:rPr>
              <w:t>XX</w:t>
            </w:r>
            <w:r>
              <w:rPr>
                <w:rFonts w:ascii="SimSun" w:eastAsia="SimSun" w:hAnsi="SimSun" w:cs="SimSun"/>
                <w:color w:val="000000"/>
                <w:spacing w:val="0"/>
                <w:w w:val="100"/>
                <w:position w:val="0"/>
              </w:rPr>
              <w:t>与 恒宝《股份转让 协议》合同争议 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16,610.46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 公司已向 上海市仲 裁委员会 申请仲 裁；</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日，该案 件已开庭 审理；截 至目前公 司尚未收 到该案件 的仲裁裁 决结果。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审理中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keepLines/>
        <w:widowControl w:val="0"/>
        <w:shd w:val="clear" w:color="auto" w:fill="auto"/>
        <w:bidi w:val="0"/>
        <w:spacing w:before="0" w:after="340" w:line="240" w:lineRule="auto"/>
        <w:ind w:left="0" w:right="0" w:firstLine="0"/>
        <w:jc w:val="left"/>
      </w:pPr>
      <w:bookmarkStart w:id="531" w:name="bookmark531"/>
      <w:bookmarkStart w:id="532" w:name="bookmark532"/>
      <w:bookmarkStart w:id="533" w:name="bookmark533"/>
      <w:r>
        <w:rPr>
          <w:color w:val="000000"/>
          <w:spacing w:val="0"/>
          <w:w w:val="100"/>
          <w:position w:val="0"/>
          <w:sz w:val="24"/>
          <w:szCs w:val="24"/>
        </w:rPr>
        <w:t>十二、处罚及整改情况</w:t>
      </w:r>
      <w:bookmarkEnd w:id="531"/>
      <w:bookmarkEnd w:id="532"/>
      <w:bookmarkEnd w:id="533"/>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373"/>
        <w:gridCol w:w="1368"/>
        <w:gridCol w:w="1363"/>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r>
              <w:rPr>
                <w:color w:val="000000"/>
                <w:spacing w:val="0"/>
                <w:w w:val="100"/>
                <w:position w:val="0"/>
              </w:rPr>
              <w:t>/</w:t>
            </w: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调查处罚类型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结论（如有）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384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恒宝股份有限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公司经营业绩 发生大幅变 动，未在</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日前 披露</w:t>
            </w:r>
            <w:r>
              <w:rPr>
                <w:color w:val="000000"/>
                <w:spacing w:val="0"/>
                <w:w w:val="100"/>
                <w:position w:val="0"/>
              </w:rPr>
              <w:t>2020</w:t>
            </w:r>
            <w:r>
              <w:rPr>
                <w:rFonts w:ascii="SimSun" w:eastAsia="SimSun" w:hAnsi="SimSun" w:cs="SimSun"/>
                <w:color w:val="000000"/>
                <w:spacing w:val="0"/>
                <w:w w:val="100"/>
                <w:position w:val="0"/>
              </w:rPr>
              <w:t>年度 业绩预告，违 反了《上市公 司信息披露管 理办法》</w:t>
            </w:r>
            <w:r>
              <w:rPr>
                <w:color w:val="000000"/>
                <w:spacing w:val="0"/>
                <w:w w:val="100"/>
                <w:position w:val="0"/>
              </w:rPr>
              <w:t xml:space="preserve">（2007 </w:t>
            </w:r>
            <w:r>
              <w:rPr>
                <w:rFonts w:ascii="SimSun" w:eastAsia="SimSun" w:hAnsi="SimSun" w:cs="SimSun"/>
                <w:color w:val="000000"/>
                <w:spacing w:val="0"/>
                <w:w w:val="100"/>
                <w:position w:val="0"/>
              </w:rPr>
              <w:t>年</w:t>
            </w:r>
            <w:r>
              <w:rPr>
                <w:color w:val="000000"/>
                <w:spacing w:val="0"/>
                <w:w w:val="100"/>
                <w:position w:val="0"/>
              </w:rPr>
              <w:t>）</w:t>
            </w:r>
            <w:r>
              <w:rPr>
                <w:rFonts w:ascii="SimSun" w:eastAsia="SimSun" w:hAnsi="SimSun" w:cs="SimSun"/>
                <w:color w:val="000000"/>
                <w:spacing w:val="0"/>
                <w:w w:val="100"/>
                <w:position w:val="0"/>
              </w:rPr>
              <w:t>第二条、第 二十五条规 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中国证券监督 管理委员决定 对公司采取出 具警示函的行 政监管措施， 并记入证券期 货市场诚信档 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关于收到江苏 证监局警示函 的公告（公告 编号：</w:t>
            </w:r>
          </w:p>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2021-048</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巨 潮资讯网</w:t>
            </w:r>
          </w:p>
          <w:p>
            <w:pPr>
              <w:pStyle w:val="Style20"/>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w:t>
            </w:r>
            <w:r>
              <w:fldChar w:fldCharType="begin"/>
            </w:r>
            <w:r>
              <w:rPr/>
              <w:instrText> HYPERLINK "http://www.c" </w:instrText>
            </w:r>
            <w:r>
              <w:fldChar w:fldCharType="separate"/>
            </w:r>
            <w:r>
              <w:rPr>
                <w:color w:val="000000"/>
                <w:spacing w:val="0"/>
                <w:w w:val="100"/>
                <w:position w:val="0"/>
              </w:rPr>
              <w:t>http://www.c</w:t>
            </w:r>
            <w:r>
              <w:fldChar w:fldCharType="end"/>
            </w:r>
            <w:r>
              <w:rPr>
                <w:color w:val="000000"/>
                <w:spacing w:val="0"/>
                <w:w w:val="100"/>
                <w:position w:val="0"/>
              </w:rPr>
              <w:t xml:space="preserve"> ninfo.com.cn</w:t>
            </w:r>
            <w:r>
              <w:rPr>
                <w:rFonts w:ascii="SimSun" w:eastAsia="SimSun" w:hAnsi="SimSun" w:cs="SimSun"/>
                <w:color w:val="000000"/>
                <w:spacing w:val="0"/>
                <w:w w:val="100"/>
                <w:position w:val="0"/>
              </w:rPr>
              <w:t>）</w:t>
            </w:r>
          </w:p>
        </w:tc>
      </w:tr>
    </w:tbl>
    <w:p>
      <w:pPr>
        <w:widowControl w:val="0"/>
        <w:spacing w:after="339" w:line="1" w:lineRule="exact"/>
      </w:pPr>
    </w:p>
    <w:p>
      <w:pPr>
        <w:pStyle w:val="Style23"/>
        <w:keepNext/>
        <w:keepLines/>
        <w:widowControl w:val="0"/>
        <w:shd w:val="clear" w:color="auto" w:fill="auto"/>
        <w:bidi w:val="0"/>
        <w:spacing w:before="0" w:after="260" w:line="240" w:lineRule="auto"/>
        <w:ind w:left="0" w:right="0" w:firstLine="0"/>
        <w:jc w:val="left"/>
      </w:pPr>
      <w:bookmarkStart w:id="534" w:name="bookmark534"/>
      <w:bookmarkStart w:id="535" w:name="bookmark535"/>
      <w:bookmarkStart w:id="536" w:name="bookmark536"/>
      <w:r>
        <w:rPr>
          <w:color w:val="000000"/>
          <w:spacing w:val="0"/>
          <w:w w:val="100"/>
          <w:position w:val="0"/>
          <w:sz w:val="24"/>
          <w:szCs w:val="24"/>
        </w:rPr>
        <w:t>十三、公司及其控股股东、实际控制人的诚信状况</w:t>
      </w:r>
      <w:bookmarkEnd w:id="534"/>
      <w:bookmarkEnd w:id="535"/>
      <w:bookmarkEnd w:id="536"/>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720" w:line="317" w:lineRule="exact"/>
        <w:ind w:left="0" w:right="0"/>
        <w:jc w:val="left"/>
      </w:pPr>
      <w:r>
        <w:rPr>
          <w:color w:val="000000"/>
          <w:spacing w:val="0"/>
          <w:w w:val="100"/>
          <w:position w:val="0"/>
        </w:rPr>
        <w:t>报告期内，公司及控股股东、实际控制人诚信状况良好，不存在未履行法院生效判决、所负数额较大的债务到期未清偿 等情况。</w:t>
      </w:r>
    </w:p>
    <w:p>
      <w:pPr>
        <w:pStyle w:val="Style23"/>
        <w:keepNext/>
        <w:keepLines/>
        <w:widowControl w:val="0"/>
        <w:shd w:val="clear" w:color="auto" w:fill="auto"/>
        <w:bidi w:val="0"/>
        <w:spacing w:before="0" w:after="340" w:line="240" w:lineRule="auto"/>
        <w:ind w:left="0" w:right="0" w:firstLine="0"/>
        <w:jc w:val="left"/>
      </w:pPr>
      <w:bookmarkStart w:id="537" w:name="bookmark537"/>
      <w:bookmarkStart w:id="538" w:name="bookmark538"/>
      <w:bookmarkStart w:id="539" w:name="bookmark539"/>
      <w:r>
        <w:rPr>
          <w:color w:val="000000"/>
          <w:spacing w:val="0"/>
          <w:w w:val="100"/>
          <w:position w:val="0"/>
          <w:sz w:val="24"/>
          <w:szCs w:val="24"/>
        </w:rPr>
        <w:t>十四、重大关联交易</w:t>
      </w:r>
      <w:bookmarkEnd w:id="537"/>
      <w:bookmarkEnd w:id="538"/>
      <w:bookmarkEnd w:id="539"/>
    </w:p>
    <w:p>
      <w:pPr>
        <w:pStyle w:val="Style27"/>
        <w:keepNext/>
        <w:keepLines/>
        <w:widowControl w:val="0"/>
        <w:shd w:val="clear" w:color="auto" w:fill="auto"/>
        <w:tabs>
          <w:tab w:pos="368" w:val="left"/>
        </w:tabs>
        <w:bidi w:val="0"/>
        <w:spacing w:before="0" w:after="26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1</w:t>
      </w:r>
      <w:bookmarkEnd w:id="542"/>
      <w:r>
        <w:rPr>
          <w:color w:val="000000"/>
          <w:spacing w:val="0"/>
          <w:w w:val="100"/>
          <w:position w:val="0"/>
        </w:rPr>
        <w:t>、</w:t>
        <w:tab/>
        <w:t>与日常经营相关的关联交易</w:t>
      </w:r>
      <w:bookmarkEnd w:id="540"/>
      <w:bookmarkEnd w:id="541"/>
      <w:bookmarkEnd w:id="543"/>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公司报告期未发生与日常经营相关的关联交易。</w:t>
      </w:r>
    </w:p>
    <w:p>
      <w:pPr>
        <w:pStyle w:val="Style27"/>
        <w:keepNext/>
        <w:keepLines/>
        <w:widowControl w:val="0"/>
        <w:shd w:val="clear" w:color="auto" w:fill="auto"/>
        <w:tabs>
          <w:tab w:pos="378" w:val="left"/>
        </w:tabs>
        <w:bidi w:val="0"/>
        <w:spacing w:before="0" w:after="26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2</w:t>
      </w:r>
      <w:bookmarkEnd w:id="546"/>
      <w:r>
        <w:rPr>
          <w:color w:val="000000"/>
          <w:spacing w:val="0"/>
          <w:w w:val="100"/>
          <w:position w:val="0"/>
        </w:rPr>
        <w:t>、</w:t>
        <w:tab/>
        <w:t>资产或股权收购、出售发生的关联交易</w:t>
      </w:r>
      <w:bookmarkEnd w:id="544"/>
      <w:bookmarkEnd w:id="545"/>
      <w:bookmarkEnd w:id="547"/>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378" w:val="left"/>
        </w:tabs>
        <w:bidi w:val="0"/>
        <w:spacing w:before="0" w:after="26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共同对外投资的关联交易</w:t>
      </w:r>
      <w:bookmarkEnd w:id="548"/>
      <w:bookmarkEnd w:id="549"/>
      <w:bookmarkEnd w:id="551"/>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260" w:line="317" w:lineRule="exact"/>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4</w:t>
      </w:r>
      <w:bookmarkEnd w:id="554"/>
      <w:r>
        <w:rPr>
          <w:color w:val="000000"/>
          <w:spacing w:val="0"/>
          <w:w w:val="100"/>
          <w:position w:val="0"/>
        </w:rPr>
        <w:t>、</w:t>
        <w:tab/>
        <w:t>关联债权债务往来</w:t>
      </w:r>
      <w:bookmarkEnd w:id="552"/>
      <w:bookmarkEnd w:id="553"/>
      <w:bookmarkEnd w:id="55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27"/>
        <w:keepNext/>
        <w:keepLines/>
        <w:widowControl w:val="0"/>
        <w:shd w:val="clear" w:color="auto" w:fill="auto"/>
        <w:tabs>
          <w:tab w:pos="378" w:val="left"/>
        </w:tabs>
        <w:bidi w:val="0"/>
        <w:spacing w:before="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5</w:t>
      </w:r>
      <w:bookmarkEnd w:id="558"/>
      <w:r>
        <w:rPr>
          <w:color w:val="000000"/>
          <w:spacing w:val="0"/>
          <w:w w:val="100"/>
          <w:position w:val="0"/>
        </w:rPr>
        <w:t>、</w:t>
        <w:tab/>
        <w:t>与存在关联关系的财务公司的往来情况</w:t>
      </w:r>
      <w:bookmarkEnd w:id="556"/>
      <w:bookmarkEnd w:id="557"/>
      <w:bookmarkEnd w:id="55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378" w:val="left"/>
        </w:tabs>
        <w:bidi w:val="0"/>
        <w:spacing w:before="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6</w:t>
      </w:r>
      <w:bookmarkEnd w:id="562"/>
      <w:r>
        <w:rPr>
          <w:color w:val="000000"/>
          <w:spacing w:val="0"/>
          <w:w w:val="100"/>
          <w:position w:val="0"/>
        </w:rPr>
        <w:t>、</w:t>
        <w:tab/>
        <w:t>公司控股的财务公司与关联方的往来情况</w:t>
      </w:r>
      <w:bookmarkEnd w:id="560"/>
      <w:bookmarkEnd w:id="561"/>
      <w:bookmarkEnd w:id="56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27"/>
        <w:keepNext/>
        <w:keepLines/>
        <w:widowControl w:val="0"/>
        <w:shd w:val="clear" w:color="auto" w:fill="auto"/>
        <w:tabs>
          <w:tab w:pos="378" w:val="left"/>
        </w:tabs>
        <w:bidi w:val="0"/>
        <w:spacing w:before="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7</w:t>
      </w:r>
      <w:bookmarkEnd w:id="566"/>
      <w:r>
        <w:rPr>
          <w:color w:val="000000"/>
          <w:spacing w:val="0"/>
          <w:w w:val="100"/>
          <w:position w:val="0"/>
        </w:rPr>
        <w:t>、</w:t>
        <w:tab/>
        <w:t>其他重大关联交易</w:t>
      </w:r>
      <w:bookmarkEnd w:id="564"/>
      <w:bookmarkEnd w:id="565"/>
      <w:bookmarkEnd w:id="56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60" w:line="240" w:lineRule="auto"/>
        <w:ind w:left="0" w:right="0" w:firstLine="0"/>
        <w:jc w:val="left"/>
      </w:pPr>
      <w:bookmarkStart w:id="568" w:name="bookmark568"/>
      <w:bookmarkStart w:id="569" w:name="bookmark569"/>
      <w:bookmarkStart w:id="570" w:name="bookmark570"/>
      <w:r>
        <w:rPr>
          <w:color w:val="000000"/>
          <w:spacing w:val="0"/>
          <w:w w:val="100"/>
          <w:position w:val="0"/>
          <w:sz w:val="24"/>
          <w:szCs w:val="24"/>
        </w:rPr>
        <w:t>十五、重大合同及其履行情况</w:t>
      </w:r>
      <w:bookmarkEnd w:id="568"/>
      <w:bookmarkEnd w:id="569"/>
      <w:bookmarkEnd w:id="570"/>
    </w:p>
    <w:p>
      <w:pPr>
        <w:pStyle w:val="Style27"/>
        <w:keepNext/>
        <w:keepLines/>
        <w:widowControl w:val="0"/>
        <w:shd w:val="clear" w:color="auto" w:fill="auto"/>
        <w:tabs>
          <w:tab w:pos="368" w:val="left"/>
        </w:tabs>
        <w:bidi w:val="0"/>
        <w:spacing w:before="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color w:val="000000"/>
          <w:spacing w:val="0"/>
          <w:w w:val="100"/>
          <w:position w:val="0"/>
        </w:rPr>
        <w:t>、</w:t>
        <w:tab/>
        <w:t>托管、承包、租赁事项情况</w:t>
      </w:r>
      <w:bookmarkEnd w:id="571"/>
      <w:bookmarkEnd w:id="572"/>
      <w:bookmarkEnd w:id="574"/>
    </w:p>
    <w:p>
      <w:pPr>
        <w:pStyle w:val="Style27"/>
        <w:keepNext/>
        <w:keepLines/>
        <w:widowControl w:val="0"/>
        <w:shd w:val="clear" w:color="auto" w:fill="auto"/>
        <w:tabs>
          <w:tab w:pos="498" w:val="left"/>
        </w:tabs>
        <w:bidi w:val="0"/>
        <w:spacing w:before="0" w:line="240" w:lineRule="auto"/>
        <w:ind w:left="0" w:right="0" w:firstLine="0"/>
        <w:jc w:val="left"/>
      </w:pPr>
      <w:bookmarkStart w:id="571" w:name="bookmark571"/>
      <w:bookmarkStart w:id="572" w:name="bookmark572"/>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71"/>
      <w:bookmarkEnd w:id="572"/>
      <w:bookmarkEnd w:id="57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27"/>
        <w:keepNext/>
        <w:keepLines/>
        <w:widowControl w:val="0"/>
        <w:shd w:val="clear" w:color="auto" w:fill="auto"/>
        <w:tabs>
          <w:tab w:pos="498" w:val="left"/>
        </w:tabs>
        <w:bidi w:val="0"/>
        <w:spacing w:before="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rPr>
        <w:t>（</w:t>
      </w:r>
      <w:bookmarkEnd w:id="57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77"/>
      <w:bookmarkEnd w:id="578"/>
      <w:bookmarkEnd w:id="58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27"/>
        <w:keepNext/>
        <w:keepLines/>
        <w:widowControl w:val="0"/>
        <w:shd w:val="clear" w:color="auto" w:fill="auto"/>
        <w:tabs>
          <w:tab w:pos="498" w:val="left"/>
        </w:tabs>
        <w:bidi w:val="0"/>
        <w:spacing w:before="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81"/>
      <w:bookmarkEnd w:id="582"/>
      <w:bookmarkEnd w:id="58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27"/>
        <w:keepNext/>
        <w:keepLines/>
        <w:widowControl w:val="0"/>
        <w:shd w:val="clear" w:color="auto" w:fill="auto"/>
        <w:tabs>
          <w:tab w:pos="378" w:val="left"/>
        </w:tabs>
        <w:bidi w:val="0"/>
        <w:spacing w:before="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bookmarkEnd w:id="587"/>
      <w:r>
        <w:rPr>
          <w:color w:val="000000"/>
          <w:spacing w:val="0"/>
          <w:w w:val="100"/>
          <w:position w:val="0"/>
        </w:rPr>
        <w:t>、</w:t>
        <w:tab/>
        <w:t>重大担保</w:t>
      </w:r>
      <w:bookmarkEnd w:id="585"/>
      <w:bookmarkEnd w:id="586"/>
      <w:bookmarkEnd w:id="58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公司报告期不存在重大担保情况。</w:t>
      </w:r>
    </w:p>
    <w:p>
      <w:pPr>
        <w:pStyle w:val="Style27"/>
        <w:keepNext/>
        <w:keepLines/>
        <w:widowControl w:val="0"/>
        <w:shd w:val="clear" w:color="auto" w:fill="auto"/>
        <w:bidi w:val="0"/>
        <w:spacing w:before="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3</w:t>
      </w:r>
      <w:bookmarkEnd w:id="591"/>
      <w:r>
        <w:rPr>
          <w:color w:val="000000"/>
          <w:spacing w:val="0"/>
          <w:w w:val="100"/>
          <w:position w:val="0"/>
        </w:rPr>
        <w:t>、委托他人进行现金资产管理情况</w:t>
      </w:r>
      <w:bookmarkEnd w:id="589"/>
      <w:bookmarkEnd w:id="590"/>
      <w:bookmarkEnd w:id="592"/>
    </w:p>
    <w:p>
      <w:pPr>
        <w:pStyle w:val="Style27"/>
        <w:keepNext/>
        <w:keepLines/>
        <w:widowControl w:val="0"/>
        <w:shd w:val="clear" w:color="auto" w:fill="auto"/>
        <w:bidi w:val="0"/>
        <w:spacing w:before="0" w:line="240" w:lineRule="auto"/>
        <w:ind w:left="0" w:right="0" w:firstLine="0"/>
        <w:jc w:val="left"/>
      </w:pPr>
      <w:bookmarkStart w:id="589" w:name="bookmark589"/>
      <w:bookmarkStart w:id="590" w:name="bookmark590"/>
      <w:bookmarkStart w:id="593" w:name="bookmark593"/>
      <w:bookmarkStart w:id="594" w:name="bookmark594"/>
      <w:r>
        <w:rPr>
          <w:color w:val="000000"/>
          <w:spacing w:val="0"/>
          <w:w w:val="100"/>
          <w:position w:val="0"/>
        </w:rPr>
        <w:t>（</w:t>
      </w:r>
      <w:bookmarkEnd w:id="59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89"/>
      <w:bookmarkEnd w:id="590"/>
      <w:bookmarkEnd w:id="59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570"/>
        <w:gridCol w:w="1637"/>
        <w:gridCol w:w="1661"/>
        <w:gridCol w:w="1603"/>
        <w:gridCol w:w="1550"/>
        <w:gridCol w:w="156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具体类型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委托理财的资金 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委托理财发生额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未到期余额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逾期未收回的金 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逾期未收回理财 已计提减值金额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340,000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77,548.01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20,223.98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20,331.05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360,223.98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97,879.06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r>
    </w:tbl>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单项金额重大或安全性较低、流动性较差的高风险委托理财具体情况</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委托理财出现预期无法收回本金或存在其他可能导致减值的情形</w:t>
      </w:r>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口适用”不适用</w:t>
      </w:r>
    </w:p>
    <w:p>
      <w:pPr>
        <w:pStyle w:val="Style27"/>
        <w:keepNext/>
        <w:keepLines/>
        <w:widowControl w:val="0"/>
        <w:shd w:val="clear" w:color="auto" w:fill="auto"/>
        <w:bidi w:val="0"/>
        <w:spacing w:before="0" w:after="26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95"/>
      <w:bookmarkEnd w:id="596"/>
      <w:bookmarkEnd w:id="598"/>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公司报告期不存在委托贷款。</w:t>
      </w:r>
    </w:p>
    <w:p>
      <w:pPr>
        <w:pStyle w:val="Style27"/>
        <w:keepNext/>
        <w:keepLines/>
        <w:widowControl w:val="0"/>
        <w:shd w:val="clear" w:color="auto" w:fill="auto"/>
        <w:bidi w:val="0"/>
        <w:spacing w:before="0" w:after="26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4</w:t>
      </w:r>
      <w:bookmarkEnd w:id="601"/>
      <w:r>
        <w:rPr>
          <w:color w:val="000000"/>
          <w:spacing w:val="0"/>
          <w:w w:val="100"/>
          <w:position w:val="0"/>
        </w:rPr>
        <w:t>、其他重大合同</w:t>
      </w:r>
      <w:bookmarkEnd w:id="599"/>
      <w:bookmarkEnd w:id="600"/>
      <w:bookmarkEnd w:id="602"/>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260" w:line="240" w:lineRule="auto"/>
        <w:ind w:left="0" w:right="0" w:firstLine="0"/>
        <w:jc w:val="left"/>
      </w:pPr>
      <w:bookmarkStart w:id="603" w:name="bookmark603"/>
      <w:bookmarkStart w:id="604" w:name="bookmark604"/>
      <w:bookmarkStart w:id="605" w:name="bookmark605"/>
      <w:r>
        <w:rPr>
          <w:color w:val="000000"/>
          <w:spacing w:val="0"/>
          <w:w w:val="100"/>
          <w:position w:val="0"/>
          <w:sz w:val="24"/>
          <w:szCs w:val="24"/>
        </w:rPr>
        <w:t>十六、其他重大事项的说明</w:t>
      </w:r>
      <w:bookmarkEnd w:id="603"/>
      <w:bookmarkEnd w:id="604"/>
      <w:bookmarkEnd w:id="605"/>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公司报告期不存在需要说明的其他重大事项。</w:t>
      </w:r>
    </w:p>
    <w:p>
      <w:pPr>
        <w:pStyle w:val="Style23"/>
        <w:keepNext/>
        <w:keepLines/>
        <w:widowControl w:val="0"/>
        <w:shd w:val="clear" w:color="auto" w:fill="auto"/>
        <w:bidi w:val="0"/>
        <w:spacing w:before="0" w:after="260" w:line="240" w:lineRule="auto"/>
        <w:ind w:left="0" w:right="0" w:firstLine="0"/>
        <w:jc w:val="left"/>
      </w:pPr>
      <w:bookmarkStart w:id="606" w:name="bookmark606"/>
      <w:bookmarkStart w:id="607" w:name="bookmark607"/>
      <w:bookmarkStart w:id="608" w:name="bookmark608"/>
      <w:r>
        <w:rPr>
          <w:color w:val="000000"/>
          <w:spacing w:val="0"/>
          <w:w w:val="100"/>
          <w:position w:val="0"/>
          <w:sz w:val="24"/>
          <w:szCs w:val="24"/>
        </w:rPr>
        <w:t>十七、公司子公司重大事项</w:t>
      </w:r>
      <w:bookmarkEnd w:id="606"/>
      <w:bookmarkEnd w:id="607"/>
      <w:bookmarkEnd w:id="608"/>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260" w:line="314"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日召开第七届董事会第十二次临时会议、第七届监事会第九次临时会议审议通过了《关于深圳一卡 易股份科技股份有限公司不再纳入公司合并报表范围的议案》，一卡易股份不再纳入公司</w:t>
      </w:r>
      <w:r>
        <w:rPr>
          <w:rFonts w:ascii="Times New Roman" w:eastAsia="Times New Roman" w:hAnsi="Times New Roman" w:cs="Times New Roman"/>
          <w:color w:val="000000"/>
          <w:spacing w:val="0"/>
          <w:w w:val="100"/>
          <w:position w:val="0"/>
        </w:rPr>
        <w:t>2021</w:t>
      </w:r>
      <w:r>
        <w:rPr>
          <w:color w:val="000000"/>
          <w:spacing w:val="0"/>
          <w:w w:val="100"/>
          <w:position w:val="0"/>
        </w:rPr>
        <w:t>年度合并报表范围，详见公司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日在《上海证券报》、《中国证券报》、《证券时报》及巨潮资讯网（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上刊登的《恒宝</w:t>
      </w:r>
      <w:r>
        <w:rPr>
          <w:color w:val="000000"/>
          <w:spacing w:val="0"/>
          <w:w w:val="100"/>
          <w:position w:val="0"/>
        </w:rPr>
        <w:t xml:space="preserve"> 股份第七届董事会第十二次临时会议决议公告》（公告编号：</w:t>
      </w:r>
      <w:r>
        <w:rPr>
          <w:rFonts w:ascii="Times New Roman" w:eastAsia="Times New Roman" w:hAnsi="Times New Roman" w:cs="Times New Roman"/>
          <w:color w:val="000000"/>
          <w:spacing w:val="0"/>
          <w:w w:val="100"/>
          <w:position w:val="0"/>
        </w:rPr>
        <w:t>2021-022</w:t>
      </w:r>
      <w:r>
        <w:rPr>
          <w:color w:val="000000"/>
          <w:spacing w:val="0"/>
          <w:w w:val="100"/>
          <w:position w:val="0"/>
        </w:rPr>
        <w:t>）、《恒宝股份第七届监事会第九次临时会议决议公告》 （公告编号：</w:t>
      </w:r>
      <w:r>
        <w:rPr>
          <w:rFonts w:ascii="Times New Roman" w:eastAsia="Times New Roman" w:hAnsi="Times New Roman" w:cs="Times New Roman"/>
          <w:color w:val="000000"/>
          <w:spacing w:val="0"/>
          <w:w w:val="100"/>
          <w:position w:val="0"/>
        </w:rPr>
        <w:t>2021-023</w:t>
      </w:r>
      <w:r>
        <w:rPr>
          <w:color w:val="000000"/>
          <w:spacing w:val="0"/>
          <w:w w:val="100"/>
          <w:position w:val="0"/>
        </w:rPr>
        <w:t>）、《关于深圳一卡易科技股份有限公司不再纳入公司合并报表范围的公告》（公告编号：</w:t>
      </w:r>
      <w:r>
        <w:rPr>
          <w:rFonts w:ascii="Times New Roman" w:eastAsia="Times New Roman" w:hAnsi="Times New Roman" w:cs="Times New Roman"/>
          <w:color w:val="000000"/>
          <w:spacing w:val="0"/>
          <w:w w:val="100"/>
          <w:position w:val="0"/>
        </w:rPr>
        <w:t>2021-024</w:t>
      </w:r>
      <w:r>
        <w:rPr>
          <w:color w:val="000000"/>
          <w:spacing w:val="0"/>
          <w:w w:val="100"/>
          <w:position w:val="0"/>
        </w:rPr>
        <w:t>）、 《关于对深圳一卡易科技股份有限公司失去控制的公告》（公告编号：</w:t>
      </w:r>
      <w:r>
        <w:rPr>
          <w:rFonts w:ascii="Times New Roman" w:eastAsia="Times New Roman" w:hAnsi="Times New Roman" w:cs="Times New Roman"/>
          <w:color w:val="000000"/>
          <w:spacing w:val="0"/>
          <w:w w:val="100"/>
          <w:position w:val="0"/>
        </w:rPr>
        <w:t>2021-020</w:t>
      </w:r>
      <w:r>
        <w:rPr>
          <w:color w:val="000000"/>
          <w:spacing w:val="0"/>
          <w:w w:val="100"/>
          <w:position w:val="0"/>
        </w:rPr>
        <w:t>）。</w:t>
      </w:r>
      <w:r>
        <w:br w:type="page"/>
      </w:r>
    </w:p>
    <w:p>
      <w:pPr>
        <w:pStyle w:val="Style10"/>
        <w:keepNext/>
        <w:keepLines/>
        <w:widowControl w:val="0"/>
        <w:shd w:val="clear" w:color="auto" w:fill="auto"/>
        <w:bidi w:val="0"/>
        <w:spacing w:before="0" w:after="540" w:line="240" w:lineRule="auto"/>
        <w:ind w:left="0" w:right="0" w:firstLine="0"/>
        <w:jc w:val="center"/>
      </w:pPr>
      <w:bookmarkStart w:id="609" w:name="bookmark609"/>
      <w:bookmarkStart w:id="610" w:name="bookmark610"/>
      <w:bookmarkStart w:id="611" w:name="bookmark611"/>
      <w:r>
        <w:rPr>
          <w:color w:val="000000"/>
          <w:spacing w:val="0"/>
          <w:w w:val="100"/>
          <w:position w:val="0"/>
        </w:rPr>
        <w:t>第七节股份变动及股东情况</w:t>
      </w:r>
      <w:bookmarkEnd w:id="609"/>
      <w:bookmarkEnd w:id="610"/>
      <w:bookmarkEnd w:id="611"/>
    </w:p>
    <w:p>
      <w:pPr>
        <w:pStyle w:val="Style23"/>
        <w:keepNext/>
        <w:keepLines/>
        <w:widowControl w:val="0"/>
        <w:shd w:val="clear" w:color="auto" w:fill="auto"/>
        <w:bidi w:val="0"/>
        <w:spacing w:before="0" w:after="32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一</w:t>
      </w:r>
      <w:bookmarkEnd w:id="614"/>
      <w:r>
        <w:rPr>
          <w:color w:val="000000"/>
          <w:spacing w:val="0"/>
          <w:w w:val="100"/>
          <w:position w:val="0"/>
          <w:sz w:val="24"/>
          <w:szCs w:val="24"/>
        </w:rPr>
        <w:t>、股份变动情况</w:t>
      </w:r>
      <w:bookmarkEnd w:id="612"/>
      <w:bookmarkEnd w:id="613"/>
      <w:bookmarkEnd w:id="615"/>
    </w:p>
    <w:p>
      <w:pPr>
        <w:pStyle w:val="Style27"/>
        <w:keepNext/>
        <w:keepLines/>
        <w:widowControl w:val="0"/>
        <w:shd w:val="clear" w:color="auto" w:fill="auto"/>
        <w:bidi w:val="0"/>
        <w:spacing w:before="0" w:line="240" w:lineRule="auto"/>
        <w:ind w:left="0" w:right="0" w:firstLine="0"/>
        <w:jc w:val="both"/>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、股份变动情况</w:t>
      </w:r>
      <w:bookmarkEnd w:id="616"/>
      <w:bookmarkEnd w:id="617"/>
      <w:bookmarkEnd w:id="619"/>
    </w:p>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单位：股</w:t>
      </w:r>
    </w:p>
    <w:tbl>
      <w:tblPr>
        <w:tblOverlap w:val="never"/>
        <w:jc w:val="center"/>
        <w:tblLayout w:type="fixed"/>
      </w:tblPr>
      <w:tblGrid>
        <w:gridCol w:w="2232"/>
        <w:gridCol w:w="821"/>
        <w:gridCol w:w="826"/>
        <w:gridCol w:w="821"/>
        <w:gridCol w:w="821"/>
        <w:gridCol w:w="821"/>
        <w:gridCol w:w="826"/>
        <w:gridCol w:w="821"/>
        <w:gridCol w:w="792"/>
        <w:gridCol w:w="8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发行新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108,804</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108,80</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108,804</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108,80</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108,804</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108,80</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15.61%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588,116</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588,11</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84.39%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588,116</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588,11</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84.39%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696,921</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220"/>
              <w:jc w:val="left"/>
            </w:pPr>
            <w:r>
              <w:rPr>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696,92</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1,354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220"/>
              <w:jc w:val="left"/>
            </w:pPr>
            <w:r>
              <w:rPr>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18"/>
        <w:keepNext w:val="0"/>
        <w:keepLines w:val="0"/>
        <w:widowControl w:val="0"/>
        <w:shd w:val="clear" w:color="auto" w:fill="auto"/>
        <w:bidi w:val="0"/>
        <w:spacing w:before="0" w:after="340" w:line="352" w:lineRule="exact"/>
        <w:ind w:left="0" w:right="0" w:firstLine="0"/>
        <w:jc w:val="left"/>
      </w:pPr>
      <w:r>
        <w:rPr>
          <w:color w:val="000000"/>
          <w:spacing w:val="0"/>
          <w:w w:val="100"/>
          <w:position w:val="0"/>
        </w:rPr>
        <w:t>股份变动的原因 口适用”不适用 股份变动的批准情况 口适用”不适用 股份变动的过户情况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bidi w:val="0"/>
        <w:spacing w:before="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、限售股份变动情况</w:t>
      </w:r>
      <w:bookmarkEnd w:id="620"/>
      <w:bookmarkEnd w:id="621"/>
      <w:bookmarkEnd w:id="62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tabs>
          <w:tab w:pos="522" w:val="left"/>
        </w:tabs>
        <w:bidi w:val="0"/>
        <w:spacing w:before="0" w:after="36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二</w:t>
      </w:r>
      <w:bookmarkEnd w:id="626"/>
      <w:r>
        <w:rPr>
          <w:color w:val="000000"/>
          <w:spacing w:val="0"/>
          <w:w w:val="100"/>
          <w:position w:val="0"/>
          <w:sz w:val="24"/>
          <w:szCs w:val="24"/>
        </w:rPr>
        <w:t>、</w:t>
        <w:tab/>
        <w:t>证券发行与上市情况</w:t>
      </w:r>
      <w:bookmarkEnd w:id="624"/>
      <w:bookmarkEnd w:id="625"/>
      <w:bookmarkEnd w:id="627"/>
    </w:p>
    <w:p>
      <w:pPr>
        <w:pStyle w:val="Style27"/>
        <w:keepNext/>
        <w:keepLines/>
        <w:widowControl w:val="0"/>
        <w:shd w:val="clear" w:color="auto" w:fill="auto"/>
        <w:tabs>
          <w:tab w:pos="380" w:val="left"/>
        </w:tabs>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w:t>
        <w:tab/>
        <w:t>报告期内证券发行（不含优先股）情况</w:t>
      </w:r>
      <w:bookmarkEnd w:id="628"/>
      <w:bookmarkEnd w:id="629"/>
      <w:bookmarkEnd w:id="63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380" w:val="left"/>
        </w:tabs>
        <w:bidi w:val="0"/>
        <w:spacing w:before="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w:t>
        <w:tab/>
        <w:t>公司股份总数及股东结构的变动、公司资产和负债结构的变动情况说明</w:t>
      </w:r>
      <w:bookmarkEnd w:id="632"/>
      <w:bookmarkEnd w:id="633"/>
      <w:bookmarkEnd w:id="635"/>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380" w:val="left"/>
        </w:tabs>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3</w:t>
      </w:r>
      <w:bookmarkEnd w:id="638"/>
      <w:r>
        <w:rPr>
          <w:color w:val="000000"/>
          <w:spacing w:val="0"/>
          <w:w w:val="100"/>
          <w:position w:val="0"/>
        </w:rPr>
        <w:t>、</w:t>
        <w:tab/>
        <w:t>现存的内部职工股情况</w:t>
      </w:r>
      <w:bookmarkEnd w:id="636"/>
      <w:bookmarkEnd w:id="637"/>
      <w:bookmarkEnd w:id="639"/>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tabs>
          <w:tab w:pos="526" w:val="left"/>
        </w:tabs>
        <w:bidi w:val="0"/>
        <w:spacing w:before="0" w:after="36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4"/>
          <w:szCs w:val="24"/>
        </w:rPr>
        <w:t>三</w:t>
      </w:r>
      <w:bookmarkEnd w:id="642"/>
      <w:r>
        <w:rPr>
          <w:color w:val="000000"/>
          <w:spacing w:val="0"/>
          <w:w w:val="100"/>
          <w:position w:val="0"/>
          <w:sz w:val="24"/>
          <w:szCs w:val="24"/>
        </w:rPr>
        <w:t>、</w:t>
        <w:tab/>
        <w:t>股东和实际控制人情况</w:t>
      </w:r>
      <w:bookmarkEnd w:id="640"/>
      <w:bookmarkEnd w:id="641"/>
      <w:bookmarkEnd w:id="643"/>
    </w:p>
    <w:p>
      <w:pPr>
        <w:pStyle w:val="Style27"/>
        <w:keepNext/>
        <w:keepLines/>
        <w:widowControl w:val="0"/>
        <w:shd w:val="clear" w:color="auto" w:fill="auto"/>
        <w:bidi w:val="0"/>
        <w:spacing w:before="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1</w:t>
      </w:r>
      <w:bookmarkEnd w:id="646"/>
      <w:r>
        <w:rPr>
          <w:color w:val="000000"/>
          <w:spacing w:val="0"/>
          <w:w w:val="100"/>
          <w:position w:val="0"/>
        </w:rPr>
        <w:t>、公司股东数量及持股情况</w:t>
      </w:r>
      <w:bookmarkEnd w:id="644"/>
      <w:bookmarkEnd w:id="645"/>
      <w:bookmarkEnd w:id="6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811"/>
        <w:gridCol w:w="763"/>
        <w:gridCol w:w="331"/>
        <w:gridCol w:w="456"/>
        <w:gridCol w:w="787"/>
        <w:gridCol w:w="221"/>
        <w:gridCol w:w="619"/>
        <w:gridCol w:w="442"/>
        <w:gridCol w:w="907"/>
        <w:gridCol w:w="422"/>
        <w:gridCol w:w="936"/>
      </w:tblGrid>
      <w:tr>
        <w:trPr>
          <w:trHeight w:val="19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报告期末普</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通股股东总</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64,909</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155,672</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报告期末表决</w:t>
            </w:r>
          </w:p>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权恢复的优先 股股东总数（如 有）（参见注</w:t>
            </w:r>
            <w:r>
              <w:rPr>
                <w:color w:val="000000"/>
                <w:spacing w:val="0"/>
                <w:w w:val="100"/>
                <w:position w:val="0"/>
              </w:rPr>
              <w:t>8</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年度报告披露 日前上一月末 表决权恢复的 优先股股东总 数（如有）（参 见注</w:t>
            </w: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持股比 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末持股</w:t>
            </w:r>
          </w:p>
          <w:p>
            <w:pPr>
              <w:pStyle w:val="Style20"/>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质押、标记或冻结情况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143,92</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5,147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107,94</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3,860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35,981,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11,140,000</w:t>
            </w:r>
          </w:p>
        </w:tc>
      </w:tr>
      <w:tr>
        <w:trPr>
          <w:trHeight w:val="413" w:hRule="exact"/>
        </w:trPr>
        <w:tc>
          <w:tcPr>
            <w:gridSpan w:val="2"/>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易方达基金一</w:t>
            </w:r>
          </w:p>
        </w:tc>
        <w:tc>
          <w:tcPr>
            <w:gridSpan w:val="2"/>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14,048,</w:t>
            </w:r>
          </w:p>
        </w:tc>
        <w:tc>
          <w:tcPr>
            <w:gridSpan w:val="2"/>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14,048,</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192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中央汇金资产 管理有限责任 公司一易方达 基金一汇金资 管单一资产管 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蒋国梁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3,190,2</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229000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3,190,2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蒋征江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3,170,0</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172000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3,170,0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舒润辉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2,880,1</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187990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2,880,1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丁宏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2,550,5</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color w:val="000000"/>
                <w:spacing w:val="0"/>
                <w:w w:val="100"/>
                <w:position w:val="0"/>
              </w:rPr>
              <w:t>255050 0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2,550,5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朱翼翀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2,250,0</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556400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2,250,0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王桂英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2,229,6</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222960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2,229,6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2,025,0</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2,025,0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顾鹤富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1,980,2</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198026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1,980,2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战略投资者或一般法人因配售新 股成为前</w:t>
            </w:r>
            <w:r>
              <w:rPr>
                <w:color w:val="000000"/>
                <w:spacing w:val="0"/>
                <w:w w:val="100"/>
                <w:position w:val="0"/>
              </w:rPr>
              <w:t>10</w:t>
            </w:r>
            <w:r>
              <w:rPr>
                <w:rFonts w:ascii="SimSun" w:eastAsia="SimSun" w:hAnsi="SimSun" w:cs="SimSun"/>
                <w:color w:val="000000"/>
                <w:spacing w:val="0"/>
                <w:w w:val="100"/>
                <w:position w:val="0"/>
              </w:rPr>
              <w:t>名股东的情况（如有）</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（参见注</w:t>
            </w:r>
            <w:r>
              <w:rPr>
                <w:color w:val="000000"/>
                <w:spacing w:val="0"/>
                <w:w w:val="100"/>
                <w:position w:val="0"/>
              </w:rPr>
              <w:t>3</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公司第一大股东钱京与其他股东不存在关联关系或《上市公司股东持股变动信息披 露管理办法》中规定的一致行动人的情况；公司未知其他股东之间是否存在关联关 系或《上市公司股东持股变动信息披露管理办法》中规定的一致行动人的情况。</w:t>
            </w:r>
          </w:p>
        </w:tc>
      </w:tr>
      <w:tr>
        <w:trPr>
          <w:trHeight w:val="71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名股东中存在回购专户的特 别说明（如有）（参见注</w:t>
            </w:r>
            <w:r>
              <w:rPr>
                <w:color w:val="000000"/>
                <w:spacing w:val="0"/>
                <w:w w:val="100"/>
                <w:position w:val="0"/>
              </w:rPr>
              <w:t>10</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35,981,287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35,981,287</w:t>
            </w:r>
          </w:p>
        </w:tc>
      </w:tr>
      <w:tr>
        <w:trPr>
          <w:trHeight w:val="1037" w:hRule="exact"/>
        </w:trPr>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易方达基金一中央汇金资产管理 有限责任公司一易方达基金一汇 金资管单一资产管理计划</w:t>
            </w:r>
          </w:p>
        </w:tc>
        <w:tc>
          <w:tcPr>
            <w:gridSpan w:val="5"/>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14,048,600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14,048,600</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蒋国梁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3,190,200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3,190,200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蒋征江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3,170,001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3,170,001</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舒润辉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2,880,100</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丁宏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2,550,500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朱翼翀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2,250,000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王桂英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2,229,600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2,025,000</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顾鹤富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1,980,263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1,980,263</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 以及前</w:t>
            </w:r>
            <w:r>
              <w:rPr>
                <w:color w:val="000000"/>
                <w:spacing w:val="0"/>
                <w:w w:val="100"/>
                <w:position w:val="0"/>
              </w:rPr>
              <w:t>10</w:t>
            </w:r>
            <w:r>
              <w:rPr>
                <w:rFonts w:ascii="SimSun" w:eastAsia="SimSun" w:hAnsi="SimSun" w:cs="SimSun"/>
                <w:color w:val="000000"/>
                <w:spacing w:val="0"/>
                <w:w w:val="100"/>
                <w:position w:val="0"/>
              </w:rPr>
              <w:t>名无限售流通股股东和 前</w:t>
            </w:r>
            <w:r>
              <w:rPr>
                <w:color w:val="000000"/>
                <w:spacing w:val="0"/>
                <w:w w:val="100"/>
                <w:position w:val="0"/>
              </w:rPr>
              <w:t>10</w:t>
            </w:r>
            <w:r>
              <w:rPr>
                <w:rFonts w:ascii="SimSun" w:eastAsia="SimSun" w:hAnsi="SimSun" w:cs="SimSun"/>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公司第一大股东钱京与其他股东不存在关联关系或《上市公司股东持股变动信息披 露管理办法》中规定的一致行动人的情况；公司未知其他股东之间是否存在关联关 系或《上市公司股东持股变动信息披露管理办法》中规定的一致行动人的情况。</w:t>
            </w:r>
          </w:p>
        </w:tc>
      </w:tr>
      <w:tr>
        <w:trPr>
          <w:trHeight w:val="22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名普通股股东参与融资融券 业务情况说明（如有）（参见注</w:t>
            </w:r>
            <w:r>
              <w:rPr>
                <w:color w:val="000000"/>
                <w:spacing w:val="0"/>
                <w:w w:val="100"/>
                <w:position w:val="0"/>
              </w:rPr>
              <w:t>4</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前十大股东中，朱翼翀通过招商证券股份有限公司客户信用交易担保证券账户持有 公司股票</w:t>
            </w:r>
            <w:r>
              <w:rPr>
                <w:color w:val="000000"/>
                <w:spacing w:val="0"/>
                <w:w w:val="100"/>
                <w:position w:val="0"/>
              </w:rPr>
              <w:t>1,650,000</w:t>
            </w:r>
            <w:r>
              <w:rPr>
                <w:rFonts w:ascii="SimSun" w:eastAsia="SimSun" w:hAnsi="SimSun" w:cs="SimSun"/>
                <w:color w:val="000000"/>
                <w:spacing w:val="0"/>
                <w:w w:val="100"/>
                <w:position w:val="0"/>
              </w:rPr>
              <w:t>股，通过普通账户持有公司股票</w:t>
            </w:r>
            <w:r>
              <w:rPr>
                <w:color w:val="000000"/>
                <w:spacing w:val="0"/>
                <w:w w:val="100"/>
                <w:position w:val="0"/>
              </w:rPr>
              <w:t>600,000</w:t>
            </w:r>
            <w:r>
              <w:rPr>
                <w:rFonts w:ascii="SimSun" w:eastAsia="SimSun" w:hAnsi="SimSun" w:cs="SimSun"/>
                <w:color w:val="000000"/>
                <w:spacing w:val="0"/>
                <w:w w:val="100"/>
                <w:position w:val="0"/>
              </w:rPr>
              <w:t xml:space="preserve">股，合计持有公司股票 </w:t>
            </w:r>
            <w:r>
              <w:rPr>
                <w:color w:val="000000"/>
                <w:spacing w:val="0"/>
                <w:w w:val="100"/>
                <w:position w:val="0"/>
              </w:rPr>
              <w:t>2,250,000</w:t>
            </w:r>
            <w:r>
              <w:rPr>
                <w:rFonts w:ascii="SimSun" w:eastAsia="SimSun" w:hAnsi="SimSun" w:cs="SimSun"/>
                <w:color w:val="000000"/>
                <w:spacing w:val="0"/>
                <w:w w:val="100"/>
                <w:position w:val="0"/>
              </w:rPr>
              <w:t>股；王桂英通过恒泰证券股份有限公司客户信用交易担保证券账户持有公 司股票</w:t>
            </w:r>
            <w:r>
              <w:rPr>
                <w:color w:val="000000"/>
                <w:spacing w:val="0"/>
                <w:w w:val="100"/>
                <w:position w:val="0"/>
              </w:rPr>
              <w:t>2,229,600</w:t>
            </w:r>
            <w:r>
              <w:rPr>
                <w:rFonts w:ascii="SimSun" w:eastAsia="SimSun" w:hAnsi="SimSun" w:cs="SimSun"/>
                <w:color w:val="000000"/>
                <w:spacing w:val="0"/>
                <w:w w:val="100"/>
                <w:position w:val="0"/>
              </w:rPr>
              <w:t>股；叶强通过国泰君安证券股份有限公司客户信用交易担保证券 账户持有公司股票</w:t>
            </w:r>
            <w:r>
              <w:rPr>
                <w:color w:val="000000"/>
                <w:spacing w:val="0"/>
                <w:w w:val="100"/>
                <w:position w:val="0"/>
              </w:rPr>
              <w:t>2,025,000</w:t>
            </w:r>
            <w:r>
              <w:rPr>
                <w:rFonts w:ascii="SimSun" w:eastAsia="SimSun" w:hAnsi="SimSun" w:cs="SimSun"/>
                <w:color w:val="000000"/>
                <w:spacing w:val="0"/>
                <w:w w:val="100"/>
                <w:position w:val="0"/>
              </w:rPr>
              <w:t>股；顾鹤富通过恒泰证券股份有限公司客户信用交易 担保证券账户持有公司股票</w:t>
            </w:r>
            <w:r>
              <w:rPr>
                <w:color w:val="000000"/>
                <w:spacing w:val="0"/>
                <w:w w:val="100"/>
                <w:position w:val="0"/>
              </w:rPr>
              <w:t>1,932,663</w:t>
            </w:r>
            <w:r>
              <w:rPr>
                <w:rFonts w:ascii="SimSun" w:eastAsia="SimSun" w:hAnsi="SimSun" w:cs="SimSun"/>
                <w:color w:val="000000"/>
                <w:spacing w:val="0"/>
                <w:w w:val="100"/>
                <w:position w:val="0"/>
              </w:rPr>
              <w:t>股，通过普通账户持有公司股票</w:t>
            </w:r>
            <w:r>
              <w:rPr>
                <w:color w:val="000000"/>
                <w:spacing w:val="0"/>
                <w:w w:val="100"/>
                <w:position w:val="0"/>
              </w:rPr>
              <w:t>47,600</w:t>
            </w:r>
            <w:r>
              <w:rPr>
                <w:rFonts w:ascii="SimSun" w:eastAsia="SimSun" w:hAnsi="SimSun" w:cs="SimSun"/>
                <w:color w:val="000000"/>
                <w:spacing w:val="0"/>
                <w:w w:val="100"/>
                <w:position w:val="0"/>
              </w:rPr>
              <w:t>股， 合计持有公司股票</w:t>
            </w:r>
            <w:r>
              <w:rPr>
                <w:color w:val="000000"/>
                <w:spacing w:val="0"/>
                <w:w w:val="100"/>
                <w:position w:val="0"/>
              </w:rPr>
              <w:t>1,980,263</w:t>
            </w:r>
            <w:r>
              <w:rPr>
                <w:rFonts w:ascii="SimSun" w:eastAsia="SimSun" w:hAnsi="SimSun" w:cs="SimSun"/>
                <w:color w:val="000000"/>
                <w:spacing w:val="0"/>
                <w:w w:val="100"/>
                <w:position w:val="0"/>
              </w:rPr>
              <w:t>股。</w:t>
            </w:r>
          </w:p>
        </w:tc>
      </w:tr>
    </w:tbl>
    <w:p>
      <w:pPr>
        <w:pStyle w:val="Style1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18"/>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22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2</w:t>
      </w:r>
      <w:bookmarkEnd w:id="650"/>
      <w:r>
        <w:rPr>
          <w:color w:val="000000"/>
          <w:spacing w:val="0"/>
          <w:w w:val="100"/>
          <w:position w:val="0"/>
        </w:rPr>
        <w:t>、公司控股股东情况</w:t>
      </w:r>
      <w:bookmarkEnd w:id="648"/>
      <w:bookmarkEnd w:id="649"/>
      <w:bookmarkEnd w:id="651"/>
    </w:p>
    <w:p>
      <w:pPr>
        <w:pStyle w:val="Style18"/>
        <w:keepNext w:val="0"/>
        <w:keepLines w:val="0"/>
        <w:widowControl w:val="0"/>
        <w:shd w:val="clear" w:color="auto" w:fill="auto"/>
        <w:bidi w:val="0"/>
        <w:spacing w:before="0" w:after="80" w:line="360"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2"/>
        <w:gridCol w:w="2165"/>
        <w:gridCol w:w="39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月起进入公司，先后担任公司企业管理部总经理、副总裁及董事 会秘书。报告期间担任公司董事长、总裁，现任公司董事长。</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公司报告期控股股东未发生变更。</w:t>
      </w:r>
      <w:r>
        <w:br w:type="page"/>
      </w:r>
    </w:p>
    <w:p>
      <w:pPr>
        <w:pStyle w:val="Style27"/>
        <w:keepNext/>
        <w:keepLines/>
        <w:widowControl w:val="0"/>
        <w:shd w:val="clear" w:color="auto" w:fill="auto"/>
        <w:bidi w:val="0"/>
        <w:spacing w:before="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3</w:t>
      </w:r>
      <w:bookmarkEnd w:id="654"/>
      <w:r>
        <w:rPr>
          <w:color w:val="000000"/>
          <w:spacing w:val="0"/>
          <w:w w:val="100"/>
          <w:position w:val="0"/>
        </w:rPr>
        <w:t>、公司实际控制人及其一致行动人</w:t>
      </w:r>
      <w:bookmarkEnd w:id="652"/>
      <w:bookmarkEnd w:id="653"/>
      <w:bookmarkEnd w:id="65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55"/>
        <w:gridCol w:w="1651"/>
        <w:gridCol w:w="1651"/>
        <w:gridCol w:w="352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与实际控制人关 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月起进入公司，先后担任公司企业管理部总经理、副总裁及董事会秘书。 报告期间担任公司董事长、总裁，现任公司董事长。</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 公司情况</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41998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4596130" cy="2419985"/>
                    </a:xfrm>
                    <a:prstGeom prst="rect"/>
                  </pic:spPr>
                </pic:pic>
              </a:graphicData>
            </a:graphic>
          </wp:inline>
        </w:drawing>
      </w:r>
    </w:p>
    <w:p>
      <w:pPr>
        <w:widowControl w:val="0"/>
        <w:spacing w:after="35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4</w:t>
      </w:r>
      <w:bookmarkEnd w:id="658"/>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56"/>
      <w:bookmarkEnd w:id="657"/>
      <w:bookmarkEnd w:id="659"/>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5</w:t>
      </w:r>
      <w:bookmarkEnd w:id="66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60"/>
      <w:bookmarkEnd w:id="661"/>
      <w:bookmarkEnd w:id="663"/>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6</w:t>
      </w:r>
      <w:bookmarkEnd w:id="666"/>
      <w:r>
        <w:rPr>
          <w:color w:val="000000"/>
          <w:spacing w:val="0"/>
          <w:w w:val="100"/>
          <w:position w:val="0"/>
        </w:rPr>
        <w:t>、控股股东、实际控制人、重组方及其他承诺主体股份限制减持情况</w:t>
      </w:r>
      <w:bookmarkEnd w:id="664"/>
      <w:bookmarkEnd w:id="665"/>
      <w:bookmarkEnd w:id="667"/>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6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sz w:val="24"/>
          <w:szCs w:val="24"/>
        </w:rPr>
        <w:t>四</w:t>
      </w:r>
      <w:bookmarkEnd w:id="670"/>
      <w:r>
        <w:rPr>
          <w:color w:val="000000"/>
          <w:spacing w:val="0"/>
          <w:w w:val="100"/>
          <w:position w:val="0"/>
          <w:sz w:val="24"/>
          <w:szCs w:val="24"/>
        </w:rPr>
        <w:t>、股份回购在报告期的具体实施情况</w:t>
      </w:r>
      <w:bookmarkEnd w:id="668"/>
      <w:bookmarkEnd w:id="669"/>
      <w:bookmarkEnd w:id="67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383" w:right="1077" w:bottom="1455" w:left="1050" w:header="0" w:footer="3" w:gutter="0"/>
          <w:cols w:space="720"/>
          <w:noEndnote/>
          <w:rtlGutter w:val="0"/>
          <w:docGrid w:linePitch="360"/>
        </w:sectPr>
      </w:pPr>
      <w:r>
        <w:rPr>
          <w:color w:val="000000"/>
          <w:spacing w:val="0"/>
          <w:w w:val="100"/>
          <w:position w:val="0"/>
        </w:rPr>
        <w:t>口适用”不适用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4" name="Shape 4"/>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672" w:name="bookmark672"/>
                            <w:bookmarkStart w:id="673" w:name="bookmark673"/>
                            <w:bookmarkStart w:id="674" w:name="bookmark674"/>
                            <w:r>
                              <w:rPr>
                                <w:color w:val="000000"/>
                                <w:spacing w:val="0"/>
                                <w:w w:val="100"/>
                                <w:position w:val="0"/>
                              </w:rPr>
                              <w:t>第八节优先股相关情况</w:t>
                            </w:r>
                            <w:bookmarkEnd w:id="672"/>
                            <w:bookmarkEnd w:id="673"/>
                            <w:bookmarkEnd w:id="674"/>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212.05000000000001pt;margin-top:0;width:170.90000000000001pt;height:19.449999999999999pt;z-index:-125829375;mso-wrap-distance-left:0;mso-wrap-distance-right:0;mso-wrap-distance-bottom:22.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672" w:name="bookmark672"/>
                      <w:bookmarkStart w:id="673" w:name="bookmark673"/>
                      <w:bookmarkStart w:id="674" w:name="bookmark674"/>
                      <w:r>
                        <w:rPr>
                          <w:color w:val="000000"/>
                          <w:spacing w:val="0"/>
                          <w:w w:val="100"/>
                          <w:position w:val="0"/>
                        </w:rPr>
                        <w:t>第八节优先股相关情况</w:t>
                      </w:r>
                      <w:bookmarkEnd w:id="672"/>
                      <w:bookmarkEnd w:id="673"/>
                      <w:bookmarkEnd w:id="674"/>
                    </w:p>
                  </w:txbxContent>
                </v:textbox>
                <w10:wrap type="topAndBottom" anchorx="page"/>
              </v:shape>
            </w:pict>
          </mc:Fallback>
        </mc:AlternateConten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3" w:bottom="1930" w:left="1107"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line="240" w:lineRule="auto"/>
        <w:ind w:left="0" w:right="0" w:firstLine="0"/>
        <w:jc w:val="center"/>
      </w:pPr>
      <w:bookmarkStart w:id="675" w:name="bookmark675"/>
      <w:bookmarkStart w:id="676" w:name="bookmark676"/>
      <w:bookmarkStart w:id="677" w:name="bookmark677"/>
      <w:r>
        <w:rPr>
          <w:color w:val="000000"/>
          <w:spacing w:val="0"/>
          <w:w w:val="100"/>
          <w:position w:val="0"/>
        </w:rPr>
        <w:t>第九节债券相关情况</w:t>
      </w:r>
      <w:bookmarkEnd w:id="675"/>
      <w:bookmarkEnd w:id="676"/>
      <w:bookmarkEnd w:id="677"/>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3" w:bottom="1930" w:left="1107"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560" w:after="540" w:line="240" w:lineRule="auto"/>
        <w:ind w:left="0" w:right="0" w:firstLine="0"/>
        <w:jc w:val="center"/>
      </w:pPr>
      <w:bookmarkStart w:id="678" w:name="bookmark678"/>
      <w:bookmarkStart w:id="679" w:name="bookmark679"/>
      <w:bookmarkStart w:id="680" w:name="bookmark680"/>
      <w:r>
        <w:rPr>
          <w:color w:val="000000"/>
          <w:spacing w:val="0"/>
          <w:w w:val="100"/>
          <w:position w:val="0"/>
        </w:rPr>
        <w:t>第十节财务报告</w:t>
      </w:r>
      <w:bookmarkEnd w:id="678"/>
      <w:bookmarkEnd w:id="679"/>
      <w:bookmarkEnd w:id="680"/>
    </w:p>
    <w:p>
      <w:pPr>
        <w:pStyle w:val="Style23"/>
        <w:keepNext/>
        <w:keepLines/>
        <w:widowControl w:val="0"/>
        <w:shd w:val="clear" w:color="auto" w:fill="auto"/>
        <w:bidi w:val="0"/>
        <w:spacing w:before="0" w:after="300" w:line="240" w:lineRule="auto"/>
        <w:ind w:left="0" w:right="0" w:firstLine="260"/>
        <w:jc w:val="left"/>
      </w:pPr>
      <w:bookmarkStart w:id="681" w:name="bookmark681"/>
      <w:bookmarkStart w:id="682" w:name="bookmark682"/>
      <w:bookmarkStart w:id="683" w:name="bookmark683"/>
      <w:r>
        <w:rPr>
          <w:color w:val="000000"/>
          <w:spacing w:val="0"/>
          <w:w w:val="100"/>
          <w:position w:val="0"/>
          <w:sz w:val="24"/>
          <w:szCs w:val="24"/>
        </w:rPr>
        <w:t>、审计报告</w:t>
      </w:r>
      <w:bookmarkEnd w:id="681"/>
      <w:bookmarkEnd w:id="682"/>
      <w:bookmarkEnd w:id="68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保留意见</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中兴华会计师事务所（特殊普通合伙）</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中兴华审字（</w:t>
            </w:r>
            <w:r>
              <w:rPr>
                <w:color w:val="000000"/>
                <w:spacing w:val="0"/>
                <w:w w:val="100"/>
                <w:position w:val="0"/>
              </w:rPr>
              <w:t>2022</w:t>
            </w:r>
            <w:r>
              <w:rPr>
                <w:rFonts w:ascii="SimSun" w:eastAsia="SimSun" w:hAnsi="SimSun" w:cs="SimSun"/>
                <w:color w:val="000000"/>
                <w:spacing w:val="0"/>
                <w:w w:val="100"/>
                <w:position w:val="0"/>
              </w:rPr>
              <w:t>）第</w:t>
            </w:r>
            <w:r>
              <w:rPr>
                <w:color w:val="000000"/>
                <w:spacing w:val="0"/>
                <w:w w:val="100"/>
                <w:position w:val="0"/>
              </w:rPr>
              <w:t>020656</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汪军陈桂春</w:t>
            </w:r>
          </w:p>
        </w:tc>
      </w:tr>
    </w:tbl>
    <w:p>
      <w:pPr>
        <w:pStyle w:val="Style25"/>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39" w:line="1" w:lineRule="exact"/>
      </w:pPr>
    </w:p>
    <w:p>
      <w:pPr>
        <w:pStyle w:val="Style18"/>
        <w:keepNext w:val="0"/>
        <w:keepLines w:val="0"/>
        <w:widowControl w:val="0"/>
        <w:shd w:val="clear" w:color="auto" w:fill="auto"/>
        <w:tabs>
          <w:tab w:pos="799" w:val="left"/>
        </w:tabs>
        <w:bidi w:val="0"/>
        <w:spacing w:before="0" w:after="140" w:line="314" w:lineRule="exact"/>
        <w:ind w:left="0" w:right="0"/>
        <w:jc w:val="both"/>
      </w:pPr>
      <w:bookmarkStart w:id="684" w:name="bookmark684"/>
      <w:r>
        <w:rPr>
          <w:b/>
          <w:bCs/>
          <w:color w:val="000000"/>
          <w:spacing w:val="0"/>
          <w:w w:val="100"/>
          <w:position w:val="0"/>
        </w:rPr>
        <w:t>一</w:t>
      </w:r>
      <w:bookmarkEnd w:id="684"/>
      <w:r>
        <w:rPr>
          <w:b/>
          <w:bCs/>
          <w:color w:val="000000"/>
          <w:spacing w:val="0"/>
          <w:w w:val="100"/>
          <w:position w:val="0"/>
        </w:rPr>
        <w:t>、</w:t>
        <w:tab/>
        <w:t>保留意见</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我们审计了恒宝股份有限公司（以下简称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恒宝股份</w:t>
      </w:r>
      <w:r>
        <w:rPr>
          <w:rFonts w:ascii="Times New Roman" w:eastAsia="Times New Roman" w:hAnsi="Times New Roman" w:cs="Times New Roman"/>
          <w:color w:val="000000"/>
          <w:spacing w:val="0"/>
          <w:w w:val="100"/>
          <w:position w:val="0"/>
        </w:rPr>
        <w:t>”</w:t>
      </w:r>
      <w:r>
        <w:rPr>
          <w:color w:val="000000"/>
          <w:spacing w:val="0"/>
          <w:w w:val="100"/>
          <w:position w:val="0"/>
        </w:rPr>
        <w:t>）财务报表，包括2021年12月31日的合并及母公司资产负债表，2021 年度的合并及母公司利润表、合并及母公司现金流量表、合并及母公司股东权益变动表以及相关财务报表附注。</w:t>
      </w:r>
    </w:p>
    <w:p>
      <w:pPr>
        <w:pStyle w:val="Style18"/>
        <w:keepNext w:val="0"/>
        <w:keepLines w:val="0"/>
        <w:widowControl w:val="0"/>
        <w:shd w:val="clear" w:color="auto" w:fill="auto"/>
        <w:bidi w:val="0"/>
        <w:spacing w:before="0" w:after="140" w:line="312" w:lineRule="exact"/>
        <w:ind w:left="0" w:right="0"/>
        <w:jc w:val="both"/>
      </w:pPr>
      <w:r>
        <w:rPr>
          <w:color w:val="000000"/>
          <w:spacing w:val="0"/>
          <w:w w:val="100"/>
          <w:position w:val="0"/>
        </w:rPr>
        <w:t>我们认为，除</w:t>
      </w:r>
      <w:r>
        <w:rPr>
          <w:rFonts w:ascii="Times New Roman" w:eastAsia="Times New Roman" w:hAnsi="Times New Roman" w:cs="Times New Roman"/>
          <w:color w:val="000000"/>
          <w:spacing w:val="0"/>
          <w:w w:val="100"/>
          <w:position w:val="0"/>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rPr>
        <w:t>”</w:t>
      </w:r>
      <w:r>
        <w:rPr>
          <w:color w:val="000000"/>
          <w:spacing w:val="0"/>
          <w:w w:val="100"/>
          <w:position w:val="0"/>
        </w:rPr>
        <w:t>部分所述事项可能产生的影响外，后附的财务报表在所有重大方面按照企业会计准 则的规定编制，公允反映了恒宝股份2021年12月31日的合并及母公司财务状况以及2021年度的合并及母公司经营成果和现金 流量。</w:t>
      </w:r>
    </w:p>
    <w:p>
      <w:pPr>
        <w:pStyle w:val="Style18"/>
        <w:keepNext w:val="0"/>
        <w:keepLines w:val="0"/>
        <w:widowControl w:val="0"/>
        <w:shd w:val="clear" w:color="auto" w:fill="auto"/>
        <w:tabs>
          <w:tab w:pos="799" w:val="left"/>
        </w:tabs>
        <w:bidi w:val="0"/>
        <w:spacing w:before="0" w:after="140" w:line="314" w:lineRule="exact"/>
        <w:ind w:left="0" w:right="0"/>
        <w:jc w:val="both"/>
      </w:pPr>
      <w:bookmarkStart w:id="685" w:name="bookmark685"/>
      <w:r>
        <w:rPr>
          <w:b/>
          <w:bCs/>
          <w:color w:val="000000"/>
          <w:spacing w:val="0"/>
          <w:w w:val="100"/>
          <w:position w:val="0"/>
        </w:rPr>
        <w:t>二</w:t>
      </w:r>
      <w:bookmarkEnd w:id="685"/>
      <w:r>
        <w:rPr>
          <w:b/>
          <w:bCs/>
          <w:color w:val="000000"/>
          <w:spacing w:val="0"/>
          <w:w w:val="100"/>
          <w:position w:val="0"/>
        </w:rPr>
        <w:t>、</w:t>
        <w:tab/>
        <w:t>形成保留意见的基础</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如财务报表附注七、31所述，恒宝股份管理层认为公司持有的深圳一卡易科技股份有限公司（以下简称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一卡易</w:t>
      </w:r>
      <w:r>
        <w:rPr>
          <w:rFonts w:ascii="Times New Roman" w:eastAsia="Times New Roman" w:hAnsi="Times New Roman" w:cs="Times New Roman"/>
          <w:color w:val="000000"/>
          <w:spacing w:val="0"/>
          <w:w w:val="100"/>
          <w:position w:val="0"/>
        </w:rPr>
        <w:t>”</w:t>
      </w:r>
      <w:r>
        <w:rPr>
          <w:color w:val="000000"/>
          <w:spacing w:val="0"/>
          <w:w w:val="100"/>
          <w:position w:val="0"/>
        </w:rPr>
        <w:t>）股权 及其相应的减值准备作为一项长期资产具有价值并予以管理。报告期内恒宝股份将所持有的一卡易51.102%股权及相应的减 值准备转入</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，其账面价值</w:t>
      </w:r>
      <w:r>
        <w:rPr>
          <w:color w:val="000000"/>
          <w:spacing w:val="0"/>
          <w:w w:val="100"/>
          <w:position w:val="0"/>
        </w:rPr>
        <w:t>6,313.45</w:t>
      </w:r>
      <w:r>
        <w:rPr>
          <w:color w:val="000000"/>
          <w:spacing w:val="0"/>
          <w:w w:val="100"/>
          <w:position w:val="0"/>
        </w:rPr>
        <w:t>万元。由于恒宝股份对一卡易失去控制，我们无法实施必要的审计程序 以获取充分、适当的审计证据确认该项长期资产的会计处理及账面价值是否准确。</w:t>
      </w:r>
    </w:p>
    <w:p>
      <w:pPr>
        <w:pStyle w:val="Style18"/>
        <w:keepNext w:val="0"/>
        <w:keepLines w:val="0"/>
        <w:widowControl w:val="0"/>
        <w:shd w:val="clear" w:color="auto" w:fill="auto"/>
        <w:bidi w:val="0"/>
        <w:spacing w:before="0" w:after="14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阐述了我们在这些准则下的责任。按照中国注册会计师职业道德守则，我们独立于恒宝股份，并履行了职业道德方面的其他 责任。我们相信，我们获取的审计证据是充分、适当的，为发表保留意见提供了基础。</w:t>
      </w:r>
    </w:p>
    <w:p>
      <w:pPr>
        <w:pStyle w:val="Style18"/>
        <w:keepNext w:val="0"/>
        <w:keepLines w:val="0"/>
        <w:widowControl w:val="0"/>
        <w:shd w:val="clear" w:color="auto" w:fill="auto"/>
        <w:tabs>
          <w:tab w:pos="804" w:val="left"/>
        </w:tabs>
        <w:bidi w:val="0"/>
        <w:spacing w:before="0" w:after="140" w:line="314" w:lineRule="exact"/>
        <w:ind w:left="0" w:right="0"/>
        <w:jc w:val="both"/>
      </w:pPr>
      <w:bookmarkStart w:id="686" w:name="bookmark686"/>
      <w:r>
        <w:rPr>
          <w:b/>
          <w:bCs/>
          <w:color w:val="000000"/>
          <w:spacing w:val="0"/>
          <w:w w:val="100"/>
          <w:position w:val="0"/>
        </w:rPr>
        <w:t>三</w:t>
      </w:r>
      <w:bookmarkEnd w:id="686"/>
      <w:r>
        <w:rPr>
          <w:b/>
          <w:bCs/>
          <w:color w:val="000000"/>
          <w:spacing w:val="0"/>
          <w:w w:val="100"/>
          <w:position w:val="0"/>
        </w:rPr>
        <w:t>、</w:t>
        <w:tab/>
        <w:t>关键审计事项</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审计并形成审计意见为背景，我们不对这些事项单独发表意见。除</w:t>
      </w:r>
      <w:r>
        <w:rPr>
          <w:rFonts w:ascii="Times New Roman" w:eastAsia="Times New Roman" w:hAnsi="Times New Roman" w:cs="Times New Roman"/>
          <w:color w:val="000000"/>
          <w:spacing w:val="0"/>
          <w:w w:val="100"/>
          <w:position w:val="0"/>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rPr>
        <w:t>”</w:t>
      </w:r>
      <w:r>
        <w:rPr>
          <w:color w:val="000000"/>
          <w:spacing w:val="0"/>
          <w:w w:val="100"/>
          <w:position w:val="0"/>
        </w:rPr>
        <w:t>部分所述事项外，我们确定下列事 项是需要在审计报告中沟通的关键审计事项。</w:t>
      </w:r>
    </w:p>
    <w:p>
      <w:pPr>
        <w:pStyle w:val="Style18"/>
        <w:keepNext w:val="0"/>
        <w:keepLines w:val="0"/>
        <w:widowControl w:val="0"/>
        <w:shd w:val="clear" w:color="auto" w:fill="auto"/>
        <w:bidi w:val="0"/>
        <w:spacing w:before="0" w:after="0" w:line="314" w:lineRule="exact"/>
        <w:ind w:left="0" w:right="0"/>
        <w:jc w:val="both"/>
      </w:pPr>
      <w:bookmarkStart w:id="687" w:name="bookmark687"/>
      <w:r>
        <w:rPr>
          <w:color w:val="000000"/>
          <w:spacing w:val="0"/>
          <w:w w:val="100"/>
          <w:position w:val="0"/>
        </w:rPr>
        <w:t>（</w:t>
      </w:r>
      <w:bookmarkEnd w:id="687"/>
      <w:r>
        <w:rPr>
          <w:color w:val="000000"/>
          <w:spacing w:val="0"/>
          <w:w w:val="100"/>
          <w:position w:val="0"/>
        </w:rPr>
        <w:t>一）收入确认</w:t>
      </w:r>
    </w:p>
    <w:p>
      <w:pPr>
        <w:pStyle w:val="Style18"/>
        <w:keepNext w:val="0"/>
        <w:keepLines w:val="0"/>
        <w:widowControl w:val="0"/>
        <w:shd w:val="clear" w:color="auto" w:fill="auto"/>
        <w:tabs>
          <w:tab w:pos="702" w:val="left"/>
        </w:tabs>
        <w:bidi w:val="0"/>
        <w:spacing w:before="0" w:after="0" w:line="314" w:lineRule="exact"/>
        <w:ind w:left="0" w:right="0"/>
        <w:jc w:val="both"/>
      </w:pPr>
      <w:bookmarkStart w:id="688" w:name="bookmark688"/>
      <w:r>
        <w:rPr>
          <w:color w:val="000000"/>
          <w:spacing w:val="0"/>
          <w:w w:val="100"/>
          <w:position w:val="0"/>
        </w:rPr>
        <w:t>1</w:t>
      </w:r>
      <w:bookmarkEnd w:id="688"/>
      <w:r>
        <w:rPr>
          <w:color w:val="000000"/>
          <w:spacing w:val="0"/>
          <w:w w:val="100"/>
          <w:position w:val="0"/>
        </w:rPr>
        <w:t>、</w:t>
        <w:tab/>
        <w:t>事项描述</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如财务报表附注七、61所述，恒宝股份2021年度营业收入合计</w:t>
      </w:r>
      <w:r>
        <w:rPr>
          <w:color w:val="000000"/>
          <w:spacing w:val="0"/>
          <w:w w:val="100"/>
          <w:position w:val="0"/>
        </w:rPr>
        <w:t>95,988.53</w:t>
      </w:r>
      <w:r>
        <w:rPr>
          <w:color w:val="000000"/>
          <w:spacing w:val="0"/>
          <w:w w:val="100"/>
          <w:position w:val="0"/>
        </w:rPr>
        <w:t>万元。对于国内销售，公司按照合同约定将产 品交付给客户且客户已接受，该商品的法定所有权已转移，实物已转移，商品所有权上的主要风险已转移，已经收回货款或 取得收款权利凭证且相关的经济利益很可能流入时确认收入。对于出口销售，公司按照合同约定将产品报关，经商检、报关 确认通关后，该商品的法定所有权已转移，实物已转移，商品所有权上的主要风险已转移，公司就该商品享有现时收款权利 时确认收入。由于收入是恒宝股份的关键业绩指标之一，从而存在管理层为了达到特定目标或期望而操纵收入确认时点的固 有风险，因此我们将恒宝股份收入确认作为关键审计事项。</w:t>
      </w:r>
    </w:p>
    <w:p>
      <w:pPr>
        <w:pStyle w:val="Style18"/>
        <w:keepNext w:val="0"/>
        <w:keepLines w:val="0"/>
        <w:widowControl w:val="0"/>
        <w:shd w:val="clear" w:color="auto" w:fill="auto"/>
        <w:tabs>
          <w:tab w:pos="703" w:val="left"/>
        </w:tabs>
        <w:bidi w:val="0"/>
        <w:spacing w:before="0" w:after="140" w:line="314" w:lineRule="exact"/>
        <w:ind w:left="0" w:right="0"/>
        <w:jc w:val="both"/>
      </w:pPr>
      <w:bookmarkStart w:id="689" w:name="bookmark689"/>
      <w:r>
        <w:rPr>
          <w:color w:val="000000"/>
          <w:spacing w:val="0"/>
          <w:w w:val="100"/>
          <w:position w:val="0"/>
        </w:rPr>
        <w:t>2</w:t>
      </w:r>
      <w:bookmarkEnd w:id="689"/>
      <w:r>
        <w:rPr>
          <w:color w:val="000000"/>
          <w:spacing w:val="0"/>
          <w:w w:val="100"/>
          <w:position w:val="0"/>
        </w:rPr>
        <w:t>、</w:t>
        <w:tab/>
        <w:t>审计应对</w:t>
      </w:r>
    </w:p>
    <w:p>
      <w:pPr>
        <w:pStyle w:val="Style18"/>
        <w:keepNext w:val="0"/>
        <w:keepLines w:val="0"/>
        <w:widowControl w:val="0"/>
        <w:shd w:val="clear" w:color="auto" w:fill="auto"/>
        <w:tabs>
          <w:tab w:pos="820" w:val="left"/>
        </w:tabs>
        <w:bidi w:val="0"/>
        <w:spacing w:before="0" w:after="0" w:line="322" w:lineRule="exact"/>
        <w:ind w:left="0" w:right="0"/>
        <w:jc w:val="both"/>
      </w:pPr>
      <w:bookmarkStart w:id="690" w:name="bookmark690"/>
      <w:r>
        <w:rPr>
          <w:color w:val="000000"/>
          <w:spacing w:val="0"/>
          <w:w w:val="100"/>
          <w:position w:val="0"/>
        </w:rPr>
        <w:t>（</w:t>
      </w:r>
      <w:bookmarkEnd w:id="690"/>
      <w:r>
        <w:rPr>
          <w:color w:val="000000"/>
          <w:spacing w:val="0"/>
          <w:w w:val="100"/>
          <w:position w:val="0"/>
        </w:rPr>
        <w:t>1）</w:t>
        <w:tab/>
        <w:t>了解、评价管理层与收入相关的内部控制制度的设计合理性和运行有效性；</w:t>
      </w:r>
    </w:p>
    <w:p>
      <w:pPr>
        <w:pStyle w:val="Style18"/>
        <w:keepNext w:val="0"/>
        <w:keepLines w:val="0"/>
        <w:widowControl w:val="0"/>
        <w:shd w:val="clear" w:color="auto" w:fill="auto"/>
        <w:tabs>
          <w:tab w:pos="896" w:val="left"/>
        </w:tabs>
        <w:bidi w:val="0"/>
        <w:spacing w:before="0" w:after="0" w:line="322" w:lineRule="exact"/>
        <w:ind w:left="0" w:right="0"/>
        <w:jc w:val="both"/>
      </w:pPr>
      <w:bookmarkStart w:id="691" w:name="bookmark691"/>
      <w:r>
        <w:rPr>
          <w:color w:val="000000"/>
          <w:spacing w:val="0"/>
          <w:w w:val="100"/>
          <w:position w:val="0"/>
        </w:rPr>
        <w:t>（</w:t>
      </w:r>
      <w:bookmarkEnd w:id="691"/>
      <w:r>
        <w:rPr>
          <w:color w:val="000000"/>
          <w:spacing w:val="0"/>
          <w:w w:val="100"/>
          <w:position w:val="0"/>
        </w:rPr>
        <w:t>2）</w:t>
        <w:tab/>
        <w:t>对收入执行分析性程序，包括对各月收入、成本、毛利率的波动进行分析，主要产品本期收入、成本、毛利率与 上期比较分析等，以评价收入确认的准确性；</w:t>
      </w:r>
    </w:p>
    <w:p>
      <w:pPr>
        <w:pStyle w:val="Style18"/>
        <w:keepNext w:val="0"/>
        <w:keepLines w:val="0"/>
        <w:widowControl w:val="0"/>
        <w:shd w:val="clear" w:color="auto" w:fill="auto"/>
        <w:tabs>
          <w:tab w:pos="896" w:val="left"/>
        </w:tabs>
        <w:bidi w:val="0"/>
        <w:spacing w:before="0" w:after="0" w:line="322" w:lineRule="exact"/>
        <w:ind w:left="0" w:right="0"/>
        <w:jc w:val="both"/>
      </w:pPr>
      <w:bookmarkStart w:id="692" w:name="bookmark692"/>
      <w:r>
        <w:rPr>
          <w:color w:val="000000"/>
          <w:spacing w:val="0"/>
          <w:w w:val="100"/>
          <w:position w:val="0"/>
        </w:rPr>
        <w:t>（</w:t>
      </w:r>
      <w:bookmarkEnd w:id="692"/>
      <w:r>
        <w:rPr>
          <w:color w:val="000000"/>
          <w:spacing w:val="0"/>
          <w:w w:val="100"/>
          <w:position w:val="0"/>
        </w:rPr>
        <w:t>3）</w:t>
        <w:tab/>
        <w:t>检查与收入确认相关的支持性文件，包括销售合同、发票、收发记录、客户确认的结算单、资金收付凭证、海关 记录等，评价收入确认是否符合企业会计准则的要求；</w:t>
      </w:r>
    </w:p>
    <w:p>
      <w:pPr>
        <w:pStyle w:val="Style18"/>
        <w:keepNext w:val="0"/>
        <w:keepLines w:val="0"/>
        <w:widowControl w:val="0"/>
        <w:shd w:val="clear" w:color="auto" w:fill="auto"/>
        <w:tabs>
          <w:tab w:pos="820" w:val="left"/>
        </w:tabs>
        <w:bidi w:val="0"/>
        <w:spacing w:before="0" w:after="0" w:line="322" w:lineRule="exact"/>
        <w:ind w:left="0" w:right="0"/>
        <w:jc w:val="both"/>
      </w:pPr>
      <w:bookmarkStart w:id="693" w:name="bookmark693"/>
      <w:r>
        <w:rPr>
          <w:color w:val="000000"/>
          <w:spacing w:val="0"/>
          <w:w w:val="100"/>
          <w:position w:val="0"/>
        </w:rPr>
        <w:t>（</w:t>
      </w:r>
      <w:bookmarkEnd w:id="693"/>
      <w:r>
        <w:rPr>
          <w:color w:val="000000"/>
          <w:spacing w:val="0"/>
          <w:w w:val="100"/>
          <w:position w:val="0"/>
        </w:rPr>
        <w:t>4）</w:t>
        <w:tab/>
        <w:t>结合往来款函证，对重大客户实施独立函证程序，以确认收入的真实性；</w:t>
      </w:r>
    </w:p>
    <w:p>
      <w:pPr>
        <w:pStyle w:val="Style18"/>
        <w:keepNext w:val="0"/>
        <w:keepLines w:val="0"/>
        <w:widowControl w:val="0"/>
        <w:shd w:val="clear" w:color="auto" w:fill="auto"/>
        <w:tabs>
          <w:tab w:pos="901" w:val="left"/>
        </w:tabs>
        <w:bidi w:val="0"/>
        <w:spacing w:before="0" w:after="0" w:line="326" w:lineRule="exact"/>
        <w:ind w:left="0" w:right="0"/>
        <w:jc w:val="both"/>
      </w:pPr>
      <w:bookmarkStart w:id="694" w:name="bookmark694"/>
      <w:r>
        <w:rPr>
          <w:color w:val="000000"/>
          <w:spacing w:val="0"/>
          <w:w w:val="100"/>
          <w:position w:val="0"/>
        </w:rPr>
        <w:t>（</w:t>
      </w:r>
      <w:bookmarkEnd w:id="694"/>
      <w:r>
        <w:rPr>
          <w:color w:val="000000"/>
          <w:spacing w:val="0"/>
          <w:w w:val="100"/>
          <w:position w:val="0"/>
        </w:rPr>
        <w:t>5）</w:t>
        <w:tab/>
        <w:t>就资产负债表日前后记录的收入交易，选取样本，核对收发记录、客户确认的结算单、海关记录及其他支持性文 件，以评价收入是否被记录于恰当的会计期间。</w:t>
      </w:r>
    </w:p>
    <w:p>
      <w:pPr>
        <w:pStyle w:val="Style18"/>
        <w:keepNext w:val="0"/>
        <w:keepLines w:val="0"/>
        <w:widowControl w:val="0"/>
        <w:shd w:val="clear" w:color="auto" w:fill="auto"/>
        <w:bidi w:val="0"/>
        <w:spacing w:before="0" w:after="0" w:line="322" w:lineRule="exact"/>
        <w:ind w:left="0" w:right="0"/>
        <w:jc w:val="both"/>
      </w:pPr>
      <w:bookmarkStart w:id="695" w:name="bookmark695"/>
      <w:r>
        <w:rPr>
          <w:color w:val="000000"/>
          <w:spacing w:val="0"/>
          <w:w w:val="100"/>
          <w:position w:val="0"/>
        </w:rPr>
        <w:t>（</w:t>
      </w:r>
      <w:bookmarkEnd w:id="695"/>
      <w:r>
        <w:rPr>
          <w:color w:val="000000"/>
          <w:spacing w:val="0"/>
          <w:w w:val="100"/>
          <w:position w:val="0"/>
        </w:rPr>
        <w:t>二）交易性金融资产</w:t>
      </w:r>
    </w:p>
    <w:p>
      <w:pPr>
        <w:pStyle w:val="Style18"/>
        <w:keepNext w:val="0"/>
        <w:keepLines w:val="0"/>
        <w:widowControl w:val="0"/>
        <w:shd w:val="clear" w:color="auto" w:fill="auto"/>
        <w:tabs>
          <w:tab w:pos="746" w:val="left"/>
        </w:tabs>
        <w:bidi w:val="0"/>
        <w:spacing w:before="0" w:after="0" w:line="322" w:lineRule="exact"/>
        <w:ind w:left="0" w:right="0"/>
        <w:jc w:val="both"/>
      </w:pPr>
      <w:bookmarkStart w:id="696" w:name="bookmark696"/>
      <w:r>
        <w:rPr>
          <w:color w:val="000000"/>
          <w:spacing w:val="0"/>
          <w:w w:val="100"/>
          <w:position w:val="0"/>
        </w:rPr>
        <w:t>1</w:t>
      </w:r>
      <w:bookmarkEnd w:id="696"/>
      <w:r>
        <w:rPr>
          <w:color w:val="000000"/>
          <w:spacing w:val="0"/>
          <w:w w:val="100"/>
          <w:position w:val="0"/>
        </w:rPr>
        <w:t>、</w:t>
        <w:tab/>
        <w:t>事项描述</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如财务报表附注七、2所述，恒宝股份2021年12月31日交易性金融资产余额</w:t>
      </w:r>
      <w:r>
        <w:rPr>
          <w:color w:val="000000"/>
          <w:spacing w:val="0"/>
          <w:w w:val="100"/>
          <w:position w:val="0"/>
        </w:rPr>
        <w:t>97,879.06</w:t>
      </w:r>
      <w:r>
        <w:rPr>
          <w:color w:val="000000"/>
          <w:spacing w:val="0"/>
          <w:w w:val="100"/>
          <w:position w:val="0"/>
        </w:rPr>
        <w:t xml:space="preserve">万元，2021年度对应其投资收益 </w:t>
      </w:r>
      <w:r>
        <w:rPr>
          <w:color w:val="000000"/>
          <w:spacing w:val="0"/>
          <w:w w:val="100"/>
          <w:position w:val="0"/>
        </w:rPr>
        <w:t>2,405.95</w:t>
      </w:r>
      <w:r>
        <w:rPr>
          <w:color w:val="000000"/>
          <w:spacing w:val="0"/>
          <w:w w:val="100"/>
          <w:position w:val="0"/>
        </w:rPr>
        <w:t>万元，2021年度公允价值变动收益</w:t>
      </w:r>
      <w:r>
        <w:rPr>
          <w:color w:val="000000"/>
          <w:spacing w:val="0"/>
          <w:w w:val="100"/>
          <w:position w:val="0"/>
        </w:rPr>
        <w:t>485.08</w:t>
      </w:r>
      <w:r>
        <w:rPr>
          <w:color w:val="000000"/>
          <w:spacing w:val="0"/>
          <w:w w:val="100"/>
          <w:position w:val="0"/>
        </w:rPr>
        <w:t>万元。由于交易性金融资产金额较大且相关的投资收益及公允价值变动收 益对当期损益的影响较大。因此，我们将交易性金融资产作为关键审计事项。</w:t>
      </w:r>
    </w:p>
    <w:p>
      <w:pPr>
        <w:pStyle w:val="Style18"/>
        <w:keepNext w:val="0"/>
        <w:keepLines w:val="0"/>
        <w:widowControl w:val="0"/>
        <w:shd w:val="clear" w:color="auto" w:fill="auto"/>
        <w:tabs>
          <w:tab w:pos="746" w:val="left"/>
        </w:tabs>
        <w:bidi w:val="0"/>
        <w:spacing w:before="0" w:after="0" w:line="322" w:lineRule="exact"/>
        <w:ind w:left="0" w:right="0"/>
        <w:jc w:val="both"/>
      </w:pPr>
      <w:bookmarkStart w:id="697" w:name="bookmark697"/>
      <w:r>
        <w:rPr>
          <w:color w:val="000000"/>
          <w:spacing w:val="0"/>
          <w:w w:val="100"/>
          <w:position w:val="0"/>
        </w:rPr>
        <w:t>2</w:t>
      </w:r>
      <w:bookmarkEnd w:id="697"/>
      <w:r>
        <w:rPr>
          <w:color w:val="000000"/>
          <w:spacing w:val="0"/>
          <w:w w:val="100"/>
          <w:position w:val="0"/>
        </w:rPr>
        <w:t>、</w:t>
        <w:tab/>
        <w:t>审计应对</w:t>
      </w:r>
    </w:p>
    <w:p>
      <w:pPr>
        <w:pStyle w:val="Style18"/>
        <w:keepNext w:val="0"/>
        <w:keepLines w:val="0"/>
        <w:widowControl w:val="0"/>
        <w:shd w:val="clear" w:color="auto" w:fill="auto"/>
        <w:tabs>
          <w:tab w:pos="820" w:val="left"/>
        </w:tabs>
        <w:bidi w:val="0"/>
        <w:spacing w:before="0" w:after="0" w:line="326" w:lineRule="exact"/>
        <w:ind w:left="0" w:right="0"/>
        <w:jc w:val="both"/>
      </w:pPr>
      <w:bookmarkStart w:id="698" w:name="bookmark698"/>
      <w:r>
        <w:rPr>
          <w:color w:val="000000"/>
          <w:spacing w:val="0"/>
          <w:w w:val="100"/>
          <w:position w:val="0"/>
        </w:rPr>
        <w:t>（</w:t>
      </w:r>
      <w:bookmarkEnd w:id="698"/>
      <w:r>
        <w:rPr>
          <w:color w:val="000000"/>
          <w:spacing w:val="0"/>
          <w:w w:val="100"/>
          <w:position w:val="0"/>
        </w:rPr>
        <w:t>1）</w:t>
        <w:tab/>
        <w:t>评价管理层对交易性金融资产管理的内部控制的设计和运行的有效性；</w:t>
      </w:r>
    </w:p>
    <w:p>
      <w:pPr>
        <w:pStyle w:val="Style18"/>
        <w:keepNext w:val="0"/>
        <w:keepLines w:val="0"/>
        <w:widowControl w:val="0"/>
        <w:shd w:val="clear" w:color="auto" w:fill="auto"/>
        <w:tabs>
          <w:tab w:pos="896" w:val="left"/>
        </w:tabs>
        <w:bidi w:val="0"/>
        <w:spacing w:before="0" w:after="0" w:line="326" w:lineRule="exact"/>
        <w:ind w:left="0" w:right="0"/>
        <w:jc w:val="both"/>
      </w:pPr>
      <w:bookmarkStart w:id="699" w:name="bookmark699"/>
      <w:r>
        <w:rPr>
          <w:color w:val="000000"/>
          <w:spacing w:val="0"/>
          <w:w w:val="100"/>
          <w:position w:val="0"/>
        </w:rPr>
        <w:t>（</w:t>
      </w:r>
      <w:bookmarkEnd w:id="699"/>
      <w:r>
        <w:rPr>
          <w:color w:val="000000"/>
          <w:spacing w:val="0"/>
          <w:w w:val="100"/>
          <w:position w:val="0"/>
        </w:rPr>
        <w:t>2）</w:t>
        <w:tab/>
        <w:t>了解管理层管理交易性金融资产的模式，检查交易性金融资产相关合同，分析合同条款，评价交易性金融资产的 分类是否恰当；</w:t>
      </w:r>
    </w:p>
    <w:p>
      <w:pPr>
        <w:pStyle w:val="Style18"/>
        <w:keepNext w:val="0"/>
        <w:keepLines w:val="0"/>
        <w:widowControl w:val="0"/>
        <w:shd w:val="clear" w:color="auto" w:fill="auto"/>
        <w:tabs>
          <w:tab w:pos="820" w:val="left"/>
        </w:tabs>
        <w:bidi w:val="0"/>
        <w:spacing w:before="0" w:after="0" w:line="326" w:lineRule="exact"/>
        <w:ind w:left="0" w:right="0"/>
        <w:jc w:val="both"/>
      </w:pPr>
      <w:bookmarkStart w:id="700" w:name="bookmark700"/>
      <w:r>
        <w:rPr>
          <w:color w:val="000000"/>
          <w:spacing w:val="0"/>
          <w:w w:val="100"/>
          <w:position w:val="0"/>
        </w:rPr>
        <w:t>（</w:t>
      </w:r>
      <w:bookmarkEnd w:id="700"/>
      <w:r>
        <w:rPr>
          <w:color w:val="000000"/>
          <w:spacing w:val="0"/>
          <w:w w:val="100"/>
          <w:position w:val="0"/>
        </w:rPr>
        <w:t>3）</w:t>
        <w:tab/>
        <w:t>结合银行函证、证券机构函证，执行交易性金融资产函证程序，确认交易性金融资产是否真实存在；</w:t>
      </w:r>
    </w:p>
    <w:p>
      <w:pPr>
        <w:pStyle w:val="Style18"/>
        <w:keepNext w:val="0"/>
        <w:keepLines w:val="0"/>
        <w:widowControl w:val="0"/>
        <w:shd w:val="clear" w:color="auto" w:fill="auto"/>
        <w:tabs>
          <w:tab w:pos="820" w:val="left"/>
        </w:tabs>
        <w:bidi w:val="0"/>
        <w:spacing w:before="0" w:after="140" w:line="322" w:lineRule="exact"/>
        <w:ind w:left="0" w:right="0"/>
        <w:jc w:val="both"/>
      </w:pPr>
      <w:bookmarkStart w:id="701" w:name="bookmark701"/>
      <w:r>
        <w:rPr>
          <w:color w:val="000000"/>
          <w:spacing w:val="0"/>
          <w:w w:val="100"/>
          <w:position w:val="0"/>
        </w:rPr>
        <w:t>（</w:t>
      </w:r>
      <w:bookmarkEnd w:id="701"/>
      <w:r>
        <w:rPr>
          <w:color w:val="000000"/>
          <w:spacing w:val="0"/>
          <w:w w:val="100"/>
          <w:position w:val="0"/>
        </w:rPr>
        <w:t>4）</w:t>
        <w:tab/>
        <w:t>采用可观察参数与可获得的外部市场数据进行核对，重新计算交易性金融资产价值。</w:t>
      </w:r>
    </w:p>
    <w:p>
      <w:pPr>
        <w:pStyle w:val="Style18"/>
        <w:keepNext w:val="0"/>
        <w:keepLines w:val="0"/>
        <w:widowControl w:val="0"/>
        <w:shd w:val="clear" w:color="auto" w:fill="auto"/>
        <w:tabs>
          <w:tab w:pos="810" w:val="left"/>
        </w:tabs>
        <w:bidi w:val="0"/>
        <w:spacing w:before="0" w:after="140" w:line="322" w:lineRule="exact"/>
        <w:ind w:left="0" w:right="0"/>
        <w:jc w:val="both"/>
      </w:pPr>
      <w:bookmarkStart w:id="702" w:name="bookmark702"/>
      <w:r>
        <w:rPr>
          <w:b/>
          <w:bCs/>
          <w:color w:val="000000"/>
          <w:spacing w:val="0"/>
          <w:w w:val="100"/>
          <w:position w:val="0"/>
        </w:rPr>
        <w:t>四</w:t>
      </w:r>
      <w:bookmarkEnd w:id="702"/>
      <w:r>
        <w:rPr>
          <w:b/>
          <w:bCs/>
          <w:color w:val="000000"/>
          <w:spacing w:val="0"/>
          <w:w w:val="100"/>
          <w:position w:val="0"/>
        </w:rPr>
        <w:t>、</w:t>
        <w:tab/>
        <w:t>其他信息</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恒宝股份管理层（以下简称管理层）对其他信息负责。其他信息包括恒宝股份2021年年度报告中涵盖的信息，但不包括 财务报表和我们的审计报告。</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140" w:line="312"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8"/>
        <w:keepNext w:val="0"/>
        <w:keepLines w:val="0"/>
        <w:widowControl w:val="0"/>
        <w:shd w:val="clear" w:color="auto" w:fill="auto"/>
        <w:bidi w:val="0"/>
        <w:spacing w:before="0" w:after="140" w:line="314" w:lineRule="exact"/>
        <w:ind w:left="0" w:right="0"/>
        <w:jc w:val="both"/>
      </w:pPr>
      <w:r>
        <w:rPr>
          <w:color w:val="000000"/>
          <w:spacing w:val="0"/>
          <w:w w:val="100"/>
          <w:position w:val="0"/>
        </w:rPr>
        <w:t>基于我们已执行的工作，如果我们确定其他信息存在重大错报，我们应当报告该事实。如上述</w:t>
      </w:r>
      <w:r>
        <w:rPr>
          <w:rFonts w:ascii="Times New Roman" w:eastAsia="Times New Roman" w:hAnsi="Times New Roman" w:cs="Times New Roman"/>
          <w:color w:val="000000"/>
          <w:spacing w:val="0"/>
          <w:w w:val="100"/>
          <w:position w:val="0"/>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部分所述，我们无法对保留意见事项获取充分、适当的审计证据。因此，我们无法确定与该事项相关的其他信息是否存在重 大错报。</w:t>
      </w:r>
    </w:p>
    <w:p>
      <w:pPr>
        <w:pStyle w:val="Style18"/>
        <w:keepNext w:val="0"/>
        <w:keepLines w:val="0"/>
        <w:widowControl w:val="0"/>
        <w:shd w:val="clear" w:color="auto" w:fill="auto"/>
        <w:tabs>
          <w:tab w:pos="820" w:val="left"/>
        </w:tabs>
        <w:bidi w:val="0"/>
        <w:spacing w:before="0" w:after="140" w:line="322" w:lineRule="exact"/>
        <w:ind w:left="0" w:right="0"/>
        <w:jc w:val="both"/>
      </w:pPr>
      <w:bookmarkStart w:id="703" w:name="bookmark703"/>
      <w:r>
        <w:rPr>
          <w:b/>
          <w:bCs/>
          <w:color w:val="000000"/>
          <w:spacing w:val="0"/>
          <w:w w:val="100"/>
          <w:position w:val="0"/>
        </w:rPr>
        <w:t>五</w:t>
      </w:r>
      <w:bookmarkEnd w:id="703"/>
      <w:r>
        <w:rPr>
          <w:b/>
          <w:bCs/>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在编制财务报表时，管理层负责评估恒宝股份的持续经营能力，披露与持续经营相关的事项（如适用），并运用持续经 营假设，除非管理层计划清算恒宝股份、终止营运或别无其他现实的选择。</w:t>
      </w:r>
    </w:p>
    <w:p>
      <w:pPr>
        <w:pStyle w:val="Style18"/>
        <w:keepNext w:val="0"/>
        <w:keepLines w:val="0"/>
        <w:widowControl w:val="0"/>
        <w:shd w:val="clear" w:color="auto" w:fill="auto"/>
        <w:bidi w:val="0"/>
        <w:spacing w:before="0" w:after="140" w:line="322" w:lineRule="exact"/>
        <w:ind w:left="0" w:right="0"/>
        <w:jc w:val="left"/>
        <w:rPr>
          <w:sz w:val="24"/>
          <w:szCs w:val="24"/>
        </w:rPr>
      </w:pPr>
      <w:r>
        <w:rPr>
          <w:color w:val="000000"/>
          <w:spacing w:val="0"/>
          <w:w w:val="100"/>
          <w:position w:val="0"/>
          <w:sz w:val="18"/>
          <w:szCs w:val="18"/>
        </w:rPr>
        <w:t>恒宝股份治理层（以下简称治理层）负责监督恒宝股份的财务报告过程</w:t>
      </w:r>
      <w:r>
        <w:rPr>
          <w:color w:val="000000"/>
          <w:spacing w:val="0"/>
          <w:w w:val="100"/>
          <w:position w:val="0"/>
          <w:sz w:val="24"/>
          <w:szCs w:val="24"/>
        </w:rPr>
        <w:t>。</w:t>
      </w:r>
    </w:p>
    <w:p>
      <w:pPr>
        <w:pStyle w:val="Style18"/>
        <w:keepNext w:val="0"/>
        <w:keepLines w:val="0"/>
        <w:widowControl w:val="0"/>
        <w:shd w:val="clear" w:color="auto" w:fill="auto"/>
        <w:tabs>
          <w:tab w:pos="825" w:val="left"/>
        </w:tabs>
        <w:bidi w:val="0"/>
        <w:spacing w:before="0" w:after="140" w:line="322" w:lineRule="exact"/>
        <w:ind w:left="0" w:right="0"/>
        <w:jc w:val="both"/>
      </w:pPr>
      <w:bookmarkStart w:id="704" w:name="bookmark704"/>
      <w:r>
        <w:rPr>
          <w:b/>
          <w:bCs/>
          <w:color w:val="000000"/>
          <w:spacing w:val="0"/>
          <w:w w:val="100"/>
          <w:position w:val="0"/>
        </w:rPr>
        <w:t>六</w:t>
      </w:r>
      <w:bookmarkEnd w:id="704"/>
      <w:r>
        <w:rPr>
          <w:b/>
          <w:bCs/>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或错误所导致，如果合理预期错报单独或汇总起来可能影响财务报表使用者依据财务报表作出的经济决策，则通常认为错报 是重大的。</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在按照审计准则执行审计的过程中，我们运用职业判断，并保持职业怀疑。</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同时，我们也执行以下工作：</w:t>
      </w:r>
    </w:p>
    <w:p>
      <w:pPr>
        <w:pStyle w:val="Style18"/>
        <w:keepNext w:val="0"/>
        <w:keepLines w:val="0"/>
        <w:widowControl w:val="0"/>
        <w:shd w:val="clear" w:color="auto" w:fill="auto"/>
        <w:tabs>
          <w:tab w:pos="987" w:val="left"/>
        </w:tabs>
        <w:bidi w:val="0"/>
        <w:spacing w:before="0" w:after="0" w:line="312" w:lineRule="exact"/>
        <w:ind w:left="0" w:right="0" w:firstLine="360"/>
        <w:jc w:val="both"/>
      </w:pPr>
      <w:bookmarkStart w:id="705" w:name="bookmark705"/>
      <w:r>
        <w:rPr>
          <w:color w:val="000000"/>
          <w:spacing w:val="0"/>
          <w:w w:val="100"/>
          <w:position w:val="0"/>
        </w:rPr>
        <w:t>（</w:t>
      </w:r>
      <w:bookmarkEnd w:id="705"/>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8"/>
        <w:keepNext w:val="0"/>
        <w:keepLines w:val="0"/>
        <w:widowControl w:val="0"/>
        <w:shd w:val="clear" w:color="auto" w:fill="auto"/>
        <w:tabs>
          <w:tab w:pos="891" w:val="left"/>
        </w:tabs>
        <w:bidi w:val="0"/>
        <w:spacing w:before="0" w:after="0" w:line="312" w:lineRule="exact"/>
        <w:ind w:left="0" w:right="0" w:firstLine="360"/>
        <w:jc w:val="both"/>
      </w:pPr>
      <w:bookmarkStart w:id="706" w:name="bookmark706"/>
      <w:r>
        <w:rPr>
          <w:color w:val="000000"/>
          <w:spacing w:val="0"/>
          <w:w w:val="100"/>
          <w:position w:val="0"/>
        </w:rPr>
        <w:t>（</w:t>
      </w:r>
      <w:bookmarkEnd w:id="706"/>
      <w:r>
        <w:rPr>
          <w:color w:val="000000"/>
          <w:spacing w:val="0"/>
          <w:w w:val="100"/>
          <w:position w:val="0"/>
        </w:rPr>
        <w:t>二）</w:t>
        <w:tab/>
        <w:t>了解与审计相关的内部控制，以设计恰当的审计程序，但目的并非对内部控制的有效性发表意见。</w:t>
      </w:r>
    </w:p>
    <w:p>
      <w:pPr>
        <w:pStyle w:val="Style18"/>
        <w:keepNext w:val="0"/>
        <w:keepLines w:val="0"/>
        <w:widowControl w:val="0"/>
        <w:shd w:val="clear" w:color="auto" w:fill="auto"/>
        <w:tabs>
          <w:tab w:pos="891" w:val="left"/>
        </w:tabs>
        <w:bidi w:val="0"/>
        <w:spacing w:before="0" w:after="0" w:line="312" w:lineRule="exact"/>
        <w:ind w:left="0" w:right="0" w:firstLine="360"/>
        <w:jc w:val="both"/>
      </w:pPr>
      <w:bookmarkStart w:id="707" w:name="bookmark707"/>
      <w:r>
        <w:rPr>
          <w:color w:val="000000"/>
          <w:spacing w:val="0"/>
          <w:w w:val="100"/>
          <w:position w:val="0"/>
        </w:rPr>
        <w:t>（</w:t>
      </w:r>
      <w:bookmarkEnd w:id="707"/>
      <w:r>
        <w:rPr>
          <w:color w:val="000000"/>
          <w:spacing w:val="0"/>
          <w:w w:val="100"/>
          <w:position w:val="0"/>
        </w:rPr>
        <w:t>三）</w:t>
        <w:tab/>
        <w:t>评价管理层选用会计政策的恰当性和作出会计估计及相关披露的合理性。</w:t>
      </w:r>
    </w:p>
    <w:p>
      <w:pPr>
        <w:pStyle w:val="Style18"/>
        <w:keepNext w:val="0"/>
        <w:keepLines w:val="0"/>
        <w:widowControl w:val="0"/>
        <w:shd w:val="clear" w:color="auto" w:fill="auto"/>
        <w:tabs>
          <w:tab w:pos="987" w:val="left"/>
        </w:tabs>
        <w:bidi w:val="0"/>
        <w:spacing w:before="0" w:after="0" w:line="312" w:lineRule="exact"/>
        <w:ind w:left="0" w:right="0" w:firstLine="360"/>
        <w:jc w:val="both"/>
      </w:pPr>
      <w:bookmarkStart w:id="708" w:name="bookmark708"/>
      <w:r>
        <w:rPr>
          <w:color w:val="000000"/>
          <w:spacing w:val="0"/>
          <w:w w:val="100"/>
          <w:position w:val="0"/>
        </w:rPr>
        <w:t>（</w:t>
      </w:r>
      <w:bookmarkEnd w:id="708"/>
      <w:r>
        <w:rPr>
          <w:color w:val="000000"/>
          <w:spacing w:val="0"/>
          <w:w w:val="100"/>
          <w:position w:val="0"/>
        </w:rPr>
        <w:t>四）</w:t>
        <w:tab/>
        <w:t>对管理层使用持续经营假设的恰当性得出结论。同时，根据获取的审计证据，就可能导致对恒宝股份持续经营能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于截至审计报告日可获得的信息。然而，未来的事项或情况可能导致恒宝股份不能持续经营。</w:t>
      </w:r>
    </w:p>
    <w:p>
      <w:pPr>
        <w:pStyle w:val="Style18"/>
        <w:keepNext w:val="0"/>
        <w:keepLines w:val="0"/>
        <w:widowControl w:val="0"/>
        <w:shd w:val="clear" w:color="auto" w:fill="auto"/>
        <w:tabs>
          <w:tab w:pos="891" w:val="left"/>
        </w:tabs>
        <w:bidi w:val="0"/>
        <w:spacing w:before="0" w:after="0" w:line="312" w:lineRule="exact"/>
        <w:ind w:left="0" w:right="0" w:firstLine="360"/>
        <w:jc w:val="both"/>
      </w:pPr>
      <w:bookmarkStart w:id="709" w:name="bookmark709"/>
      <w:r>
        <w:rPr>
          <w:color w:val="000000"/>
          <w:spacing w:val="0"/>
          <w:w w:val="100"/>
          <w:position w:val="0"/>
        </w:rPr>
        <w:t>（</w:t>
      </w:r>
      <w:bookmarkEnd w:id="709"/>
      <w:r>
        <w:rPr>
          <w:color w:val="000000"/>
          <w:spacing w:val="0"/>
          <w:w w:val="100"/>
          <w:position w:val="0"/>
        </w:rPr>
        <w:t>五）</w:t>
        <w:tab/>
        <w:t>评价财务报表的总体列报（包括披露）、结构和内容，并评价财务报表是否公允反映相关交易和事项。</w:t>
      </w:r>
    </w:p>
    <w:p>
      <w:pPr>
        <w:pStyle w:val="Style18"/>
        <w:keepNext w:val="0"/>
        <w:keepLines w:val="0"/>
        <w:widowControl w:val="0"/>
        <w:shd w:val="clear" w:color="auto" w:fill="auto"/>
        <w:tabs>
          <w:tab w:pos="987" w:val="left"/>
        </w:tabs>
        <w:bidi w:val="0"/>
        <w:spacing w:before="0" w:after="0" w:line="317" w:lineRule="exact"/>
        <w:ind w:left="0" w:right="0" w:firstLine="360"/>
        <w:jc w:val="both"/>
      </w:pPr>
      <w:bookmarkStart w:id="710" w:name="bookmark710"/>
      <w:r>
        <w:rPr>
          <w:color w:val="000000"/>
          <w:spacing w:val="0"/>
          <w:w w:val="100"/>
          <w:position w:val="0"/>
        </w:rPr>
        <w:t>（</w:t>
      </w:r>
      <w:bookmarkEnd w:id="710"/>
      <w:r>
        <w:rPr>
          <w:color w:val="000000"/>
          <w:spacing w:val="0"/>
          <w:w w:val="100"/>
          <w:position w:val="0"/>
        </w:rPr>
        <w:t>六）</w:t>
        <w:tab/>
        <w:t>就恒宝股份中实体或业务活动的财务信息获取充分、适当的审计证据，以对财务报表发表意见。我们负责指导、 监督和执行集团审计，并对审计意见承担全部责任。</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8"/>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8"/>
        <w:keepNext w:val="0"/>
        <w:keepLines w:val="0"/>
        <w:widowControl w:val="0"/>
        <w:shd w:val="clear" w:color="auto" w:fill="auto"/>
        <w:tabs>
          <w:tab w:pos="3653" w:val="left"/>
        </w:tabs>
        <w:bidi w:val="0"/>
        <w:spacing w:before="0" w:after="360" w:line="312" w:lineRule="exact"/>
        <w:ind w:left="0" w:right="0" w:firstLine="0"/>
        <w:jc w:val="right"/>
      </w:pPr>
      <w:r>
        <w:rPr>
          <w:color w:val="000000"/>
          <w:spacing w:val="0"/>
          <w:w w:val="100"/>
          <w:position w:val="0"/>
        </w:rPr>
        <w:t>中兴华会计师事务所（特殊普通合伙）</w:t>
        <w:tab/>
        <w:t>中国注册会计师：汪军</w:t>
      </w:r>
    </w:p>
    <w:p>
      <w:pPr>
        <w:pStyle w:val="Style18"/>
        <w:keepNext w:val="0"/>
        <w:keepLines w:val="0"/>
        <w:widowControl w:val="0"/>
        <w:shd w:val="clear" w:color="auto" w:fill="auto"/>
        <w:tabs>
          <w:tab w:pos="2664" w:val="left"/>
        </w:tabs>
        <w:bidi w:val="0"/>
        <w:spacing w:before="0" w:after="360" w:line="312" w:lineRule="exact"/>
        <w:ind w:left="0" w:right="0" w:firstLine="0"/>
        <w:jc w:val="right"/>
      </w:pPr>
      <w:r>
        <w:rPr>
          <w:color w:val="000000"/>
          <w:spacing w:val="0"/>
          <w:w w:val="100"/>
          <w:position w:val="0"/>
        </w:rPr>
        <w:t>中国•北京</w:t>
        <w:tab/>
        <w:t>中国注册会计师：陈桂春</w:t>
      </w:r>
    </w:p>
    <w:p>
      <w:pPr>
        <w:pStyle w:val="Style18"/>
        <w:keepNext w:val="0"/>
        <w:keepLines w:val="0"/>
        <w:widowControl w:val="0"/>
        <w:shd w:val="clear" w:color="auto" w:fill="auto"/>
        <w:bidi w:val="0"/>
        <w:spacing w:before="0" w:after="720" w:line="312" w:lineRule="exact"/>
        <w:ind w:left="0" w:right="0" w:firstLine="0"/>
        <w:jc w:val="right"/>
      </w:pPr>
      <w:r>
        <w:rPr>
          <w:color w:val="000000"/>
          <w:spacing w:val="0"/>
          <w:w w:val="100"/>
          <w:position w:val="0"/>
        </w:rPr>
        <w:t>二</w:t>
      </w:r>
      <w:r>
        <w:rPr>
          <w:color w:val="000000"/>
          <w:spacing w:val="0"/>
          <w:w w:val="100"/>
          <w:position w:val="0"/>
        </w:rPr>
        <w:t>O</w:t>
      </w:r>
      <w:r>
        <w:rPr>
          <w:color w:val="000000"/>
          <w:spacing w:val="0"/>
          <w:w w:val="100"/>
          <w:position w:val="0"/>
        </w:rPr>
        <w:t>二二年四月二十七日</w:t>
      </w:r>
    </w:p>
    <w:p>
      <w:pPr>
        <w:pStyle w:val="Style23"/>
        <w:keepNext/>
        <w:keepLines/>
        <w:widowControl w:val="0"/>
        <w:shd w:val="clear" w:color="auto" w:fill="auto"/>
        <w:bidi w:val="0"/>
        <w:spacing w:before="0" w:after="360" w:line="240" w:lineRule="auto"/>
        <w:ind w:left="0" w:right="0" w:firstLine="0"/>
        <w:jc w:val="both"/>
      </w:pPr>
      <w:bookmarkStart w:id="711" w:name="bookmark711"/>
      <w:bookmarkStart w:id="712" w:name="bookmark712"/>
      <w:bookmarkStart w:id="713" w:name="bookmark713"/>
      <w:r>
        <w:rPr>
          <w:color w:val="000000"/>
          <w:spacing w:val="0"/>
          <w:w w:val="100"/>
          <w:position w:val="0"/>
          <w:sz w:val="24"/>
          <w:szCs w:val="24"/>
        </w:rPr>
        <w:t>二、财务报表</w:t>
      </w:r>
      <w:bookmarkEnd w:id="711"/>
      <w:bookmarkEnd w:id="712"/>
      <w:bookmarkEnd w:id="713"/>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财务附注中报表的单位为：元</w:t>
      </w:r>
    </w:p>
    <w:p>
      <w:pPr>
        <w:pStyle w:val="Style27"/>
        <w:keepNext/>
        <w:keepLines/>
        <w:widowControl w:val="0"/>
        <w:shd w:val="clear" w:color="auto" w:fill="auto"/>
        <w:bidi w:val="0"/>
        <w:spacing w:before="0" w:line="240" w:lineRule="auto"/>
        <w:ind w:left="0" w:right="0" w:firstLine="0"/>
        <w:jc w:val="both"/>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1</w:t>
      </w:r>
      <w:bookmarkEnd w:id="716"/>
      <w:r>
        <w:rPr>
          <w:color w:val="000000"/>
          <w:spacing w:val="0"/>
          <w:w w:val="100"/>
          <w:position w:val="0"/>
        </w:rPr>
        <w:t>、合并资产负债表</w:t>
      </w:r>
      <w:bookmarkEnd w:id="714"/>
      <w:bookmarkEnd w:id="715"/>
      <w:bookmarkEnd w:id="717"/>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编制单位：恒宝股份有限公司</w:t>
      </w:r>
    </w:p>
    <w:p>
      <w:pPr>
        <w:pStyle w:val="Style38"/>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201,488,305.03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466,594,220.10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978,790,638.37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863,892,886.64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149,088,833.09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149,066,277.62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209,888.00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47,636.80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5,201,066.65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7,388,008.89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6,186,070.60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6,989,764.44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229,059,143.22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244,435,874.23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10,861,261.71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13,964,446.39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1,580,885,206.67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1,752,379,115.11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170,732,650.33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216,686,984.39</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6,030,000.00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306,758,374.58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313,581,913.10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1,262,376.23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3,837,623.75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3,904,546.82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39,619,721.51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47,767,184.37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4,425,017.47</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2,419,088.70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10,792,283.86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9,460,430.95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5,837,778.65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63,927,034.65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1,169,561.90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601,084,223.77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610,128,347.49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2,181,969,430.44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2,362,507,462.60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1,150,000.00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216,267,337.22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190,277,997.66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40,557,106.02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75,481,072.03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2,288,160.16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3,709,637.83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12,297,576.90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8,161,297.22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8,893,265.79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15,107,199.16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21,842,017.72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20,419,681.25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5,005,839.82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8,461,491.75</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307,438,803.63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322,768,376.90</w:t>
            </w:r>
          </w:p>
        </w:tc>
      </w:tr>
    </w:tbl>
    <w:p>
      <w:pPr>
        <w:widowControl w:val="0"/>
        <w:spacing w:line="1" w:lineRule="exact"/>
      </w:pPr>
      <w:r>
        <w:br w:type="page"/>
      </w:r>
    </w:p>
    <w:p>
      <w:pPr>
        <w:widowControl w:val="0"/>
        <w:spacing w:line="1" w:lineRule="exact"/>
      </w:pPr>
      <w:r>
        <mc:AlternateContent>
          <mc:Choice Requires="wps">
            <w:drawing>
              <wp:anchor distT="152400" distB="0" distL="114300" distR="5259705" simplePos="0" relativeHeight="125829380" behindDoc="0" locked="0" layoutInCell="1" allowOverlap="1">
                <wp:simplePos x="0" y="0"/>
                <wp:positionH relativeFrom="page">
                  <wp:posOffset>728345</wp:posOffset>
                </wp:positionH>
                <wp:positionV relativeFrom="margin">
                  <wp:posOffset>8183880</wp:posOffset>
                </wp:positionV>
                <wp:extent cx="938530" cy="149225"/>
                <wp:wrapTopAndBottom/>
                <wp:docPr id="6" name="Shape 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法定代表人：钱京</w:t>
                            </w:r>
                          </w:p>
                        </w:txbxContent>
                      </wps:txbx>
                      <wps:bodyPr wrap="none" lIns="0" tIns="0" rIns="0" bIns="0">
                        <a:noAutoFit/>
                      </wps:bodyPr>
                    </wps:wsp>
                  </a:graphicData>
                </a:graphic>
              </wp:anchor>
            </w:drawing>
          </mc:Choice>
          <mc:Fallback>
            <w:pict>
              <v:shape id="_x0000_s1032" type="#_x0000_t202" style="position:absolute;margin-left:57.350000000000001pt;margin-top:644.39999999999998pt;width:73.900000000000006pt;height:11.75pt;z-index:-125829373;mso-wrap-distance-left:9.pt;mso-wrap-distance-top:12.pt;mso-wrap-distance-right:414.15000000000003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法定代表人：钱京</w:t>
                      </w:r>
                    </w:p>
                  </w:txbxContent>
                </v:textbox>
                <w10:wrap type="topAndBottom" anchorx="page" anchory="margin"/>
              </v:shape>
            </w:pict>
          </mc:Fallback>
        </mc:AlternateContent>
      </w:r>
      <w:r>
        <mc:AlternateContent>
          <mc:Choice Requires="wps">
            <w:drawing>
              <wp:anchor distT="152400" distB="3175" distL="2232660" distR="2567940" simplePos="0" relativeHeight="125829382" behindDoc="0" locked="0" layoutInCell="1" allowOverlap="1">
                <wp:simplePos x="0" y="0"/>
                <wp:positionH relativeFrom="page">
                  <wp:posOffset>2846705</wp:posOffset>
                </wp:positionH>
                <wp:positionV relativeFrom="margin">
                  <wp:posOffset>8183880</wp:posOffset>
                </wp:positionV>
                <wp:extent cx="1511935" cy="146050"/>
                <wp:wrapTopAndBottom/>
                <wp:docPr id="8" name="Shape 8"/>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主管会计工作负责人：徐霄凌</w:t>
                            </w:r>
                          </w:p>
                        </w:txbxContent>
                      </wps:txbx>
                      <wps:bodyPr wrap="none" lIns="0" tIns="0" rIns="0" bIns="0">
                        <a:noAutoFit/>
                      </wps:bodyPr>
                    </wps:wsp>
                  </a:graphicData>
                </a:graphic>
              </wp:anchor>
            </w:drawing>
          </mc:Choice>
          <mc:Fallback>
            <w:pict>
              <v:shape id="_x0000_s1034" type="#_x0000_t202" style="position:absolute;margin-left:224.15000000000001pt;margin-top:644.39999999999998pt;width:119.05pt;height:11.5pt;z-index:-125829371;mso-wrap-distance-left:175.80000000000001pt;mso-wrap-distance-top:12.pt;mso-wrap-distance-right:202.20000000000002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主管会计工作负责人：徐霄凌</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5525770</wp:posOffset>
                </wp:positionH>
                <wp:positionV relativeFrom="margin">
                  <wp:posOffset>8183880</wp:posOffset>
                </wp:positionV>
                <wp:extent cx="1286510" cy="149225"/>
                <wp:wrapTopAndBottom/>
                <wp:docPr id="10" name="Shape 1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会计机构负责人：刘春莲</w:t>
                            </w:r>
                          </w:p>
                        </w:txbxContent>
                      </wps:txbx>
                      <wps:bodyPr wrap="none" lIns="0" tIns="0" rIns="0" bIns="0">
                        <a:noAutoFit/>
                      </wps:bodyPr>
                    </wps:wsp>
                  </a:graphicData>
                </a:graphic>
              </wp:anchor>
            </w:drawing>
          </mc:Choice>
          <mc:Fallback>
            <w:pict>
              <v:shape id="_x0000_s1036" type="#_x0000_t202" style="position:absolute;margin-left:435.10000000000002pt;margin-top:644.39999999999998pt;width:101.3pt;height:11.75pt;z-index:-125829369;mso-wrap-distance-left:386.75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会计机构负责人：刘春莲</w:t>
                      </w:r>
                    </w:p>
                  </w:txbxContent>
                </v:textbox>
                <w10:wrap type="topAndBottom" anchorx="page" anchory="margin"/>
              </v:shape>
            </w:pict>
          </mc:Fallback>
        </mc:AlternateConten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20,320,000.00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40,660,000.00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2,451,837.61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3,916,621.53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6,055,828.29</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3,478,454.32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2,938,563.62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30,166,913.46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49,654,391.91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337,605,717.09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372,422,768.81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696,921,354.00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696,921,354.00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13,402,392.07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833,192.07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-2,522,521.55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756,218.76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214,133,584.98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207,011,309.90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922,428,903.85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1,023,779,759.10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1,844,363,713.35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1,929,301,833.83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60,782,859.96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1,844,363,713.35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1,990,084,693.79</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2,181,969,430.44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2,362,507,462.60</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2</w:t>
      </w:r>
      <w:bookmarkEnd w:id="720"/>
      <w:r>
        <w:rPr>
          <w:color w:val="000000"/>
          <w:spacing w:val="0"/>
          <w:w w:val="100"/>
          <w:position w:val="0"/>
        </w:rPr>
        <w:t>、母公司资产负债表</w:t>
      </w:r>
      <w:bookmarkEnd w:id="718"/>
      <w:bookmarkEnd w:id="719"/>
      <w:bookmarkEnd w:id="7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154,261,792.49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203,505,999.51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477,516,272.63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491,689,713.10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147,714,067.42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148,198,198.96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209,888.00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47,636.80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4,909,256.10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3,725,255.84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84,887,156.27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95,178,248.76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225,797,941.56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235,444,348.17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1,095,296,374.47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1,177,789,401.14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767,040,481.06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866,151,080.20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160,866,885.06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156,406,421.84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1,262,376.23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3,837,623.75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1,060,699.91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无形资产</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39,619,721.51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43,665,484.37</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2,419,088.70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9,067,533.73</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8,786,742.53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4,599,651.91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63,438,765.08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1,169,561.90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1,047,494,760.08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1,090,897,357.70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2,142,791,134.55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2,268,686,758.84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1,150,000.00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209,966,292.55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175,891,233.35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38,961,924.31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63,154,008.35</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47,773.80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46,181.34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11,983,234.25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7,660,004.18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8,002,835.99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78,058,431.39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172,349.29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5,005,839.82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8,107,475.60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274,427,750.01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334,067,334.21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769,453.60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递延收益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3,916,621.53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6,055,828.29</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3,276,268.02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2,116,414.65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7,962,343.15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8,172,242.94</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282,390,093.16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342,239,577.15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696,921,354.00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696,921,354.00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28,205,312.82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15,636,112.82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2,526,837.18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214,133,584.98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207,011,309.90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921,140,789.59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1,004,351,567.79</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1,860,401,041.39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1,926,447,181.69</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2,142,791,134.55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2,268,686,758.84</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3</w:t>
      </w:r>
      <w:bookmarkEnd w:id="724"/>
      <w:r>
        <w:rPr>
          <w:color w:val="000000"/>
          <w:spacing w:val="0"/>
          <w:w w:val="100"/>
          <w:position w:val="0"/>
        </w:rPr>
        <w:t>、合并利润表</w:t>
      </w:r>
      <w:bookmarkEnd w:id="722"/>
      <w:bookmarkEnd w:id="723"/>
      <w:bookmarkEnd w:id="7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959,885,268.79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1,052,163,738.15</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959,885,268.79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1,052,163,738.15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955,743,261.64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1,009,062,689.32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720,431,615.13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734,492,249.25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000"/>
              <w:jc w:val="left"/>
            </w:pPr>
            <w:r>
              <w:rPr>
                <w:rFonts w:ascii="SimSun" w:eastAsia="SimSun" w:hAnsi="SimSun" w:cs="SimSun"/>
                <w:color w:val="000000"/>
                <w:spacing w:val="0"/>
                <w:w w:val="100"/>
                <w:position w:val="0"/>
              </w:rPr>
              <w:t>提取保险责任合同准备 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7,002,066.07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6,858,817.95</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47,884,928.65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63,509,759.30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77,590,526.70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79,542,294.55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100,363,256.11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127,474,839.43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2,470,868.98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-2,815,271.16</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2,370,711.83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443,493.45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72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1,405,960.01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4,794,438.14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11,438,199.30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11,245,637.71</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投资收益（损失以“一”号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52,130,497.30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27,627,189.19</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23,252,591.70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3,529,548.66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1180" w:right="0" w:firstLine="0"/>
              <w:jc w:val="left"/>
            </w:pPr>
            <w:r>
              <w:rPr>
                <w:rFonts w:ascii="SimSun" w:eastAsia="SimSun" w:hAnsi="SimSun" w:cs="SimSun"/>
                <w:color w:val="000000"/>
                <w:spacing w:val="0"/>
                <w:w w:val="100"/>
                <w:position w:val="0"/>
              </w:rPr>
              <w:t>以摊余成本计量的金</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汇兑收益（损失以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20"/>
              <w:jc w:val="left"/>
            </w:pPr>
            <w:r>
              <w:rPr>
                <w:rFonts w:ascii="SimSun" w:eastAsia="SimSun" w:hAnsi="SimSun" w:cs="SimSun"/>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100" w:line="240" w:lineRule="auto"/>
              <w:ind w:left="0" w:right="0" w:firstLine="820"/>
              <w:jc w:val="left"/>
            </w:pPr>
            <w:r>
              <w:rPr>
                <w:rFonts w:ascii="SimSun" w:eastAsia="SimSun" w:hAnsi="SimSun" w:cs="SimSun"/>
                <w:color w:val="000000"/>
                <w:spacing w:val="0"/>
                <w:w w:val="100"/>
                <w:position w:val="0"/>
              </w:rPr>
              <w:t>公允价值变动收益（损失以</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4,850,792.37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3,542,886.64</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信用减值损失（损失以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-2,744,899.84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-5,235,020.59</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资产减值损失（损失以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-11,024,282.76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-112,816,892.94</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资产处置收益（损失以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29,593.98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-1,023,212.06</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58,821,907.50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-33,558,363.22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587,881.63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2,634,881.58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234,532.85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196,786.82</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59,175,256.28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-31,120,268.46</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6,092,582.52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-4,647,861.02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53,082,673.76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-26,472,407.44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持续经营净利润（净亏损以</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53,082,673.76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-26,472,407.44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终止经营净利润（净亏损以</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53,082,673.76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1,724,407.34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-28,196,814.78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-751,903.13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-712,382.49</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280"/>
              <w:jc w:val="left"/>
            </w:pPr>
            <w:r>
              <w:rPr>
                <w:rFonts w:ascii="SimSun" w:eastAsia="SimSun" w:hAnsi="SimSun" w:cs="SimSun"/>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-751,903.13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-712,382.49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1000"/>
              <w:jc w:val="both"/>
            </w:pPr>
            <w:r>
              <w:rPr>
                <w:color w:val="000000"/>
                <w:spacing w:val="0"/>
                <w:w w:val="100"/>
                <w:position w:val="0"/>
              </w:rPr>
              <w:t>1.</w:t>
            </w:r>
            <w:r>
              <w:rPr>
                <w:rFonts w:ascii="SimSun" w:eastAsia="SimSun" w:hAnsi="SimSun" w:cs="SimSun"/>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2.</w:t>
            </w:r>
            <w:r>
              <w:rPr>
                <w:rFonts w:ascii="SimSun" w:eastAsia="SimSun" w:hAnsi="SimSun" w:cs="SimSun"/>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3.</w:t>
            </w: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4.</w:t>
            </w:r>
            <w:r>
              <w:rPr>
                <w:rFonts w:ascii="SimSun" w:eastAsia="SimSun" w:hAnsi="SimSun" w:cs="SimSun"/>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-751,903.13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-712,382.49</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1000"/>
              <w:jc w:val="both"/>
            </w:pPr>
            <w:r>
              <w:rPr>
                <w:color w:val="000000"/>
                <w:spacing w:val="0"/>
                <w:w w:val="100"/>
                <w:position w:val="0"/>
              </w:rPr>
              <w:t>1.</w:t>
            </w:r>
            <w:r>
              <w:rPr>
                <w:rFonts w:ascii="SimSun" w:eastAsia="SimSun" w:hAnsi="SimSun" w:cs="SimSun"/>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2,526,837.18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1000"/>
              <w:jc w:val="both"/>
            </w:pPr>
            <w:r>
              <w:rPr>
                <w:color w:val="000000"/>
                <w:spacing w:val="0"/>
                <w:w w:val="100"/>
                <w:position w:val="0"/>
              </w:rPr>
              <w:t>2.</w:t>
            </w:r>
            <w:r>
              <w:rPr>
                <w:rFonts w:ascii="SimSun" w:eastAsia="SimSun" w:hAnsi="SimSun" w:cs="SimSun"/>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3.</w:t>
            </w:r>
            <w:r>
              <w:rPr>
                <w:rFonts w:ascii="SimSun" w:eastAsia="SimSun" w:hAnsi="SimSun" w:cs="SimSun"/>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4.</w:t>
            </w:r>
            <w:r>
              <w:rPr>
                <w:rFonts w:ascii="SimSun" w:eastAsia="SimSun" w:hAnsi="SimSun" w:cs="SimSun"/>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-751,903.13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-3,239,219.67</w:t>
            </w:r>
          </w:p>
        </w:tc>
      </w:tr>
      <w:tr>
        <w:trPr>
          <w:trHeight w:val="39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1000"/>
              <w:jc w:val="both"/>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80"/>
              <w:jc w:val="left"/>
            </w:pPr>
            <w:r>
              <w:rPr>
                <w:rFonts w:ascii="SimSun" w:eastAsia="SimSun" w:hAnsi="SimSun" w:cs="SimSun"/>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52,330,770.63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-27,184,789.93</w:t>
            </w:r>
          </w:p>
        </w:tc>
      </w:tr>
    </w:tbl>
    <w:p>
      <w:pPr>
        <w:widowControl w:val="0"/>
        <w:spacing w:line="1" w:lineRule="exact"/>
      </w:pPr>
      <w:r>
        <w:br w:type="page"/>
      </w:r>
    </w:p>
    <w:tbl>
      <w:tblPr>
        <w:tblOverlap w:val="never"/>
        <w:jc w:val="center"/>
        <w:tblLayout w:type="fixed"/>
      </w:tblPr>
      <w:tblGrid>
        <w:gridCol w:w="3082"/>
        <w:gridCol w:w="3211"/>
        <w:gridCol w:w="3288"/>
      </w:tblGrid>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52,330,770.63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1,012,024.85</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归属于少数股东的综合收益总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-28,196,814.78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0.0762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0.0025</w:t>
            </w:r>
          </w:p>
        </w:tc>
      </w:tr>
      <w:tr>
        <w:trPr>
          <w:trHeight w:val="413"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0.0762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0.0025</w:t>
            </w:r>
          </w:p>
        </w:tc>
      </w:tr>
    </w:tbl>
    <w:p>
      <w:pPr>
        <w:widowControl w:val="0"/>
        <w:spacing w:after="5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3278" w:val="left"/>
          <w:tab w:pos="7550" w:val="left"/>
        </w:tabs>
        <w:bidi w:val="0"/>
        <w:spacing w:before="0" w:after="380" w:line="240" w:lineRule="auto"/>
        <w:ind w:left="0" w:right="0" w:firstLine="0"/>
        <w:jc w:val="left"/>
      </w:pPr>
      <w:r>
        <w:rPr>
          <w:color w:val="000000"/>
          <w:spacing w:val="0"/>
          <w:w w:val="100"/>
          <w:position w:val="0"/>
        </w:rPr>
        <w:t>法定代表人：钱京</w:t>
        <w:tab/>
        <w:t>主管会计工作负责人：徐霄凌</w:t>
        <w:tab/>
        <w:t>会计机构负责人：刘春莲</w:t>
      </w:r>
    </w:p>
    <w:p>
      <w:pPr>
        <w:pStyle w:val="Style27"/>
        <w:keepNext/>
        <w:keepLines/>
        <w:widowControl w:val="0"/>
        <w:shd w:val="clear" w:color="auto" w:fill="auto"/>
        <w:bidi w:val="0"/>
        <w:spacing w:before="0" w:after="38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4</w:t>
      </w:r>
      <w:bookmarkEnd w:id="728"/>
      <w:r>
        <w:rPr>
          <w:color w:val="000000"/>
          <w:spacing w:val="0"/>
          <w:w w:val="100"/>
          <w:position w:val="0"/>
        </w:rPr>
        <w:t>、母公司利润表</w:t>
      </w:r>
      <w:bookmarkEnd w:id="726"/>
      <w:bookmarkEnd w:id="727"/>
      <w:bookmarkEnd w:id="7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943,211,728.56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915,758,098.80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719,073,707.86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689,495,629.81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6,034,607.83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5,737,441.97</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36,310,470.08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41,121,058.46</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57,946,541.01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46,951,780.31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93,247,974.79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110,884,872.72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-57,582.00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-4,620,770.15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48,660.70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1,820.83</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1,217,962.11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6,097,429.39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7,571,285.02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7,723,089.56</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820"/>
              <w:jc w:val="both"/>
            </w:pPr>
            <w:r>
              <w:rPr>
                <w:rFonts w:ascii="SimSun" w:eastAsia="SimSun" w:hAnsi="SimSun" w:cs="SimSun"/>
                <w:color w:val="000000"/>
                <w:spacing w:val="0"/>
                <w:w w:val="100"/>
                <w:position w:val="0"/>
              </w:rPr>
              <w:t>投资收益（损失以“一”</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40,629,259.93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18,665,020.24</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23,252,591.70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3,529,548.66</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以摊余成本计量的金 融资产终止确认收益（损失以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820"/>
              <w:jc w:val="left"/>
            </w:pPr>
            <w:r>
              <w:rPr>
                <w:rFonts w:ascii="SimSun" w:eastAsia="SimSun" w:hAnsi="SimSun" w:cs="SimSun"/>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820"/>
              <w:jc w:val="left"/>
            </w:pPr>
            <w:r>
              <w:rPr>
                <w:rFonts w:ascii="SimSun" w:eastAsia="SimSun" w:hAnsi="SimSun" w:cs="SimSun"/>
                <w:color w:val="000000"/>
                <w:spacing w:val="0"/>
                <w:w w:val="100"/>
                <w:position w:val="0"/>
              </w:rPr>
              <w:t>公允价值变动收益（损失 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3,276,426.63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1,689,713.10</w:t>
            </w:r>
          </w:p>
        </w:tc>
      </w:tr>
      <w:tr>
        <w:trPr>
          <w:trHeight w:val="720"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信用减值损失（损失以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-117,328.00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-2,793,683.43</w:t>
            </w: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资产减值损失（损失以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-6,599,265.29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-106,578,781.43</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资产处置收益（损失以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-589,790.16</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75,416,387.28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-55,696,346.44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445,175.95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222,690.25</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213,750.97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188,399.37</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75,647,812.26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-55,662,055.56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4,425,061.45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-2,783,502.33</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71,222,750.81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-52,878,553.23</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50" w:lineRule="exact"/>
              <w:ind w:left="0" w:right="0" w:firstLine="460"/>
              <w:jc w:val="left"/>
            </w:pPr>
            <w:r>
              <w:rPr>
                <w:rFonts w:ascii="SimSun" w:eastAsia="SimSun" w:hAnsi="SimSun" w:cs="SimSun"/>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71,222,750.81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-52,878,553.23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2,526,837.18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2,526,837.18</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1.</w:t>
            </w:r>
            <w:r>
              <w:rPr>
                <w:rFonts w:ascii="SimSun" w:eastAsia="SimSun" w:hAnsi="SimSun" w:cs="SimSun"/>
                <w:color w:val="000000"/>
                <w:spacing w:val="0"/>
                <w:w w:val="100"/>
                <w:position w:val="0"/>
              </w:rPr>
              <w:t>权益法下可转损益的</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2,526,837.18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w:t>
            </w:r>
            <w:r>
              <w:rPr>
                <w:rFonts w:ascii="SimSun" w:eastAsia="SimSun" w:hAnsi="SimSun" w:cs="SimSun"/>
                <w:color w:val="000000"/>
                <w:spacing w:val="0"/>
                <w:w w:val="100"/>
                <w:position w:val="0"/>
              </w:rPr>
              <w:t>其他债权投资信用减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6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6.</w:t>
            </w:r>
            <w:r>
              <w:rPr>
                <w:rFonts w:ascii="SimSun" w:eastAsia="SimSun" w:hAnsi="SimSun" w:cs="SimSun"/>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71,222,750.81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-50,351,716.05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5</w:t>
      </w:r>
      <w:bookmarkEnd w:id="732"/>
      <w:r>
        <w:rPr>
          <w:color w:val="000000"/>
          <w:spacing w:val="0"/>
          <w:w w:val="100"/>
          <w:position w:val="0"/>
        </w:rPr>
        <w:t>、合并现金流量表</w:t>
      </w:r>
      <w:bookmarkEnd w:id="730"/>
      <w:bookmarkEnd w:id="731"/>
      <w:bookmarkEnd w:id="7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1,042,312,282.14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1,126,513,019.61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6,257,895.98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10,613,749.84</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15,774,689.12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524,279,719.11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1,064,344,867.24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1,661,406,488.56</w:t>
            </w:r>
          </w:p>
        </w:tc>
      </w:tr>
      <w:tr>
        <w:trPr>
          <w:trHeight w:val="725"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购买商品、接受劳务支付的现 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706,122,739.86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777,872,509.25</w:t>
            </w: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187,754,532.98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215,166,297.35</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42,243,105.63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59,600,460.94</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65,901,153.75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93,611,767.94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1,002,021,532.22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1,146,251,035.48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62,323,335.02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515,155,453.08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3,530,506,925.76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2,705,500,000.00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32,270,401.31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24,097,640.53</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136,065.66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107,830.00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3,562,913,392.73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2,729,705,470.53</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24,430,736.55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169,222,702.36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3,602,239,846.00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3,171,650,000.00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88,700,521.91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3,715,371,104.46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3,340,872,702.36</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-152,457,711.73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-611,167,231.83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66,000,000.00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66,000,000.00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20,340,000.00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152,001,292.18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363,812.20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50" w:lineRule="exact"/>
              <w:ind w:left="0" w:right="0" w:firstLine="460"/>
              <w:jc w:val="both"/>
            </w:pPr>
            <w:r>
              <w:rPr>
                <w:rFonts w:ascii="SimSun" w:eastAsia="SimSun" w:hAnsi="SimSun" w:cs="SimSun"/>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1,510,956.23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173,852,248.41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5,363,812.20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-173,852,248.41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60,636,187.80</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-1,537,006.63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-3,824,915.34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-265,523,631.75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-39,200,506.29</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459,658,611.46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498,859,117.75</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194,134,979.71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459,658,611.46</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6</w:t>
      </w:r>
      <w:bookmarkEnd w:id="736"/>
      <w:r>
        <w:rPr>
          <w:color w:val="000000"/>
          <w:spacing w:val="0"/>
          <w:w w:val="100"/>
          <w:position w:val="0"/>
        </w:rPr>
        <w:t>、母公司现金流量表</w:t>
      </w:r>
      <w:bookmarkEnd w:id="734"/>
      <w:bookmarkEnd w:id="735"/>
      <w:bookmarkEnd w:id="7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1,030,478,835.00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1,022,683,722.03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5,560,704.57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8,183,413.65</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41,061,445.23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134,485,827.78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1,077,100,984.80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1,165,352,963.46</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697,952,968.04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692,602,883.52</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支付给职工以及为职工支付的</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166,131,246.00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179,535,154.60</w:t>
            </w:r>
          </w:p>
        </w:tc>
      </w:tr>
    </w:tbl>
    <w:p>
      <w:pPr>
        <w:widowControl w:val="0"/>
        <w:spacing w:line="1" w:lineRule="exact"/>
      </w:pPr>
      <w:r>
        <w:br w:type="page"/>
      </w:r>
    </w:p>
    <w:tbl>
      <w:tblPr>
        <w:tblOverlap w:val="never"/>
        <w:jc w:val="center"/>
        <w:tblLayout w:type="fixed"/>
      </w:tblPr>
      <w:tblGrid>
        <w:gridCol w:w="2966"/>
        <w:gridCol w:w="3302"/>
        <w:gridCol w:w="3312"/>
      </w:tblGrid>
      <w:tr>
        <w:trPr>
          <w:trHeight w:val="36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41,409,640.27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37,908,287.36</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145,420,489.12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106,588,238.58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1,050,914,343.43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1,016,634,564.06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26,186,641.37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148,718,399.40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2,029,206,925.76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1,447,000,000.00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19,066,381.33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15,135,471.58</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102,590.00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1,617,830.00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2,048,375,897.09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1,463,753,301.58</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22,323,618.89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34,511,827.60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1,951,409,846.00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1,786,072,660.00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60"/>
              <w:jc w:val="left"/>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1,973,733,464.89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1,820,584,487.60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74,642,432.20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-356,831,186.02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149,838,091.11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1,820.83</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50" w:lineRule="exact"/>
              <w:ind w:left="0" w:right="0" w:firstLine="460"/>
              <w:jc w:val="both"/>
            </w:pPr>
            <w:r>
              <w:rPr>
                <w:rFonts w:ascii="SimSun" w:eastAsia="SimSun" w:hAnsi="SimSun" w:cs="SimSun"/>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150,070,091.11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5,001,820.83</w:t>
            </w: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-150,070,091.11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-1,820.83</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-479,043.42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-356,933.76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-49,720,060.96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-208,471,541.21</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200,977,943.26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409,449,484.47</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151,257,882.30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200,977,943.26</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7</w:t>
      </w:r>
      <w:bookmarkEnd w:id="740"/>
      <w:r>
        <w:rPr>
          <w:color w:val="000000"/>
          <w:spacing w:val="0"/>
          <w:w w:val="100"/>
          <w:position w:val="0"/>
        </w:rPr>
        <w:t>、合并所有者权益变动表</w:t>
      </w:r>
      <w:bookmarkEnd w:id="738"/>
      <w:bookmarkEnd w:id="739"/>
      <w:bookmarkEnd w:id="74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0"/>
        <w:gridCol w:w="466"/>
        <w:gridCol w:w="470"/>
        <w:gridCol w:w="466"/>
        <w:gridCol w:w="586"/>
        <w:gridCol w:w="581"/>
        <w:gridCol w:w="586"/>
        <w:gridCol w:w="586"/>
        <w:gridCol w:w="581"/>
        <w:gridCol w:w="586"/>
        <w:gridCol w:w="581"/>
        <w:gridCol w:w="586"/>
        <w:gridCol w:w="586"/>
        <w:gridCol w:w="581"/>
        <w:gridCol w:w="59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15"/>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403" w:hRule="exact"/>
        </w:trPr>
        <w:tc>
          <w:tcPr>
            <w:tcBorders>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w:t>
            </w:r>
          </w:p>
        </w:tc>
      </w:tr>
      <w:tr>
        <w:trPr>
          <w:trHeight w:val="283" w:hRule="exact"/>
        </w:trPr>
        <w:tc>
          <w:tcPr>
            <w:vMerge w:val="restart"/>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w:t>
            </w:r>
          </w:p>
        </w:tc>
        <w:tc>
          <w:tcPr>
            <w:vMerge/>
            <w:tcBorders>
              <w:left w:val="single" w:sz="4"/>
              <w:right w:val="single" w:sz="4"/>
            </w:tcBorders>
            <w:shd w:val="clear" w:color="auto" w:fill="D3D3D3"/>
            <w:vAlign w:val="bottom"/>
          </w:tcPr>
          <w:p>
            <w:pPr/>
          </w:p>
        </w:tc>
      </w:tr>
      <w:tr>
        <w:trPr>
          <w:trHeight w:val="115" w:hRule="exact"/>
        </w:trPr>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未分</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者权</w:t>
            </w:r>
          </w:p>
        </w:tc>
      </w:tr>
      <w:tr>
        <w:trPr>
          <w:trHeight w:val="77"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优</w:t>
            </w:r>
          </w:p>
        </w:tc>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永</w:t>
            </w: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w:t>
            </w:r>
          </w:p>
        </w:tc>
        <w:tc>
          <w:tcPr>
            <w:vMerge/>
            <w:tcBorders>
              <w:left w:val="single" w:sz="4"/>
              <w:right w:val="single" w:sz="4"/>
            </w:tcBorders>
            <w:shd w:val="clear" w:color="auto" w:fill="D3D3D3"/>
            <w:vAlign w:val="top"/>
          </w:tcPr>
          <w:p>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益合</w:t>
            </w:r>
          </w:p>
        </w:tc>
      </w:tr>
      <w:tr>
        <w:trPr>
          <w:trHeight w:val="163"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综合</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风险</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配利</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vMerge w:val="restart"/>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w:t>
            </w:r>
          </w:p>
        </w:tc>
        <w:tc>
          <w:tcPr>
            <w:vMerge/>
            <w:tcBorders>
              <w:left w:val="single" w:sz="4"/>
              <w:right w:val="single" w:sz="4"/>
            </w:tcBorders>
            <w:shd w:val="clear" w:color="auto" w:fill="D3D3D3"/>
            <w:vAlign w:val="bottom"/>
          </w:tcPr>
          <w:p>
            <w:pPr/>
          </w:p>
        </w:tc>
      </w:tr>
      <w:tr>
        <w:trPr>
          <w:trHeight w:val="158"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vMerge w:val="restart"/>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先</w:t>
            </w:r>
          </w:p>
        </w:tc>
        <w:tc>
          <w:tcPr>
            <w:vMerge w:val="restart"/>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续</w:t>
            </w: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储备</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vMerge w:val="restart"/>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润</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w:t>
            </w:r>
          </w:p>
        </w:tc>
      </w:tr>
      <w:tr>
        <w:trPr>
          <w:trHeight w:val="18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bottom"/>
          </w:tcPr>
          <w:p>
            <w:pPr/>
          </w:p>
        </w:tc>
      </w:tr>
      <w:tr>
        <w:trPr>
          <w:trHeight w:val="29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696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1,99</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9,30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82,8</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0,08</w:t>
            </w:r>
          </w:p>
        </w:tc>
      </w:tr>
      <w:tr>
        <w:trPr>
          <w:trHeight w:val="307" w:hRule="exact"/>
        </w:trPr>
        <w:tc>
          <w:tcPr>
            <w:tcBorders>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余额</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309.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9,75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1,83</w:t>
            </w:r>
          </w:p>
        </w:tc>
        <w:tc>
          <w:tcPr>
            <w:tcBorders>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59.9</w:t>
            </w:r>
          </w:p>
        </w:tc>
        <w:tc>
          <w:tcPr>
            <w:vMerge w:val="restart"/>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4,69</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3.79</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80"/>
              <w:jc w:val="both"/>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26,8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6,83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696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1,99</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9,30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82,8</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0,08</w:t>
            </w:r>
          </w:p>
        </w:tc>
      </w:tr>
      <w:tr>
        <w:trPr>
          <w:trHeight w:val="144" w:hRule="exact"/>
        </w:trPr>
        <w:tc>
          <w:tcPr>
            <w:vMerge w:val="restart"/>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80"/>
              <w:jc w:val="both"/>
            </w:pPr>
            <w:r>
              <w:rPr>
                <w:color w:val="000000"/>
                <w:spacing w:val="0"/>
                <w:w w:val="100"/>
                <w:position w:val="0"/>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59.9</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4,69</w:t>
            </w:r>
          </w:p>
        </w:tc>
      </w:tr>
      <w:tr>
        <w:trPr>
          <w:trHeight w:val="22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3.83</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3.79</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0"/>
        <w:gridCol w:w="466"/>
        <w:gridCol w:w="470"/>
        <w:gridCol w:w="466"/>
        <w:gridCol w:w="586"/>
        <w:gridCol w:w="581"/>
        <w:gridCol w:w="586"/>
        <w:gridCol w:w="586"/>
        <w:gridCol w:w="581"/>
        <w:gridCol w:w="586"/>
        <w:gridCol w:w="581"/>
        <w:gridCol w:w="586"/>
        <w:gridCol w:w="586"/>
        <w:gridCol w:w="581"/>
        <w:gridCol w:w="590"/>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三、本期增减</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变动金额（减</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少以“_”号</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12,5</w:t>
            </w:r>
          </w:p>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69,2</w:t>
            </w:r>
          </w:p>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-751</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,903.</w:t>
            </w:r>
          </w:p>
          <w:p>
            <w:pPr>
              <w:pStyle w:val="Style20"/>
              <w:keepNext w:val="0"/>
              <w:keepLines w:val="0"/>
              <w:widowControl w:val="0"/>
              <w:shd w:val="clear" w:color="auto" w:fill="auto"/>
              <w:bidi w:val="0"/>
              <w:spacing w:before="0" w:after="80" w:line="240" w:lineRule="auto"/>
              <w:ind w:left="0" w:right="0" w:firstLine="300"/>
              <w:jc w:val="both"/>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7,12</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2,27</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-103</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,877,</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692.</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-84,</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938,</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w:t>
            </w:r>
          </w:p>
          <w:p>
            <w:pPr>
              <w:pStyle w:val="Style20"/>
              <w:keepNext w:val="0"/>
              <w:keepLines w:val="0"/>
              <w:widowControl w:val="0"/>
              <w:shd w:val="clear" w:color="auto" w:fill="auto"/>
              <w:bidi w:val="0"/>
              <w:spacing w:before="0" w:after="80" w:line="240" w:lineRule="auto"/>
              <w:ind w:left="0" w:right="0" w:firstLine="280"/>
              <w:jc w:val="both"/>
            </w:pP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-60,</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782,</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859.</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-145</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,720,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980.</w:t>
            </w:r>
          </w:p>
          <w:p>
            <w:pPr>
              <w:pStyle w:val="Style20"/>
              <w:keepNext w:val="0"/>
              <w:keepLines w:val="0"/>
              <w:widowControl w:val="0"/>
              <w:shd w:val="clear" w:color="auto" w:fill="auto"/>
              <w:bidi w:val="0"/>
              <w:spacing w:before="0" w:after="80" w:line="240" w:lineRule="auto"/>
              <w:ind w:left="0" w:right="0" w:firstLine="280"/>
              <w:jc w:val="both"/>
            </w:pPr>
            <w:r>
              <w:rPr>
                <w:color w:val="000000"/>
                <w:spacing w:val="0"/>
                <w:w w:val="100"/>
                <w:position w:val="0"/>
              </w:rPr>
              <w:t>44</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-751</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,903.</w:t>
            </w:r>
          </w:p>
          <w:p>
            <w:pPr>
              <w:pStyle w:val="Style20"/>
              <w:keepNext w:val="0"/>
              <w:keepLines w:val="0"/>
              <w:widowControl w:val="0"/>
              <w:shd w:val="clear" w:color="auto" w:fill="auto"/>
              <w:bidi w:val="0"/>
              <w:spacing w:before="0" w:after="80" w:line="240" w:lineRule="auto"/>
              <w:ind w:left="0" w:right="0" w:firstLine="300"/>
              <w:jc w:val="both"/>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53,0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82,6</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73.7</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52,3</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30,7</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70.6</w:t>
            </w:r>
          </w:p>
          <w:p>
            <w:pPr>
              <w:pStyle w:val="Style20"/>
              <w:keepNext w:val="0"/>
              <w:keepLines w:val="0"/>
              <w:widowControl w:val="0"/>
              <w:shd w:val="clear" w:color="auto" w:fill="auto"/>
              <w:bidi w:val="0"/>
              <w:spacing w:before="0" w:after="80" w:line="240" w:lineRule="auto"/>
              <w:ind w:left="0" w:right="0" w:firstLine="38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52,3</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30,7</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70.6</w:t>
            </w:r>
          </w:p>
          <w:p>
            <w:pPr>
              <w:pStyle w:val="Style20"/>
              <w:keepNext w:val="0"/>
              <w:keepLines w:val="0"/>
              <w:widowControl w:val="0"/>
              <w:shd w:val="clear" w:color="auto" w:fill="auto"/>
              <w:bidi w:val="0"/>
              <w:spacing w:before="0" w:after="80" w:line="240" w:lineRule="auto"/>
              <w:ind w:left="0" w:right="0" w:firstLine="380"/>
              <w:jc w:val="both"/>
            </w:pPr>
            <w:r>
              <w:rPr>
                <w:color w:val="000000"/>
                <w:spacing w:val="0"/>
                <w:w w:val="100"/>
                <w:position w:val="0"/>
              </w:rPr>
              <w:t>3</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（二）所有者</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投入和减少</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12,5</w:t>
            </w:r>
          </w:p>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69,2</w:t>
            </w:r>
          </w:p>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12,5</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69,2</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12,5</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69,2</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12,5</w:t>
            </w:r>
          </w:p>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69,2</w:t>
            </w:r>
          </w:p>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12,5</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69,2</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12,5</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69,2</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w:t>
            </w:r>
          </w:p>
          <w:p>
            <w:pPr>
              <w:pStyle w:val="Style20"/>
              <w:keepNext w:val="0"/>
              <w:keepLines w:val="0"/>
              <w:widowControl w:val="0"/>
              <w:shd w:val="clear" w:color="auto" w:fill="auto"/>
              <w:bidi w:val="0"/>
              <w:spacing w:before="0" w:after="80" w:line="240" w:lineRule="auto"/>
              <w:ind w:left="0" w:right="0" w:firstLine="380"/>
              <w:jc w:val="both"/>
            </w:pPr>
            <w:r>
              <w:rPr>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7,12</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2,27</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-156</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,960,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366.</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,838,</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091.</w:t>
            </w:r>
          </w:p>
          <w:p>
            <w:pPr>
              <w:pStyle w:val="Style20"/>
              <w:keepNext w:val="0"/>
              <w:keepLines w:val="0"/>
              <w:widowControl w:val="0"/>
              <w:shd w:val="clear" w:color="auto" w:fill="auto"/>
              <w:bidi w:val="0"/>
              <w:spacing w:before="0" w:after="80" w:line="240" w:lineRule="auto"/>
              <w:ind w:left="0" w:right="0" w:firstLine="280"/>
              <w:jc w:val="both"/>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,838,</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091.</w:t>
            </w:r>
          </w:p>
          <w:p>
            <w:pPr>
              <w:pStyle w:val="Style20"/>
              <w:keepNext w:val="0"/>
              <w:keepLines w:val="0"/>
              <w:widowControl w:val="0"/>
              <w:shd w:val="clear" w:color="auto" w:fill="auto"/>
              <w:bidi w:val="0"/>
              <w:spacing w:before="0" w:after="80" w:line="240" w:lineRule="auto"/>
              <w:ind w:left="0" w:right="0" w:firstLine="280"/>
              <w:jc w:val="both"/>
            </w:pPr>
            <w:r>
              <w:rPr>
                <w:color w:val="000000"/>
                <w:spacing w:val="0"/>
                <w:w w:val="100"/>
                <w:position w:val="0"/>
              </w:rPr>
              <w:t>11</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7,12</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2,27</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-7,1</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22,2</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75.0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w:t>
            </w:r>
          </w:p>
          <w:p>
            <w:pPr>
              <w:pStyle w:val="Style2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,838,</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091.</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,838,</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091.</w:t>
            </w:r>
          </w:p>
          <w:p>
            <w:pPr>
              <w:pStyle w:val="Style20"/>
              <w:keepNext w:val="0"/>
              <w:keepLines w:val="0"/>
              <w:widowControl w:val="0"/>
              <w:shd w:val="clear" w:color="auto" w:fill="auto"/>
              <w:bidi w:val="0"/>
              <w:spacing w:before="0" w:after="80" w:line="240" w:lineRule="auto"/>
              <w:ind w:left="0" w:right="0" w:firstLine="280"/>
              <w:jc w:val="both"/>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,838,</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091.</w:t>
            </w:r>
          </w:p>
          <w:p>
            <w:pPr>
              <w:pStyle w:val="Style20"/>
              <w:keepNext w:val="0"/>
              <w:keepLines w:val="0"/>
              <w:widowControl w:val="0"/>
              <w:shd w:val="clear" w:color="auto" w:fill="auto"/>
              <w:bidi w:val="0"/>
              <w:spacing w:before="0" w:after="80" w:line="240" w:lineRule="auto"/>
              <w:ind w:left="0" w:right="0" w:firstLine="280"/>
              <w:jc w:val="both"/>
            </w:pPr>
            <w:r>
              <w:rPr>
                <w:color w:val="000000"/>
                <w:spacing w:val="0"/>
                <w:w w:val="100"/>
                <w:position w:val="0"/>
              </w:rPr>
              <w:t>11</w:t>
            </w: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（四）所有者</w:t>
            </w:r>
          </w:p>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权益内部结 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0"/>
        <w:gridCol w:w="466"/>
        <w:gridCol w:w="470"/>
        <w:gridCol w:w="466"/>
        <w:gridCol w:w="586"/>
        <w:gridCol w:w="581"/>
        <w:gridCol w:w="586"/>
        <w:gridCol w:w="586"/>
        <w:gridCol w:w="581"/>
        <w:gridCol w:w="586"/>
        <w:gridCol w:w="581"/>
        <w:gridCol w:w="586"/>
        <w:gridCol w:w="586"/>
        <w:gridCol w:w="581"/>
        <w:gridCol w:w="590"/>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-60,</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782,</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859.</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-60,</w:t>
            </w:r>
          </w:p>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782,</w:t>
            </w:r>
          </w:p>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859.</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96</w:t>
            </w:r>
          </w:p>
        </w:tc>
      </w:tr>
      <w:tr>
        <w:trPr>
          <w:trHeight w:val="166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696</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,92</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54.</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13,4</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02,3</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92.0</w:t>
            </w:r>
          </w:p>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-2,5</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22,5</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21.5</w:t>
            </w:r>
          </w:p>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214,</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133,</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584.</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922,</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428,</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903.</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1,84</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4,36</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3,71</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1,84</w:t>
            </w:r>
          </w:p>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4,36</w:t>
            </w:r>
          </w:p>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3,71</w:t>
            </w:r>
          </w:p>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3.35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490"/>
        <w:gridCol w:w="451"/>
        <w:gridCol w:w="446"/>
        <w:gridCol w:w="490"/>
        <w:gridCol w:w="576"/>
        <w:gridCol w:w="581"/>
        <w:gridCol w:w="576"/>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少数</w:t>
            </w:r>
          </w:p>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股东</w:t>
            </w:r>
          </w:p>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所有</w:t>
            </w:r>
          </w:p>
          <w:p>
            <w:pPr>
              <w:pStyle w:val="Style20"/>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者权</w:t>
            </w:r>
          </w:p>
          <w:p>
            <w:pPr>
              <w:pStyle w:val="Style20"/>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益合</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库存</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综合</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专项</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盈余</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未分</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配利</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小</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先</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永</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续</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84"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88,97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w:t>
            </w:r>
          </w:p>
        </w:tc>
      </w:tr>
      <w:tr>
        <w:trPr>
          <w:trHeight w:val="341" w:hRule="exact"/>
        </w:trPr>
        <w:tc>
          <w:tcPr>
            <w:tcBorders>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9,674</w:t>
            </w: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w:t>
            </w:r>
          </w:p>
        </w:tc>
      </w:tr>
    </w:tbl>
    <w:p>
      <w:pPr>
        <w:widowControl w:val="0"/>
        <w:spacing w:line="1" w:lineRule="exact"/>
      </w:pPr>
      <w:r>
        <w:br w:type="page"/>
      </w:r>
    </w:p>
    <w:tbl>
      <w:tblPr>
        <w:tblOverlap w:val="never"/>
        <w:jc w:val="center"/>
        <w:tblLayout w:type="fixed"/>
      </w:tblPr>
      <w:tblGrid>
        <w:gridCol w:w="1214"/>
        <w:gridCol w:w="490"/>
        <w:gridCol w:w="451"/>
        <w:gridCol w:w="446"/>
        <w:gridCol w:w="490"/>
        <w:gridCol w:w="581"/>
        <w:gridCol w:w="576"/>
        <w:gridCol w:w="576"/>
        <w:gridCol w:w="576"/>
        <w:gridCol w:w="576"/>
        <w:gridCol w:w="576"/>
        <w:gridCol w:w="590"/>
        <w:gridCol w:w="566"/>
        <w:gridCol w:w="566"/>
        <w:gridCol w:w="643"/>
        <w:gridCol w:w="66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54.</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309.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5,35</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9,80</w:t>
            </w:r>
          </w:p>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8.98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483.7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同</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一控制下企</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820"/>
              <w:jc w:val="left"/>
            </w:pPr>
            <w:r>
              <w:rPr>
                <w:rFonts w:ascii="SimSun" w:eastAsia="SimSun" w:hAnsi="SimSun" w:cs="SimSun"/>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二、本年期初</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00" w:line="240" w:lineRule="auto"/>
              <w:ind w:left="0" w:right="0" w:firstLine="0"/>
              <w:jc w:val="left"/>
            </w:pPr>
            <w:r>
              <w:rPr>
                <w:color w:val="000000"/>
                <w:spacing w:val="0"/>
                <w:w w:val="100"/>
                <w:position w:val="0"/>
              </w:rPr>
              <w:t>696</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833,</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192.</w:t>
            </w:r>
          </w:p>
          <w:p>
            <w:pPr>
              <w:pStyle w:val="Style20"/>
              <w:keepNext w:val="0"/>
              <w:keepLines w:val="0"/>
              <w:widowControl w:val="0"/>
              <w:shd w:val="clear" w:color="auto" w:fill="auto"/>
              <w:bidi w:val="0"/>
              <w:spacing w:before="0" w:after="80" w:line="240" w:lineRule="auto"/>
              <w:ind w:left="0" w:right="0" w:firstLine="280"/>
              <w:jc w:val="both"/>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1,46</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8,60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207, 011, 309.</w:t>
            </w:r>
          </w:p>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1,02</w:t>
            </w:r>
          </w:p>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2,05</w:t>
            </w:r>
          </w:p>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5,35</w:t>
            </w:r>
          </w:p>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1,92</w:t>
            </w:r>
          </w:p>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8,28</w:t>
            </w:r>
          </w:p>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9,80</w:t>
            </w:r>
          </w:p>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88,97</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9,674</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2,017</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,269,</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483.7</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r>
      <w:tr>
        <w:trPr>
          <w:trHeight w:val="1339"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-712</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,382.</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1,72</w:t>
            </w:r>
          </w:p>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4,40</w:t>
            </w:r>
          </w:p>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1,01</w:t>
            </w:r>
          </w:p>
          <w:p>
            <w:pPr>
              <w:pStyle w:val="Style20"/>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2,02</w:t>
            </w:r>
          </w:p>
          <w:p>
            <w:pPr>
              <w:pStyle w:val="Style20"/>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-28,1</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96,81</w:t>
            </w:r>
          </w:p>
          <w:p>
            <w:pPr>
              <w:pStyle w:val="Style20"/>
              <w:keepNext w:val="0"/>
              <w:keepLines w:val="0"/>
              <w:widowControl w:val="0"/>
              <w:shd w:val="clear" w:color="auto" w:fill="auto"/>
              <w:bidi w:val="0"/>
              <w:spacing w:before="0" w:after="80" w:line="240" w:lineRule="auto"/>
              <w:ind w:left="0" w:right="0" w:firstLine="220"/>
              <w:jc w:val="left"/>
            </w:pPr>
            <w:r>
              <w:rPr>
                <w:color w:val="000000"/>
                <w:spacing w:val="0"/>
                <w:w w:val="100"/>
                <w:position w:val="0"/>
              </w:rPr>
              <w:t>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-27,1</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84,78</w:t>
            </w:r>
          </w:p>
          <w:p>
            <w:pPr>
              <w:pStyle w:val="Style20"/>
              <w:keepNext w:val="0"/>
              <w:keepLines w:val="0"/>
              <w:widowControl w:val="0"/>
              <w:shd w:val="clear" w:color="auto" w:fill="auto"/>
              <w:bidi w:val="0"/>
              <w:spacing w:before="0" w:after="80" w:line="240" w:lineRule="auto"/>
              <w:ind w:left="0" w:right="0" w:firstLine="220"/>
              <w:jc w:val="both"/>
            </w:pPr>
            <w:r>
              <w:rPr>
                <w:color w:val="000000"/>
                <w:spacing w:val="0"/>
                <w:w w:val="100"/>
                <w:position w:val="0"/>
              </w:rPr>
              <w:t>9.93</w:t>
            </w:r>
          </w:p>
        </w:tc>
      </w:tr>
      <w:tr>
        <w:trPr>
          <w:trHeight w:val="10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-712</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,382.</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1,72</w:t>
            </w:r>
          </w:p>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4,40</w:t>
            </w:r>
          </w:p>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1,01</w:t>
            </w:r>
          </w:p>
          <w:p>
            <w:pPr>
              <w:pStyle w:val="Style20"/>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2,02</w:t>
            </w:r>
          </w:p>
          <w:p>
            <w:pPr>
              <w:pStyle w:val="Style20"/>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-28,1</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96,81</w:t>
            </w:r>
          </w:p>
          <w:p>
            <w:pPr>
              <w:pStyle w:val="Style20"/>
              <w:keepNext w:val="0"/>
              <w:keepLines w:val="0"/>
              <w:widowControl w:val="0"/>
              <w:shd w:val="clear" w:color="auto" w:fill="auto"/>
              <w:bidi w:val="0"/>
              <w:spacing w:before="0" w:after="80" w:line="240" w:lineRule="auto"/>
              <w:ind w:left="0" w:right="0" w:firstLine="220"/>
              <w:jc w:val="left"/>
            </w:pPr>
            <w:r>
              <w:rPr>
                <w:color w:val="000000"/>
                <w:spacing w:val="0"/>
                <w:w w:val="100"/>
                <w:position w:val="0"/>
              </w:rPr>
              <w:t>4.78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-27,1</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84,78</w:t>
            </w:r>
          </w:p>
          <w:p>
            <w:pPr>
              <w:pStyle w:val="Style20"/>
              <w:keepNext w:val="0"/>
              <w:keepLines w:val="0"/>
              <w:widowControl w:val="0"/>
              <w:shd w:val="clear" w:color="auto" w:fill="auto"/>
              <w:bidi w:val="0"/>
              <w:spacing w:before="0" w:after="80" w:line="240" w:lineRule="auto"/>
              <w:ind w:left="0" w:right="0" w:firstLine="220"/>
              <w:jc w:val="both"/>
            </w:pPr>
            <w:r>
              <w:rPr>
                <w:color w:val="000000"/>
                <w:spacing w:val="0"/>
                <w:w w:val="100"/>
                <w:position w:val="0"/>
              </w:rPr>
              <w:t>9.93</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 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0"/>
        <w:gridCol w:w="581"/>
        <w:gridCol w:w="576"/>
        <w:gridCol w:w="576"/>
        <w:gridCol w:w="576"/>
        <w:gridCol w:w="576"/>
        <w:gridCol w:w="576"/>
        <w:gridCol w:w="590"/>
        <w:gridCol w:w="566"/>
        <w:gridCol w:w="566"/>
        <w:gridCol w:w="643"/>
        <w:gridCol w:w="66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696</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,92</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54.</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833,</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192.</w:t>
            </w:r>
          </w:p>
          <w:p>
            <w:pPr>
              <w:pStyle w:val="Style20"/>
              <w:keepNext w:val="0"/>
              <w:keepLines w:val="0"/>
              <w:widowControl w:val="0"/>
              <w:shd w:val="clear" w:color="auto" w:fill="auto"/>
              <w:bidi w:val="0"/>
              <w:spacing w:before="0" w:after="80" w:line="240" w:lineRule="auto"/>
              <w:ind w:left="0" w:right="0" w:firstLine="280"/>
              <w:jc w:val="left"/>
            </w:pP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756,</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218.</w:t>
            </w:r>
          </w:p>
          <w:p>
            <w:pPr>
              <w:pStyle w:val="Style20"/>
              <w:keepNext w:val="0"/>
              <w:keepLines w:val="0"/>
              <w:widowControl w:val="0"/>
              <w:shd w:val="clear" w:color="auto" w:fill="auto"/>
              <w:bidi w:val="0"/>
              <w:spacing w:before="0" w:after="80" w:line="240" w:lineRule="auto"/>
              <w:ind w:left="0" w:right="0" w:firstLine="280"/>
              <w:jc w:val="left"/>
            </w:pPr>
            <w:r>
              <w:rPr>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207, 011, 309.</w:t>
            </w:r>
          </w:p>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1,02</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3,77</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9,75</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1,92</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9,30</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1,83</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60,78</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2,859</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center"/>
            </w:pPr>
            <w:r>
              <w:rPr>
                <w:color w:val="000000"/>
                <w:spacing w:val="0"/>
                <w:w w:val="100"/>
                <w:position w:val="0"/>
              </w:rPr>
              <w:t>1,990 ,084, 693.7</w:t>
            </w:r>
          </w:p>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9</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8</w:t>
      </w:r>
      <w:bookmarkEnd w:id="744"/>
      <w:r>
        <w:rPr>
          <w:color w:val="000000"/>
          <w:spacing w:val="0"/>
          <w:w w:val="100"/>
          <w:position w:val="0"/>
        </w:rPr>
        <w:t>、母公司所有者权益变动表</w:t>
      </w:r>
      <w:bookmarkEnd w:id="742"/>
      <w:bookmarkEnd w:id="743"/>
      <w:bookmarkEnd w:id="74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10"/>
        <w:gridCol w:w="624"/>
        <w:gridCol w:w="605"/>
        <w:gridCol w:w="605"/>
        <w:gridCol w:w="605"/>
        <w:gridCol w:w="725"/>
        <w:gridCol w:w="730"/>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资本</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专项</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盈余</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未分</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配利</w:t>
            </w:r>
          </w:p>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所有者</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权益合</w:t>
            </w:r>
          </w:p>
          <w:p>
            <w:pPr>
              <w:pStyle w:val="Style20"/>
              <w:keepNext w:val="0"/>
              <w:keepLines w:val="0"/>
              <w:widowControl w:val="0"/>
              <w:shd w:val="clear" w:color="auto" w:fill="auto"/>
              <w:bidi w:val="0"/>
              <w:spacing w:before="0" w:after="100" w:line="240" w:lineRule="auto"/>
              <w:ind w:left="0" w:right="0" w:firstLine="340"/>
              <w:jc w:val="left"/>
            </w:pPr>
            <w:r>
              <w:rPr>
                <w:rFonts w:ascii="SimSun" w:eastAsia="SimSun" w:hAnsi="SimSun" w:cs="SimSun"/>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一、上年期末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696,9</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21,35</w:t>
            </w:r>
          </w:p>
          <w:p>
            <w:pPr>
              <w:pStyle w:val="Style20"/>
              <w:keepNext w:val="0"/>
              <w:keepLines w:val="0"/>
              <w:widowControl w:val="0"/>
              <w:shd w:val="clear" w:color="auto" w:fill="auto"/>
              <w:bidi w:val="0"/>
              <w:spacing w:before="0" w:after="80" w:line="240" w:lineRule="auto"/>
              <w:ind w:left="0" w:right="0" w:firstLine="20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15,636</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,112.8</w:t>
            </w:r>
          </w:p>
          <w:p>
            <w:pPr>
              <w:pStyle w:val="Style20"/>
              <w:keepNext w:val="0"/>
              <w:keepLines w:val="0"/>
              <w:widowControl w:val="0"/>
              <w:shd w:val="clear" w:color="auto" w:fill="auto"/>
              <w:bidi w:val="0"/>
              <w:spacing w:before="0" w:after="80" w:line="240" w:lineRule="auto"/>
              <w:ind w:left="0" w:right="0" w:firstLine="52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837.18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207,01</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1,309.</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4,35</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1,56</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1,926,44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7,181.69</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837.18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2,52</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6,83</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20"/>
              <w:jc w:val="both"/>
            </w:pPr>
            <w:r>
              <w:rPr>
                <w:rFonts w:ascii="SimSun" w:eastAsia="SimSun" w:hAnsi="SimSun" w:cs="SimSun"/>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二、本年期初</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696,9</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21,35</w:t>
            </w:r>
          </w:p>
          <w:p>
            <w:pPr>
              <w:pStyle w:val="Style20"/>
              <w:keepNext w:val="0"/>
              <w:keepLines w:val="0"/>
              <w:widowControl w:val="0"/>
              <w:shd w:val="clear" w:color="auto" w:fill="auto"/>
              <w:bidi w:val="0"/>
              <w:spacing w:before="0" w:after="80" w:line="240" w:lineRule="auto"/>
              <w:ind w:left="0" w:right="0" w:firstLine="20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15,636 </w:t>
            </w:r>
            <w:r>
              <w:rPr>
                <w:color w:val="000000"/>
                <w:spacing w:val="0"/>
                <w:w w:val="100"/>
                <w:position w:val="0"/>
              </w:rPr>
              <w:t xml:space="preserve">,112.8 </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207,01</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1,309.</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6,87</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8,40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1,926,44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7,181.69</w:t>
            </w:r>
          </w:p>
        </w:tc>
      </w:tr>
      <w:tr>
        <w:trPr>
          <w:trHeight w:val="1339"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12,569</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7,122,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275.08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-85,7</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37,6</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w:t>
            </w:r>
          </w:p>
          <w:p>
            <w:pPr>
              <w:pStyle w:val="Style20"/>
              <w:keepNext w:val="0"/>
              <w:keepLines w:val="0"/>
              <w:widowControl w:val="0"/>
              <w:shd w:val="clear" w:color="auto" w:fill="auto"/>
              <w:bidi w:val="0"/>
              <w:spacing w:before="0" w:after="80" w:line="240" w:lineRule="auto"/>
              <w:ind w:left="0" w:right="0" w:firstLine="40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-66,046,</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140.30</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71,2</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22,7</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50.8</w:t>
            </w:r>
          </w:p>
          <w:p>
            <w:pPr>
              <w:pStyle w:val="Style20"/>
              <w:keepNext w:val="0"/>
              <w:keepLines w:val="0"/>
              <w:widowControl w:val="0"/>
              <w:shd w:val="clear" w:color="auto" w:fill="auto"/>
              <w:bidi w:val="0"/>
              <w:spacing w:before="0" w:after="80" w:line="240" w:lineRule="auto"/>
              <w:ind w:left="0" w:right="0" w:firstLine="40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71,222,7</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50.81</w:t>
            </w:r>
          </w:p>
        </w:tc>
      </w:tr>
      <w:tr>
        <w:trPr>
          <w:trHeight w:val="102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12,569</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12,569,2</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12,569</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w:t>
            </w:r>
          </w:p>
          <w:p>
            <w:pPr>
              <w:pStyle w:val="Style20"/>
              <w:keepNext w:val="0"/>
              <w:keepLines w:val="0"/>
              <w:widowControl w:val="0"/>
              <w:shd w:val="clear" w:color="auto" w:fill="auto"/>
              <w:bidi w:val="0"/>
              <w:spacing w:before="0" w:after="8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12,569,2</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7,122,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275.08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-156,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-149,838</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,091.11</w:t>
            </w:r>
          </w:p>
        </w:tc>
      </w:tr>
    </w:tbl>
    <w:p>
      <w:pPr>
        <w:widowControl w:val="0"/>
        <w:spacing w:line="1" w:lineRule="exact"/>
      </w:pPr>
      <w:r>
        <w:br w:type="page"/>
      </w:r>
    </w:p>
    <w:tbl>
      <w:tblPr>
        <w:tblOverlap w:val="never"/>
        <w:jc w:val="center"/>
        <w:tblLayout w:type="fixed"/>
      </w:tblPr>
      <w:tblGrid>
        <w:gridCol w:w="1310"/>
        <w:gridCol w:w="624"/>
        <w:gridCol w:w="605"/>
        <w:gridCol w:w="605"/>
        <w:gridCol w:w="605"/>
        <w:gridCol w:w="725"/>
        <w:gridCol w:w="730"/>
        <w:gridCol w:w="725"/>
        <w:gridCol w:w="730"/>
        <w:gridCol w:w="725"/>
        <w:gridCol w:w="614"/>
        <w:gridCol w:w="710"/>
        <w:gridCol w:w="87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366.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7,122,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-7,12</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2,27</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.对所有者</w:t>
            </w:r>
          </w:p>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838,</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091.1</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-149,838</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,091.11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（四）所有者</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696,9</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21,35</w:t>
            </w:r>
          </w:p>
          <w:p>
            <w:pPr>
              <w:pStyle w:val="Style20"/>
              <w:keepNext w:val="0"/>
              <w:keepLines w:val="0"/>
              <w:widowControl w:val="0"/>
              <w:shd w:val="clear" w:color="auto" w:fill="auto"/>
              <w:bidi w:val="0"/>
              <w:spacing w:before="0" w:after="80" w:line="240" w:lineRule="auto"/>
              <w:ind w:left="0" w:right="0" w:firstLine="200"/>
              <w:jc w:val="left"/>
            </w:pPr>
            <w:r>
              <w:rPr>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28,205</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,312.8</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214,13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3,584.</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921,</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789.</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1,860,40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1,041.39</w:t>
            </w:r>
          </w:p>
        </w:tc>
      </w:tr>
    </w:tbl>
    <w:p>
      <w:pPr>
        <w:widowControl w:val="0"/>
        <w:spacing w:line="1" w:lineRule="exact"/>
      </w:pPr>
    </w:p>
    <w:tbl>
      <w:tblPr>
        <w:tblOverlap w:val="never"/>
        <w:jc w:val="center"/>
        <w:tblLayout w:type="fixed"/>
      </w:tblPr>
      <w:tblGrid>
        <w:gridCol w:w="1238"/>
        <w:gridCol w:w="8400"/>
      </w:tblGrid>
      <w:tr>
        <w:trPr>
          <w:trHeight w:val="758"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上期金额</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资本</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盈余</w:t>
            </w:r>
          </w:p>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所有者</w:t>
            </w:r>
          </w:p>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权益合</w:t>
            </w:r>
          </w:p>
          <w:p>
            <w:pPr>
              <w:pStyle w:val="Style20"/>
              <w:keepNext w:val="0"/>
              <w:keepLines w:val="0"/>
              <w:widowControl w:val="0"/>
              <w:shd w:val="clear" w:color="auto" w:fill="auto"/>
              <w:bidi w:val="0"/>
              <w:spacing w:before="0" w:after="100" w:line="240" w:lineRule="auto"/>
              <w:ind w:left="0" w:right="0" w:firstLine="360"/>
              <w:jc w:val="left"/>
            </w:pPr>
            <w:r>
              <w:rPr>
                <w:rFonts w:ascii="SimSun" w:eastAsia="SimSun" w:hAnsi="SimSun" w:cs="SimSun"/>
                <w:color w:val="000000"/>
                <w:spacing w:val="0"/>
                <w:w w:val="100"/>
                <w:position w:val="0"/>
              </w:rPr>
              <w:t>计</w:t>
            </w:r>
          </w:p>
        </w:tc>
      </w:tr>
      <w:tr>
        <w:trPr>
          <w:trHeight w:val="102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优</w:t>
            </w:r>
          </w:p>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先</w:t>
            </w:r>
          </w:p>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永</w:t>
            </w:r>
          </w:p>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续</w:t>
            </w:r>
          </w:p>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一、上年期末 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696,</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921,</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354.</w:t>
            </w:r>
          </w:p>
          <w:p>
            <w:pPr>
              <w:pStyle w:val="Style20"/>
              <w:keepNext w:val="0"/>
              <w:keepLines w:val="0"/>
              <w:widowControl w:val="0"/>
              <w:shd w:val="clear" w:color="auto" w:fill="auto"/>
              <w:bidi w:val="0"/>
              <w:spacing w:before="0" w:after="8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15,63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6,112.</w:t>
            </w:r>
          </w:p>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207,0</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11,30</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1,057,2</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30,121.</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1,976,79</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8,897.74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820"/>
              <w:jc w:val="left"/>
            </w:pPr>
            <w:r>
              <w:rPr>
                <w:rFonts w:ascii="SimSun" w:eastAsia="SimSun" w:hAnsi="SimSun" w:cs="SimSun"/>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二、本年期初</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696,</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921,</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354.</w:t>
            </w:r>
          </w:p>
          <w:p>
            <w:pPr>
              <w:pStyle w:val="Style20"/>
              <w:keepNext w:val="0"/>
              <w:keepLines w:val="0"/>
              <w:widowControl w:val="0"/>
              <w:shd w:val="clear" w:color="auto" w:fill="auto"/>
              <w:bidi w:val="0"/>
              <w:spacing w:before="0" w:after="8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15,63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6,112.</w:t>
            </w:r>
          </w:p>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207,0</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11,30</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1,057,2</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30,121.</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1,976,79</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8,897.74</w:t>
            </w:r>
          </w:p>
        </w:tc>
      </w:tr>
      <w:tr>
        <w:trPr>
          <w:trHeight w:val="1339"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2,526,</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837.1</w:t>
            </w:r>
          </w:p>
          <w:p>
            <w:pPr>
              <w:pStyle w:val="Style20"/>
              <w:keepNext w:val="0"/>
              <w:keepLines w:val="0"/>
              <w:widowControl w:val="0"/>
              <w:shd w:val="clear" w:color="auto" w:fill="auto"/>
              <w:bidi w:val="0"/>
              <w:spacing w:before="0" w:after="80" w:line="240" w:lineRule="auto"/>
              <w:ind w:left="0" w:right="0" w:firstLine="48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-52,878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,553.23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-50,351,7</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16.05</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2,526,</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837.1</w:t>
            </w:r>
          </w:p>
          <w:p>
            <w:pPr>
              <w:pStyle w:val="Style20"/>
              <w:keepNext w:val="0"/>
              <w:keepLines w:val="0"/>
              <w:widowControl w:val="0"/>
              <w:shd w:val="clear" w:color="auto" w:fill="auto"/>
              <w:bidi w:val="0"/>
              <w:spacing w:before="0" w:after="80" w:line="240" w:lineRule="auto"/>
              <w:ind w:left="0" w:right="0" w:firstLine="48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-52,878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,553.23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-50,351,7</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16.05</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41"/>
      </w:tblGrid>
      <w:tr>
        <w:trPr>
          <w:trHeight w:val="36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.对所有者</w:t>
            </w:r>
          </w:p>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（四）所有者</w:t>
            </w:r>
          </w:p>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60"/>
              <w:jc w:val="left"/>
            </w:pPr>
            <w:r>
              <w:rPr>
                <w:color w:val="000000"/>
                <w:spacing w:val="0"/>
                <w:w w:val="100"/>
                <w:position w:val="0"/>
              </w:rPr>
              <w:t>696,</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921,</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354.</w:t>
            </w:r>
          </w:p>
          <w:p>
            <w:pPr>
              <w:pStyle w:val="Style20"/>
              <w:keepNext w:val="0"/>
              <w:keepLines w:val="0"/>
              <w:widowControl w:val="0"/>
              <w:shd w:val="clear" w:color="auto" w:fill="auto"/>
              <w:bidi w:val="0"/>
              <w:spacing w:before="0" w:after="80" w:line="240" w:lineRule="auto"/>
              <w:ind w:left="0" w:right="0" w:firstLine="3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15,63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6,112.</w:t>
            </w:r>
          </w:p>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2,526,</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837.1</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207,0</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11,30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1,004,3</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51,567.</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1,926,44</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7,181.69</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746" w:name="bookmark746"/>
      <w:bookmarkStart w:id="747" w:name="bookmark747"/>
      <w:bookmarkStart w:id="748" w:name="bookmark748"/>
      <w:r>
        <w:rPr>
          <w:color w:val="000000"/>
          <w:spacing w:val="0"/>
          <w:w w:val="100"/>
          <w:position w:val="0"/>
          <w:sz w:val="24"/>
          <w:szCs w:val="24"/>
        </w:rPr>
        <w:t>三、公司基本情况</w:t>
      </w:r>
      <w:bookmarkEnd w:id="746"/>
      <w:bookmarkEnd w:id="747"/>
      <w:bookmarkEnd w:id="748"/>
    </w:p>
    <w:p>
      <w:pPr>
        <w:pStyle w:val="Style27"/>
        <w:keepNext/>
        <w:keepLines/>
        <w:widowControl w:val="0"/>
        <w:shd w:val="clear" w:color="auto" w:fill="auto"/>
        <w:bidi w:val="0"/>
        <w:spacing w:before="0" w:after="0" w:line="240" w:lineRule="auto"/>
        <w:ind w:left="0" w:right="0" w:firstLine="36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1</w:t>
      </w:r>
      <w:bookmarkEnd w:id="751"/>
      <w:r>
        <w:rPr>
          <w:color w:val="000000"/>
          <w:spacing w:val="0"/>
          <w:w w:val="100"/>
          <w:position w:val="0"/>
        </w:rPr>
        <w:t>、公司注册地、组织形式和总部地址</w:t>
      </w:r>
      <w:bookmarkEnd w:id="749"/>
      <w:bookmarkEnd w:id="750"/>
      <w:bookmarkEnd w:id="752"/>
    </w:p>
    <w:p>
      <w:pPr>
        <w:pStyle w:val="Style18"/>
        <w:keepNext w:val="0"/>
        <w:keepLines w:val="0"/>
        <w:widowControl w:val="0"/>
        <w:shd w:val="clear" w:color="auto" w:fill="auto"/>
        <w:bidi w:val="0"/>
        <w:spacing w:before="0" w:after="0" w:line="307" w:lineRule="exact"/>
        <w:ind w:left="0" w:right="0" w:firstLine="400"/>
        <w:jc w:val="both"/>
      </w:pPr>
      <w:r>
        <w:rPr>
          <w:color w:val="000000"/>
          <w:spacing w:val="0"/>
          <w:w w:val="100"/>
          <w:position w:val="0"/>
        </w:rPr>
        <w:t>恒宝股份有限公司（以下简称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恒宝股份</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）前身系江苏恒宝实业发展有限公司，经江苏省人民政府于2000年9 月28日以苏政复[2000]18 7号文批准依法整体变更为江苏恒宝股份有限公司，设立时股本为人民币4,000万元，由钱云宝等7 位自然人共同发起设立。2007年公司更名为恒宝股份有限公司；2007年1月10日公司在深圳证券交易所上市，股票代码： </w:t>
      </w:r>
      <w:r>
        <w:rPr>
          <w:color w:val="000000"/>
          <w:spacing w:val="0"/>
          <w:w w:val="100"/>
          <w:position w:val="0"/>
        </w:rPr>
        <w:t>002104。</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根据2004年7月9日公司2004年第一次临时股东大会决议，原股东张义荣、徐钦鸿、钱科文和陈玉涛将其持有公司的部分 股权转让给江浩然、潘梅芳和曹志新。股权转让后公司注册资本仍为人民币4,000万元，钱云宝等6位自然人为股东。</w:t>
      </w:r>
    </w:p>
    <w:p>
      <w:pPr>
        <w:pStyle w:val="Style1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根据公司2004年度股东大会决议和修改后章程的规定，并经江苏省人民政府于2005年6月24日以苏政复[2005]45号《关 于同意江苏恒宝股份有限公司增资扩股批复》同意，公司将2004年度实际未分配利润，以2004年末4,000万元股本为基数按 每10股送8股转增资本人民币3,200万元，变更后的注册资本为人民币7,200万元。股东仍为钱云宝等6位自然人。</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根据公司2005年度股东大会决议和修改后章程的规定，公司将2005年度实际未分配利润，以2005年末7,200万元股本为 基数按每10股送2股转增注册资本人民币1,440万元，变更后的注册资本为人民币8,640万元。股东仍为钱云宝等6位自然人。</w:t>
      </w:r>
    </w:p>
    <w:p>
      <w:pPr>
        <w:pStyle w:val="Style18"/>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根据公司2005年度股东大会决议，并经中国证券监督管理委员会证监发行字[2006]15 7号文核准，公司于2006年12月25 日向社会公开发行人民币普通股</w:t>
      </w:r>
      <w:r>
        <w:rPr>
          <w:color w:val="000000"/>
          <w:spacing w:val="0"/>
          <w:w w:val="100"/>
          <w:position w:val="0"/>
        </w:rPr>
        <w:t>（A</w:t>
      </w:r>
      <w:r>
        <w:rPr>
          <w:color w:val="000000"/>
          <w:spacing w:val="0"/>
          <w:w w:val="100"/>
          <w:position w:val="0"/>
        </w:rPr>
        <w:t>股）2,880万股,变更后的注册资本为人民币11,520万元。</w:t>
      </w:r>
    </w:p>
    <w:p>
      <w:pPr>
        <w:pStyle w:val="Style18"/>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根据公司2006年度股东会决议和修改后的章程规定，公司将资本公积按每10股转增7股的比例转增股本，转增基准日期 为2006年12月31日，变更后注册资本为人民币19,584万元。</w:t>
      </w:r>
    </w:p>
    <w:p>
      <w:pPr>
        <w:pStyle w:val="Style18"/>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根据公司2007年度股东会决议和修改后的章程规定，公司将资本公积按每10股转增5股的比例转增股本，转增基准日期 为2007年12月31日，变更后注册资本为人民币29,376万元。</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根据公司2009年度股东大会决议和修改后章程的规定，公司以2009年末29,376万元股本为基数按每10股送5股转增注册 资本人民币14,688万元，公司申请增加注册资本人民币14,688万元，变更后的注册资本人民币44,064万元。</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根据公司2013年度股东大会决议和修改后章程的规定，公司以2013年末44,064万元股本为基数按每10股送6股转增注册 资本人民币</w:t>
      </w:r>
      <w:r>
        <w:rPr>
          <w:color w:val="000000"/>
          <w:spacing w:val="0"/>
          <w:w w:val="100"/>
          <w:position w:val="0"/>
        </w:rPr>
        <w:t>26,438.4</w:t>
      </w:r>
      <w:r>
        <w:rPr>
          <w:color w:val="000000"/>
          <w:spacing w:val="0"/>
          <w:w w:val="100"/>
          <w:position w:val="0"/>
        </w:rPr>
        <w:t>0万元，公司申请增加注册资本人民币</w:t>
      </w:r>
      <w:r>
        <w:rPr>
          <w:color w:val="000000"/>
          <w:spacing w:val="0"/>
          <w:w w:val="100"/>
          <w:position w:val="0"/>
        </w:rPr>
        <w:t>26,438.4</w:t>
      </w:r>
      <w:r>
        <w:rPr>
          <w:color w:val="000000"/>
          <w:spacing w:val="0"/>
          <w:w w:val="100"/>
          <w:position w:val="0"/>
        </w:rPr>
        <w:t>0万元，变更后的注册资本人民币</w:t>
      </w:r>
      <w:r>
        <w:rPr>
          <w:color w:val="000000"/>
          <w:spacing w:val="0"/>
          <w:w w:val="100"/>
          <w:position w:val="0"/>
        </w:rPr>
        <w:t>70,502.4</w:t>
      </w:r>
      <w:r>
        <w:rPr>
          <w:color w:val="000000"/>
          <w:spacing w:val="0"/>
          <w:w w:val="100"/>
          <w:position w:val="0"/>
        </w:rPr>
        <w:t>0万元。</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根据公司2014年第一次临时股东大会决议和股票期权与限制性股票激励计划规定，公司向激励对象定向发行有限售条件 的流通股，增加注册资本人民币</w:t>
      </w:r>
      <w:r>
        <w:rPr>
          <w:color w:val="000000"/>
          <w:spacing w:val="0"/>
          <w:w w:val="100"/>
          <w:position w:val="0"/>
        </w:rPr>
        <w:t>817.60</w:t>
      </w:r>
      <w:r>
        <w:rPr>
          <w:color w:val="000000"/>
          <w:spacing w:val="0"/>
          <w:w w:val="100"/>
          <w:position w:val="0"/>
        </w:rPr>
        <w:t>万元，变更后的注册资本人民币71,320万元。</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2015年8月，公司因股票期权首次行权增加股本</w:t>
      </w:r>
      <w:r>
        <w:rPr>
          <w:color w:val="000000"/>
          <w:spacing w:val="0"/>
          <w:w w:val="100"/>
          <w:position w:val="0"/>
        </w:rPr>
        <w:t>34.4</w:t>
      </w:r>
      <w:r>
        <w:rPr>
          <w:color w:val="000000"/>
          <w:spacing w:val="0"/>
          <w:w w:val="100"/>
          <w:position w:val="0"/>
        </w:rPr>
        <w:t>0万股，变更后的股本总数为</w:t>
      </w:r>
      <w:r>
        <w:rPr>
          <w:color w:val="000000"/>
          <w:spacing w:val="0"/>
          <w:w w:val="100"/>
          <w:position w:val="0"/>
        </w:rPr>
        <w:t>71,354.4</w:t>
      </w:r>
      <w:r>
        <w:rPr>
          <w:color w:val="000000"/>
          <w:spacing w:val="0"/>
          <w:w w:val="100"/>
          <w:position w:val="0"/>
        </w:rPr>
        <w:t>0万股。</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2016年4月，公司因部分员工离职，回购并注销限制性股票4万股；2016年8月，公司因股票期权第二次行权增加股本数 量</w:t>
      </w:r>
      <w:r>
        <w:rPr>
          <w:color w:val="000000"/>
          <w:spacing w:val="0"/>
          <w:w w:val="100"/>
          <w:position w:val="0"/>
        </w:rPr>
        <w:t xml:space="preserve">14.4 </w:t>
      </w:r>
      <w:r>
        <w:rPr>
          <w:color w:val="000000"/>
          <w:spacing w:val="0"/>
          <w:w w:val="100"/>
          <w:position w:val="0"/>
        </w:rPr>
        <w:t>0万股，变更后的股本总数为</w:t>
      </w:r>
      <w:r>
        <w:rPr>
          <w:color w:val="000000"/>
          <w:spacing w:val="0"/>
          <w:w w:val="100"/>
          <w:position w:val="0"/>
        </w:rPr>
        <w:t>71,364.8</w:t>
      </w:r>
      <w:r>
        <w:rPr>
          <w:color w:val="000000"/>
          <w:spacing w:val="0"/>
          <w:w w:val="100"/>
          <w:position w:val="0"/>
        </w:rPr>
        <w:t>0万股。</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2017年4月12日，公司原实际控制人钱云宝先生因病医治无效去世，其相应股份由其子钱京先生依法继承。至此，钱京 先生持有公司股份143,925,147股，占公司总股本20.17%，成为公司实际控制人。</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2017年9月，因2016年度业绩考核结果未满足股票期权和限制性股票激励计划授予的限制性股票第三期解锁条件，公司 回购并注销限制性股票</w:t>
      </w:r>
      <w:r>
        <w:rPr>
          <w:color w:val="000000"/>
          <w:spacing w:val="0"/>
          <w:w w:val="100"/>
          <w:position w:val="0"/>
        </w:rPr>
        <w:t>161.92</w:t>
      </w:r>
      <w:r>
        <w:rPr>
          <w:color w:val="000000"/>
          <w:spacing w:val="0"/>
          <w:w w:val="100"/>
          <w:position w:val="0"/>
        </w:rPr>
        <w:t>万股，变更后股本总数为</w:t>
      </w:r>
      <w:r>
        <w:rPr>
          <w:color w:val="000000"/>
          <w:spacing w:val="0"/>
          <w:w w:val="100"/>
          <w:position w:val="0"/>
        </w:rPr>
        <w:t>71,202.88</w:t>
      </w:r>
      <w:r>
        <w:rPr>
          <w:color w:val="000000"/>
          <w:spacing w:val="0"/>
          <w:w w:val="100"/>
          <w:position w:val="0"/>
        </w:rPr>
        <w:t>万股。</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2018年9月至2019年7月，公司以集中竞价方式累计回购发行在外的人民币流通股</w:t>
      </w:r>
      <w:r>
        <w:rPr>
          <w:color w:val="000000"/>
          <w:spacing w:val="0"/>
          <w:w w:val="100"/>
          <w:position w:val="0"/>
        </w:rPr>
        <w:t>1,510.7446</w:t>
      </w:r>
      <w:r>
        <w:rPr>
          <w:color w:val="000000"/>
          <w:spacing w:val="0"/>
          <w:w w:val="100"/>
          <w:position w:val="0"/>
        </w:rPr>
        <w:t>万股。公司于2019年7月26 日在中国证券登记结算有限责任公司深圳分公司办理完毕上述</w:t>
      </w:r>
      <w:r>
        <w:rPr>
          <w:color w:val="000000"/>
          <w:spacing w:val="0"/>
          <w:w w:val="100"/>
          <w:position w:val="0"/>
        </w:rPr>
        <w:t>1,510.7446</w:t>
      </w:r>
      <w:r>
        <w:rPr>
          <w:color w:val="000000"/>
          <w:spacing w:val="0"/>
          <w:w w:val="100"/>
          <w:position w:val="0"/>
        </w:rPr>
        <w:t xml:space="preserve">万股回购股份注销手续，变更后股本总数为 </w:t>
      </w:r>
      <w:r>
        <w:rPr>
          <w:color w:val="000000"/>
          <w:spacing w:val="0"/>
          <w:w w:val="100"/>
          <w:position w:val="0"/>
        </w:rPr>
        <w:t>69,692.1354</w:t>
      </w:r>
      <w:r>
        <w:rPr>
          <w:color w:val="000000"/>
          <w:spacing w:val="0"/>
          <w:w w:val="100"/>
          <w:position w:val="0"/>
        </w:rPr>
        <w:t>万股。</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公司统一社会信用代码</w:t>
      </w:r>
      <w:r>
        <w:rPr>
          <w:color w:val="000000"/>
          <w:spacing w:val="0"/>
          <w:w w:val="100"/>
          <w:position w:val="0"/>
        </w:rPr>
        <w:t>：91320000253710940L，</w:t>
      </w:r>
      <w:r>
        <w:rPr>
          <w:color w:val="000000"/>
          <w:spacing w:val="0"/>
          <w:w w:val="100"/>
          <w:position w:val="0"/>
        </w:rPr>
        <w:t>注册地址及总部地址：江苏省丹阳市横塘工业区，法定代表人：钱京。</w:t>
      </w:r>
    </w:p>
    <w:p>
      <w:pPr>
        <w:pStyle w:val="Style27"/>
        <w:keepNext/>
        <w:keepLines/>
        <w:widowControl w:val="0"/>
        <w:shd w:val="clear" w:color="auto" w:fill="auto"/>
        <w:tabs>
          <w:tab w:pos="787" w:val="left"/>
        </w:tabs>
        <w:bidi w:val="0"/>
        <w:spacing w:before="0" w:after="0" w:line="240" w:lineRule="auto"/>
        <w:ind w:left="0" w:right="0" w:firstLine="440"/>
        <w:jc w:val="both"/>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2</w:t>
      </w:r>
      <w:bookmarkEnd w:id="755"/>
      <w:r>
        <w:rPr>
          <w:color w:val="000000"/>
          <w:spacing w:val="0"/>
          <w:w w:val="100"/>
          <w:position w:val="0"/>
        </w:rPr>
        <w:t>、</w:t>
        <w:tab/>
        <w:t>公司的业务性质和主要经营活动</w:t>
      </w:r>
      <w:bookmarkEnd w:id="753"/>
      <w:bookmarkEnd w:id="754"/>
      <w:bookmarkEnd w:id="756"/>
    </w:p>
    <w:p>
      <w:pPr>
        <w:pStyle w:val="Style18"/>
        <w:keepNext w:val="0"/>
        <w:keepLines w:val="0"/>
        <w:widowControl w:val="0"/>
        <w:shd w:val="clear" w:color="auto" w:fill="auto"/>
        <w:bidi w:val="0"/>
        <w:spacing w:before="0" w:after="0" w:line="311" w:lineRule="exact"/>
        <w:ind w:left="0" w:right="0" w:firstLine="360"/>
        <w:jc w:val="left"/>
      </w:pPr>
      <w:r>
        <w:rPr>
          <w:color w:val="000000"/>
          <w:spacing w:val="0"/>
          <w:w w:val="100"/>
          <w:position w:val="0"/>
        </w:rPr>
        <w:t>公司所属行业为计算机、通信和其他电子设备制造业，经营范围为智能卡、磁条卡、票证、票据、密码信封、智能标签、 智能终端、商用密码产品及相关系统软件、读写机具的研发、生产、销售、检测、咨询、技术服务；计算机软硬件、网络设 备、办公自动化设备、移动支付、物联网、网络信息安全产品的开发、生产、销售及系统集成和技术服务；半导体模块封装 生产、检测及技术咨询；自营和代理各类商品和技术的进出口，道路货物运输。（依法须经批准的项目，经相关部门批准后 方可开展经营活动。）</w:t>
      </w:r>
    </w:p>
    <w:p>
      <w:pPr>
        <w:pStyle w:val="Style18"/>
        <w:keepNext w:val="0"/>
        <w:keepLines w:val="0"/>
        <w:widowControl w:val="0"/>
        <w:shd w:val="clear" w:color="auto" w:fill="auto"/>
        <w:bidi w:val="0"/>
        <w:spacing w:before="0" w:after="100" w:line="326" w:lineRule="exact"/>
        <w:ind w:left="0" w:right="0" w:firstLine="360"/>
        <w:jc w:val="left"/>
      </w:pPr>
      <w:r>
        <w:rPr>
          <w:color w:val="000000"/>
          <w:spacing w:val="0"/>
          <w:w w:val="100"/>
          <w:position w:val="0"/>
        </w:rPr>
        <w:t>本公司的主要产品包括：磁条卡、密码卡和</w:t>
      </w:r>
      <w:r>
        <w:rPr>
          <w:color w:val="000000"/>
          <w:spacing w:val="0"/>
          <w:w w:val="100"/>
          <w:position w:val="0"/>
        </w:rPr>
        <w:t>IC</w:t>
      </w:r>
      <w:r>
        <w:rPr>
          <w:color w:val="000000"/>
          <w:spacing w:val="0"/>
          <w:w w:val="100"/>
          <w:position w:val="0"/>
        </w:rPr>
        <w:t>卡等卡类产品及其相关操作系统软件（</w:t>
      </w:r>
      <w:r>
        <w:rPr>
          <w:color w:val="000000"/>
          <w:spacing w:val="0"/>
          <w:w w:val="100"/>
          <w:position w:val="0"/>
        </w:rPr>
        <w:t>COS）</w:t>
      </w:r>
      <w:r>
        <w:rPr>
          <w:color w:val="000000"/>
          <w:spacing w:val="0"/>
          <w:w w:val="100"/>
          <w:position w:val="0"/>
        </w:rPr>
        <w:t>和票证产品的研发、生产和 销售等。</w:t>
      </w:r>
    </w:p>
    <w:p>
      <w:pPr>
        <w:pStyle w:val="Style27"/>
        <w:keepNext/>
        <w:keepLines/>
        <w:widowControl w:val="0"/>
        <w:shd w:val="clear" w:color="auto" w:fill="auto"/>
        <w:tabs>
          <w:tab w:pos="787" w:val="left"/>
        </w:tabs>
        <w:bidi w:val="0"/>
        <w:spacing w:before="0" w:after="0" w:line="240" w:lineRule="auto"/>
        <w:ind w:left="0" w:right="0" w:firstLine="44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3</w:t>
      </w:r>
      <w:bookmarkEnd w:id="759"/>
      <w:r>
        <w:rPr>
          <w:color w:val="000000"/>
          <w:spacing w:val="0"/>
          <w:w w:val="100"/>
          <w:position w:val="0"/>
        </w:rPr>
        <w:t>、</w:t>
        <w:tab/>
        <w:t>财务报告的批准报出</w:t>
      </w:r>
      <w:bookmarkEnd w:id="757"/>
      <w:bookmarkEnd w:id="758"/>
      <w:bookmarkEnd w:id="760"/>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本财务报表经本公司董事会于2022年4月27日决议批准报出。</w:t>
      </w:r>
    </w:p>
    <w:p>
      <w:pPr>
        <w:pStyle w:val="Style27"/>
        <w:keepNext/>
        <w:keepLines/>
        <w:widowControl w:val="0"/>
        <w:shd w:val="clear" w:color="auto" w:fill="auto"/>
        <w:bidi w:val="0"/>
        <w:spacing w:before="0" w:after="0" w:line="240" w:lineRule="auto"/>
        <w:ind w:left="0" w:right="0" w:firstLine="44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4</w:t>
      </w:r>
      <w:bookmarkEnd w:id="763"/>
      <w:r>
        <w:rPr>
          <w:color w:val="000000"/>
          <w:spacing w:val="0"/>
          <w:w w:val="100"/>
          <w:position w:val="0"/>
        </w:rPr>
        <w:t>、合并报表范围</w:t>
      </w:r>
      <w:bookmarkEnd w:id="761"/>
      <w:bookmarkEnd w:id="762"/>
      <w:bookmarkEnd w:id="764"/>
    </w:p>
    <w:p>
      <w:pPr>
        <w:pStyle w:val="Style18"/>
        <w:keepNext w:val="0"/>
        <w:keepLines w:val="0"/>
        <w:widowControl w:val="0"/>
        <w:shd w:val="clear" w:color="auto" w:fill="auto"/>
        <w:bidi w:val="0"/>
        <w:spacing w:before="0" w:after="720" w:line="317"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15</w:t>
      </w:r>
      <w:r>
        <w:rPr>
          <w:color w:val="000000"/>
          <w:spacing w:val="0"/>
          <w:w w:val="100"/>
          <w:position w:val="0"/>
        </w:rPr>
        <w:t>户，详见本附注九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 xml:space="preserve">。本公司本期合并范围比上期减少 </w:t>
      </w:r>
      <w:r>
        <w:rPr>
          <w:rFonts w:ascii="Times New Roman" w:eastAsia="Times New Roman" w:hAnsi="Times New Roman" w:cs="Times New Roman"/>
          <w:color w:val="000000"/>
          <w:spacing w:val="0"/>
          <w:w w:val="100"/>
          <w:position w:val="0"/>
        </w:rPr>
        <w:t>3</w:t>
      </w:r>
      <w:r>
        <w:rPr>
          <w:color w:val="000000"/>
          <w:spacing w:val="0"/>
          <w:w w:val="100"/>
          <w:position w:val="0"/>
        </w:rPr>
        <w:t>户，详见本附注八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keepLines/>
        <w:widowControl w:val="0"/>
        <w:shd w:val="clear" w:color="auto" w:fill="auto"/>
        <w:bidi w:val="0"/>
        <w:spacing w:before="0" w:after="36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sz w:val="24"/>
          <w:szCs w:val="24"/>
        </w:rPr>
        <w:t>四</w:t>
      </w:r>
      <w:bookmarkEnd w:id="767"/>
      <w:r>
        <w:rPr>
          <w:color w:val="000000"/>
          <w:spacing w:val="0"/>
          <w:w w:val="100"/>
          <w:position w:val="0"/>
          <w:sz w:val="24"/>
          <w:szCs w:val="24"/>
        </w:rPr>
        <w:t>、财务报表的编制基础</w:t>
      </w:r>
      <w:bookmarkEnd w:id="765"/>
      <w:bookmarkEnd w:id="766"/>
      <w:bookmarkEnd w:id="768"/>
    </w:p>
    <w:p>
      <w:pPr>
        <w:pStyle w:val="Style27"/>
        <w:keepNext/>
        <w:keepLines/>
        <w:widowControl w:val="0"/>
        <w:shd w:val="clear" w:color="auto" w:fill="auto"/>
        <w:bidi w:val="0"/>
        <w:spacing w:before="0" w:after="26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1</w:t>
      </w:r>
      <w:bookmarkEnd w:id="771"/>
      <w:r>
        <w:rPr>
          <w:color w:val="000000"/>
          <w:spacing w:val="0"/>
          <w:w w:val="100"/>
          <w:position w:val="0"/>
        </w:rPr>
        <w:t>、编制基础</w:t>
      </w:r>
      <w:bookmarkEnd w:id="769"/>
      <w:bookmarkEnd w:id="770"/>
      <w:bookmarkEnd w:id="772"/>
    </w:p>
    <w:p>
      <w:pPr>
        <w:pStyle w:val="Style18"/>
        <w:keepNext w:val="0"/>
        <w:keepLines w:val="0"/>
        <w:widowControl w:val="0"/>
        <w:shd w:val="clear" w:color="auto" w:fill="auto"/>
        <w:bidi w:val="0"/>
        <w:spacing w:before="0" w:after="0" w:line="309" w:lineRule="exact"/>
        <w:ind w:left="0" w:right="0"/>
        <w:jc w:val="left"/>
      </w:pPr>
      <w:r>
        <w:rPr>
          <w:color w:val="000000"/>
          <w:spacing w:val="0"/>
          <w:w w:val="100"/>
          <w:position w:val="0"/>
        </w:rPr>
        <w:t>本公司财务报表以持续经营假设为基础，根据实际发生的交易和事项，按照财政部发布的《企业会计准则</w:t>
      </w:r>
      <w:r>
        <w:rPr>
          <w:color w:val="000000"/>
          <w:spacing w:val="0"/>
          <w:w w:val="100"/>
          <w:position w:val="0"/>
        </w:rPr>
        <w:t>一一</w:t>
      </w:r>
      <w:r>
        <w:rPr>
          <w:color w:val="000000"/>
          <w:spacing w:val="0"/>
          <w:w w:val="100"/>
          <w:position w:val="0"/>
        </w:rPr>
        <w:t>基本准则》 （财政部令第33号发布、财政部令第76号修订）、于2006年2月15日及其后颁布和修订的42项具体会计准则、企业会计准则应 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 司信息披露编报规则第15号——财务报告的一般规定》（2014年修订）的披露规定编制。</w:t>
      </w:r>
    </w:p>
    <w:p>
      <w:pPr>
        <w:pStyle w:val="Style18"/>
        <w:keepNext w:val="0"/>
        <w:keepLines w:val="0"/>
        <w:widowControl w:val="0"/>
        <w:shd w:val="clear" w:color="auto" w:fill="auto"/>
        <w:bidi w:val="0"/>
        <w:spacing w:before="0" w:after="720" w:line="312" w:lineRule="exact"/>
        <w:ind w:left="0" w:right="0"/>
        <w:jc w:val="left"/>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27"/>
        <w:keepNext/>
        <w:keepLines/>
        <w:widowControl w:val="0"/>
        <w:shd w:val="clear" w:color="auto" w:fill="auto"/>
        <w:bidi w:val="0"/>
        <w:spacing w:before="0" w:after="26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2</w:t>
      </w:r>
      <w:bookmarkEnd w:id="775"/>
      <w:r>
        <w:rPr>
          <w:color w:val="000000"/>
          <w:spacing w:val="0"/>
          <w:w w:val="100"/>
          <w:position w:val="0"/>
        </w:rPr>
        <w:t>、持续经营</w:t>
      </w:r>
      <w:bookmarkEnd w:id="773"/>
      <w:bookmarkEnd w:id="774"/>
      <w:bookmarkEnd w:id="776"/>
    </w:p>
    <w:p>
      <w:pPr>
        <w:pStyle w:val="Style18"/>
        <w:keepNext w:val="0"/>
        <w:keepLines w:val="0"/>
        <w:widowControl w:val="0"/>
        <w:shd w:val="clear" w:color="auto" w:fill="auto"/>
        <w:bidi w:val="0"/>
        <w:spacing w:before="0" w:after="360" w:line="307" w:lineRule="exact"/>
        <w:ind w:left="0" w:right="0" w:firstLine="200"/>
        <w:jc w:val="left"/>
      </w:pPr>
      <w:r>
        <w:rPr>
          <w:color w:val="000000"/>
          <w:spacing w:val="0"/>
          <w:w w:val="100"/>
          <w:position w:val="0"/>
        </w:rPr>
        <w:t>本财务报表以持续经营为基础列报，本公司自报告期末起至少12个月具有持续经营能力。</w:t>
      </w:r>
    </w:p>
    <w:p>
      <w:pPr>
        <w:pStyle w:val="Style23"/>
        <w:keepNext/>
        <w:keepLines/>
        <w:widowControl w:val="0"/>
        <w:shd w:val="clear" w:color="auto" w:fill="auto"/>
        <w:bidi w:val="0"/>
        <w:spacing w:before="0" w:after="260" w:line="240" w:lineRule="auto"/>
        <w:ind w:left="0" w:right="0" w:firstLine="0"/>
        <w:jc w:val="left"/>
      </w:pPr>
      <w:bookmarkStart w:id="777" w:name="bookmark777"/>
      <w:bookmarkStart w:id="778" w:name="bookmark778"/>
      <w:bookmarkStart w:id="779" w:name="bookmark779"/>
      <w:bookmarkStart w:id="780" w:name="bookmark780"/>
      <w:r>
        <w:rPr>
          <w:color w:val="000000"/>
          <w:spacing w:val="0"/>
          <w:w w:val="100"/>
          <w:position w:val="0"/>
          <w:sz w:val="24"/>
          <w:szCs w:val="24"/>
        </w:rPr>
        <w:t>五</w:t>
      </w:r>
      <w:bookmarkEnd w:id="779"/>
      <w:r>
        <w:rPr>
          <w:color w:val="000000"/>
          <w:spacing w:val="0"/>
          <w:w w:val="100"/>
          <w:position w:val="0"/>
          <w:sz w:val="24"/>
          <w:szCs w:val="24"/>
        </w:rPr>
        <w:t>、重要会计政策及会计估计</w:t>
      </w:r>
      <w:bookmarkEnd w:id="777"/>
      <w:bookmarkEnd w:id="778"/>
      <w:bookmarkEnd w:id="780"/>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720" w:line="307" w:lineRule="exact"/>
        <w:ind w:left="0" w:right="0"/>
        <w:jc w:val="left"/>
      </w:pPr>
      <w:r>
        <w:rPr>
          <w:color w:val="000000"/>
          <w:spacing w:val="0"/>
          <w:w w:val="100"/>
          <w:position w:val="0"/>
        </w:rPr>
        <w:t>本公司及各子公司根据实际生产经营特点，依据相关企业会计准则的规定，对收入确认等交易和事项制定了若干项具体 会计政策和会计估计，详见本附注五、</w:t>
      </w:r>
      <w:r>
        <w:rPr>
          <w:rFonts w:ascii="Times New Roman" w:eastAsia="Times New Roman" w:hAnsi="Times New Roman" w:cs="Times New Roman"/>
          <w:color w:val="000000"/>
          <w:spacing w:val="0"/>
          <w:w w:val="100"/>
          <w:position w:val="0"/>
        </w:rPr>
        <w:t>39“</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 xml:space="preserve">的描述。关于管理层所作出的重大会计判断和估计的说明，请参阅附注五、 </w:t>
      </w:r>
      <w:r>
        <w:rPr>
          <w:rFonts w:ascii="Times New Roman" w:eastAsia="Times New Roman" w:hAnsi="Times New Roman" w:cs="Times New Roman"/>
          <w:color w:val="000000"/>
          <w:spacing w:val="0"/>
          <w:w w:val="100"/>
          <w:position w:val="0"/>
        </w:rPr>
        <w:t>45</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重大会计判断和估计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tabs>
          <w:tab w:pos="368" w:val="left"/>
        </w:tabs>
        <w:bidi w:val="0"/>
        <w:spacing w:before="0" w:after="26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color w:val="000000"/>
          <w:spacing w:val="0"/>
          <w:w w:val="100"/>
          <w:position w:val="0"/>
        </w:rPr>
        <w:t>、</w:t>
        <w:tab/>
        <w:t>遵循企业会计准则的声明</w:t>
      </w:r>
      <w:bookmarkEnd w:id="781"/>
      <w:bookmarkEnd w:id="782"/>
      <w:bookmarkEnd w:id="784"/>
    </w:p>
    <w:p>
      <w:pPr>
        <w:pStyle w:val="Style18"/>
        <w:keepNext w:val="0"/>
        <w:keepLines w:val="0"/>
        <w:widowControl w:val="0"/>
        <w:shd w:val="clear" w:color="auto" w:fill="auto"/>
        <w:bidi w:val="0"/>
        <w:spacing w:before="0" w:after="360" w:line="315" w:lineRule="exact"/>
        <w:ind w:left="0" w:right="0"/>
        <w:jc w:val="both"/>
      </w:pPr>
      <w:r>
        <w:rPr>
          <w:color w:val="000000"/>
          <w:spacing w:val="0"/>
          <w:w w:val="100"/>
          <w:position w:val="0"/>
        </w:rPr>
        <w:t>本公司编制的财务报表符合企业会计准则的要求，真实、完整地反映了本公司2021年12月31日的合并及母公司财务状况 及2021年度的合并及母公司经营成果和合并及母公司现金流量等有关信息。此外，本公司的财务报表在所有重大方面符合中 国证券监督管理委员会2014年修订的《公开发行证券的公司信息披露编报规则第15号一财务报告的一般规定》有关财务报表 及其附注的披露要求。</w:t>
      </w:r>
    </w:p>
    <w:p>
      <w:pPr>
        <w:pStyle w:val="Style27"/>
        <w:keepNext/>
        <w:keepLines/>
        <w:widowControl w:val="0"/>
        <w:shd w:val="clear" w:color="auto" w:fill="auto"/>
        <w:tabs>
          <w:tab w:pos="378" w:val="left"/>
        </w:tabs>
        <w:bidi w:val="0"/>
        <w:spacing w:before="0" w:after="26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2</w:t>
      </w:r>
      <w:bookmarkEnd w:id="787"/>
      <w:r>
        <w:rPr>
          <w:color w:val="000000"/>
          <w:spacing w:val="0"/>
          <w:w w:val="100"/>
          <w:position w:val="0"/>
        </w:rPr>
        <w:t>、</w:t>
        <w:tab/>
        <w:t>会计期间</w:t>
      </w:r>
      <w:bookmarkEnd w:id="785"/>
      <w:bookmarkEnd w:id="786"/>
      <w:bookmarkEnd w:id="788"/>
    </w:p>
    <w:p>
      <w:pPr>
        <w:pStyle w:val="Style18"/>
        <w:keepNext w:val="0"/>
        <w:keepLines w:val="0"/>
        <w:widowControl w:val="0"/>
        <w:shd w:val="clear" w:color="auto" w:fill="auto"/>
        <w:bidi w:val="0"/>
        <w:spacing w:before="0" w:after="360" w:line="298" w:lineRule="exact"/>
        <w:ind w:left="0" w:right="0"/>
        <w:jc w:val="both"/>
      </w:pPr>
      <w:r>
        <w:rPr>
          <w:color w:val="000000"/>
          <w:spacing w:val="0"/>
          <w:w w:val="100"/>
          <w:position w:val="0"/>
        </w:rPr>
        <w:t>本公司的会计期间分为年度和中期，会计中期指短于一个完整的会计年度的报告期间。本公司会计年度采用公历年度， 即每年自1月1日起至12月31日止。</w:t>
      </w:r>
    </w:p>
    <w:p>
      <w:pPr>
        <w:pStyle w:val="Style27"/>
        <w:keepNext/>
        <w:keepLines/>
        <w:widowControl w:val="0"/>
        <w:shd w:val="clear" w:color="auto" w:fill="auto"/>
        <w:tabs>
          <w:tab w:pos="378" w:val="left"/>
        </w:tabs>
        <w:bidi w:val="0"/>
        <w:spacing w:before="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3</w:t>
      </w:r>
      <w:bookmarkEnd w:id="791"/>
      <w:r>
        <w:rPr>
          <w:color w:val="000000"/>
          <w:spacing w:val="0"/>
          <w:w w:val="100"/>
          <w:position w:val="0"/>
        </w:rPr>
        <w:t>、</w:t>
        <w:tab/>
        <w:t>营业周期</w:t>
      </w:r>
      <w:bookmarkEnd w:id="789"/>
      <w:bookmarkEnd w:id="790"/>
      <w:bookmarkEnd w:id="792"/>
    </w:p>
    <w:p>
      <w:pPr>
        <w:pStyle w:val="Style18"/>
        <w:keepNext w:val="0"/>
        <w:keepLines w:val="0"/>
        <w:widowControl w:val="0"/>
        <w:shd w:val="clear" w:color="auto" w:fill="auto"/>
        <w:bidi w:val="0"/>
        <w:spacing w:before="0" w:after="360" w:line="240" w:lineRule="auto"/>
        <w:ind w:left="0" w:right="0"/>
        <w:jc w:val="both"/>
      </w:pPr>
      <w:r>
        <w:rPr>
          <w:color w:val="000000"/>
          <w:spacing w:val="0"/>
          <w:w w:val="100"/>
          <w:position w:val="0"/>
        </w:rPr>
        <w:t xml:space="preserve">正常营业周期是指本公司从购买用于加工的资产起至实现现金或现金等价物的期间。本公司以12个月作为一个营业周 </w:t>
      </w:r>
      <w:r>
        <w:rPr>
          <w:color w:val="000000"/>
          <w:spacing w:val="0"/>
          <w:w w:val="100"/>
          <w:position w:val="0"/>
        </w:rPr>
        <w:t>期，并以其作为资产和负债的流动性划分标准。</w:t>
      </w:r>
    </w:p>
    <w:p>
      <w:pPr>
        <w:pStyle w:val="Style27"/>
        <w:keepNext/>
        <w:keepLines/>
        <w:widowControl w:val="0"/>
        <w:shd w:val="clear" w:color="auto" w:fill="auto"/>
        <w:tabs>
          <w:tab w:pos="356" w:val="left"/>
        </w:tabs>
        <w:bidi w:val="0"/>
        <w:spacing w:before="0" w:after="28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4</w:t>
      </w:r>
      <w:bookmarkEnd w:id="795"/>
      <w:r>
        <w:rPr>
          <w:color w:val="000000"/>
          <w:spacing w:val="0"/>
          <w:w w:val="100"/>
          <w:position w:val="0"/>
        </w:rPr>
        <w:t>、</w:t>
        <w:tab/>
        <w:t>记账本位币</w:t>
      </w:r>
      <w:bookmarkEnd w:id="793"/>
      <w:bookmarkEnd w:id="794"/>
      <w:bookmarkEnd w:id="796"/>
    </w:p>
    <w:p>
      <w:pPr>
        <w:pStyle w:val="Style18"/>
        <w:keepNext w:val="0"/>
        <w:keepLines w:val="0"/>
        <w:widowControl w:val="0"/>
        <w:shd w:val="clear" w:color="auto" w:fill="auto"/>
        <w:bidi w:val="0"/>
        <w:spacing w:before="0" w:after="360" w:line="305" w:lineRule="exact"/>
        <w:ind w:left="0" w:right="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之境外子公司根据其经营所处的主要经济环境中的货币确定为其记账本位币。本公司编制本财务报表时所采用的货币为人民 币。</w:t>
      </w:r>
    </w:p>
    <w:p>
      <w:pPr>
        <w:pStyle w:val="Style27"/>
        <w:keepNext/>
        <w:keepLines/>
        <w:widowControl w:val="0"/>
        <w:shd w:val="clear" w:color="auto" w:fill="auto"/>
        <w:tabs>
          <w:tab w:pos="356" w:val="left"/>
        </w:tabs>
        <w:bidi w:val="0"/>
        <w:spacing w:before="0" w:after="28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5</w:t>
      </w:r>
      <w:bookmarkEnd w:id="799"/>
      <w:r>
        <w:rPr>
          <w:color w:val="000000"/>
          <w:spacing w:val="0"/>
          <w:w w:val="100"/>
          <w:position w:val="0"/>
        </w:rPr>
        <w:t>、</w:t>
        <w:tab/>
        <w:t>同一控制下和非同一控制下企业合并的会计处理方法</w:t>
      </w:r>
      <w:bookmarkEnd w:id="797"/>
      <w:bookmarkEnd w:id="798"/>
      <w:bookmarkEnd w:id="800"/>
    </w:p>
    <w:p>
      <w:pPr>
        <w:pStyle w:val="Style18"/>
        <w:keepNext w:val="0"/>
        <w:keepLines w:val="0"/>
        <w:widowControl w:val="0"/>
        <w:shd w:val="clear" w:color="auto" w:fill="auto"/>
        <w:tabs>
          <w:tab w:pos="875" w:val="left"/>
        </w:tabs>
        <w:bidi w:val="0"/>
        <w:spacing w:before="0" w:after="0" w:line="311" w:lineRule="exact"/>
        <w:ind w:left="0" w:right="0"/>
        <w:jc w:val="both"/>
      </w:pPr>
      <w:bookmarkStart w:id="801" w:name="bookmark801"/>
      <w:r>
        <w:rPr>
          <w:color w:val="000000"/>
          <w:spacing w:val="0"/>
          <w:w w:val="100"/>
          <w:position w:val="0"/>
        </w:rPr>
        <w:t>（</w:t>
      </w:r>
      <w:bookmarkEnd w:id="801"/>
      <w:r>
        <w:rPr>
          <w:color w:val="000000"/>
          <w:spacing w:val="0"/>
          <w:w w:val="100"/>
          <w:position w:val="0"/>
        </w:rPr>
        <w:t>1）</w:t>
        <w:tab/>
        <w:t>在同一控制下的企业合并中，公司作为购买方取得对其他参与合并企业的控制权，如以支付现金、转让非现金资 产或承担债务方式作为合并对价的，在合并日按照被合并方所有者权益在最终控制方合并财务报表中的账面价值的份额作为 长期股权投资的初始投资成本，长期股权投资初始投资成本与支付的现金、转让的非现金资产以及所承担债务账面价值之间 的差额，调整资本公积；资本公积不足冲减的，调整留存收益；如以发行权益性证券作为合并对价的，在合并日按照被合并 方所有者权益在最终控制方合并财务报表中的账面价值的份额作为长期股权投资的初始投资成本，按照发行股份的面值总额 作为股本，长期股权投资初始投资成本与所发行股份面值总额之间的差额，调整资本公积，资本公积不足冲减的，调整留存 收益。为进行企业合并发生的审计、法律服务、评估咨询等中介费用以及其他相关管理费用，于发生时计入当期损益。为企 业合并发行的债券或承担其他债务支付的手续费、佣金等，应当计入所发行债券及其他债务的初始计量金额。企业合并中发 行权益性证券发生的手续费、佣金等费用，应当抵减权益性证券溢价收入，溢价收入不足冲减的，冲减留存收益。</w:t>
      </w:r>
    </w:p>
    <w:p>
      <w:pPr>
        <w:pStyle w:val="Style18"/>
        <w:keepNext w:val="0"/>
        <w:keepLines w:val="0"/>
        <w:widowControl w:val="0"/>
        <w:shd w:val="clear" w:color="auto" w:fill="auto"/>
        <w:tabs>
          <w:tab w:pos="799" w:val="left"/>
        </w:tabs>
        <w:bidi w:val="0"/>
        <w:spacing w:before="0" w:after="0" w:line="312" w:lineRule="exact"/>
        <w:ind w:left="0" w:right="0"/>
        <w:jc w:val="both"/>
      </w:pPr>
      <w:bookmarkStart w:id="802" w:name="bookmark802"/>
      <w:r>
        <w:rPr>
          <w:color w:val="000000"/>
          <w:spacing w:val="0"/>
          <w:w w:val="100"/>
          <w:position w:val="0"/>
        </w:rPr>
        <w:t>（</w:t>
      </w:r>
      <w:bookmarkEnd w:id="802"/>
      <w:r>
        <w:rPr>
          <w:color w:val="000000"/>
          <w:spacing w:val="0"/>
          <w:w w:val="100"/>
          <w:position w:val="0"/>
        </w:rPr>
        <w:t>2）</w:t>
        <w:tab/>
        <w:t>公司对外合并如属非同一控制下的企业合并，按下列情况确定长期股权投资的初始投资成本：</w:t>
      </w:r>
    </w:p>
    <w:p>
      <w:pPr>
        <w:pStyle w:val="Style18"/>
        <w:keepNext w:val="0"/>
        <w:keepLines w:val="0"/>
        <w:widowControl w:val="0"/>
        <w:numPr>
          <w:ilvl w:val="0"/>
          <w:numId w:val="19"/>
        </w:numPr>
        <w:shd w:val="clear" w:color="auto" w:fill="auto"/>
        <w:tabs>
          <w:tab w:pos="702" w:val="left"/>
        </w:tabs>
        <w:bidi w:val="0"/>
        <w:spacing w:before="0" w:after="0" w:line="312" w:lineRule="exact"/>
        <w:ind w:left="0" w:right="0"/>
        <w:jc w:val="both"/>
      </w:pPr>
      <w:bookmarkStart w:id="803" w:name="bookmark803"/>
      <w:bookmarkEnd w:id="803"/>
      <w:r>
        <w:rPr>
          <w:color w:val="000000"/>
          <w:spacing w:val="0"/>
          <w:w w:val="100"/>
          <w:position w:val="0"/>
        </w:rPr>
        <w:t>一次交换交易实现的企业合并，长期股权投资的初始投资成本为购买方在购买日为取得对被购买方的控制权而付出的 资产、发生或承担的负债以及发行的权益性证券的公允价值；</w:t>
      </w:r>
    </w:p>
    <w:p>
      <w:pPr>
        <w:pStyle w:val="Style18"/>
        <w:keepNext w:val="0"/>
        <w:keepLines w:val="0"/>
        <w:widowControl w:val="0"/>
        <w:numPr>
          <w:ilvl w:val="0"/>
          <w:numId w:val="19"/>
        </w:numPr>
        <w:shd w:val="clear" w:color="auto" w:fill="auto"/>
        <w:tabs>
          <w:tab w:pos="732" w:val="left"/>
        </w:tabs>
        <w:bidi w:val="0"/>
        <w:spacing w:before="0" w:after="0" w:line="312" w:lineRule="exact"/>
        <w:ind w:left="0" w:right="0"/>
        <w:jc w:val="both"/>
      </w:pPr>
      <w:bookmarkStart w:id="804" w:name="bookmark804"/>
      <w:bookmarkEnd w:id="804"/>
      <w:r>
        <w:rPr>
          <w:color w:val="000000"/>
          <w:spacing w:val="0"/>
          <w:w w:val="100"/>
          <w:position w:val="0"/>
        </w:rPr>
        <w:t>通过多次交换交易分步实现的企业合并，长期股权投资的初始投资成本为每一单项交易成本之和；</w:t>
      </w:r>
    </w:p>
    <w:p>
      <w:pPr>
        <w:pStyle w:val="Style18"/>
        <w:keepNext w:val="0"/>
        <w:keepLines w:val="0"/>
        <w:widowControl w:val="0"/>
        <w:numPr>
          <w:ilvl w:val="0"/>
          <w:numId w:val="19"/>
        </w:numPr>
        <w:shd w:val="clear" w:color="auto" w:fill="auto"/>
        <w:tabs>
          <w:tab w:pos="707" w:val="left"/>
        </w:tabs>
        <w:bidi w:val="0"/>
        <w:spacing w:before="0" w:after="0" w:line="317" w:lineRule="exact"/>
        <w:ind w:left="0" w:right="0"/>
        <w:jc w:val="both"/>
      </w:pPr>
      <w:bookmarkStart w:id="805" w:name="bookmark805"/>
      <w:bookmarkEnd w:id="805"/>
      <w:r>
        <w:rPr>
          <w:color w:val="000000"/>
          <w:spacing w:val="0"/>
          <w:w w:val="100"/>
          <w:position w:val="0"/>
        </w:rPr>
        <w:t>为进行企业合并发生的审计、法律服务、评估咨询等中介费用以及其他相关管理费用，于发生时计入当期损益；作为 合并对价发行的权益性证券或债务性证券的交易费用，计入权益性证券或债务性证券的初始确认金额；</w:t>
      </w:r>
    </w:p>
    <w:p>
      <w:pPr>
        <w:pStyle w:val="Style18"/>
        <w:keepNext w:val="0"/>
        <w:keepLines w:val="0"/>
        <w:widowControl w:val="0"/>
        <w:numPr>
          <w:ilvl w:val="0"/>
          <w:numId w:val="19"/>
        </w:numPr>
        <w:shd w:val="clear" w:color="auto" w:fill="auto"/>
        <w:tabs>
          <w:tab w:pos="707" w:val="left"/>
        </w:tabs>
        <w:bidi w:val="0"/>
        <w:spacing w:before="0" w:after="0" w:line="307" w:lineRule="exact"/>
        <w:ind w:left="0" w:right="0"/>
        <w:jc w:val="both"/>
      </w:pPr>
      <w:bookmarkStart w:id="806" w:name="bookmark806"/>
      <w:bookmarkEnd w:id="806"/>
      <w:r>
        <w:rPr>
          <w:color w:val="000000"/>
          <w:spacing w:val="0"/>
          <w:w w:val="100"/>
          <w:position w:val="0"/>
        </w:rPr>
        <w:t>在合并合同或协议中对可能影响合并成本的未来事项作出约定的，在购买日如果估计未来事项很可能发生并且对合并 成本的影响金额能够可靠计量的，将其计入长期股权投资的初始投资成本。</w:t>
      </w:r>
    </w:p>
    <w:p>
      <w:pPr>
        <w:pStyle w:val="Style18"/>
        <w:keepNext w:val="0"/>
        <w:keepLines w:val="0"/>
        <w:widowControl w:val="0"/>
        <w:shd w:val="clear" w:color="auto" w:fill="auto"/>
        <w:tabs>
          <w:tab w:pos="875" w:val="left"/>
        </w:tabs>
        <w:bidi w:val="0"/>
        <w:spacing w:before="0" w:after="0" w:line="326" w:lineRule="exact"/>
        <w:ind w:left="0" w:right="0"/>
        <w:jc w:val="both"/>
      </w:pPr>
      <w:bookmarkStart w:id="807" w:name="bookmark807"/>
      <w:r>
        <w:rPr>
          <w:color w:val="000000"/>
          <w:spacing w:val="0"/>
          <w:w w:val="100"/>
          <w:position w:val="0"/>
        </w:rPr>
        <w:t>（</w:t>
      </w:r>
      <w:bookmarkEnd w:id="807"/>
      <w:r>
        <w:rPr>
          <w:color w:val="000000"/>
          <w:spacing w:val="0"/>
          <w:w w:val="100"/>
          <w:position w:val="0"/>
        </w:rPr>
        <w:t>3）</w:t>
        <w:tab/>
        <w:t>公司对外合并如属非同一控制下的企业合并，对长期股权投资的初始投资成本大于合并中取得的被购买方可辨认 净资产公允价值份额的差额，确认为商誉。</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对长期股权投资的初始投资成本小于合并中取得的被购买方可辨认净资产公允价值份额的差额，按照下列方法处理：</w:t>
      </w:r>
    </w:p>
    <w:p>
      <w:pPr>
        <w:pStyle w:val="Style18"/>
        <w:keepNext w:val="0"/>
        <w:keepLines w:val="0"/>
        <w:widowControl w:val="0"/>
        <w:numPr>
          <w:ilvl w:val="0"/>
          <w:numId w:val="21"/>
        </w:numPr>
        <w:shd w:val="clear" w:color="auto" w:fill="auto"/>
        <w:tabs>
          <w:tab w:pos="732" w:val="left"/>
        </w:tabs>
        <w:bidi w:val="0"/>
        <w:spacing w:before="0" w:after="0" w:line="312" w:lineRule="exact"/>
        <w:ind w:left="0" w:right="0"/>
        <w:jc w:val="both"/>
      </w:pPr>
      <w:bookmarkStart w:id="808" w:name="bookmark808"/>
      <w:bookmarkEnd w:id="808"/>
      <w:r>
        <w:rPr>
          <w:color w:val="000000"/>
          <w:spacing w:val="0"/>
          <w:w w:val="100"/>
          <w:position w:val="0"/>
        </w:rPr>
        <w:t>对取得的被购买方各项可辨认资产、负债及或有负债的公允价值以及合并成本的计量进行复核；</w:t>
      </w:r>
    </w:p>
    <w:p>
      <w:pPr>
        <w:pStyle w:val="Style18"/>
        <w:keepNext w:val="0"/>
        <w:keepLines w:val="0"/>
        <w:widowControl w:val="0"/>
        <w:numPr>
          <w:ilvl w:val="0"/>
          <w:numId w:val="21"/>
        </w:numPr>
        <w:shd w:val="clear" w:color="auto" w:fill="auto"/>
        <w:tabs>
          <w:tab w:pos="732" w:val="left"/>
        </w:tabs>
        <w:bidi w:val="0"/>
        <w:spacing w:before="0" w:after="360" w:line="312" w:lineRule="exact"/>
        <w:ind w:left="0" w:right="0"/>
        <w:jc w:val="both"/>
      </w:pPr>
      <w:bookmarkStart w:id="809" w:name="bookmark809"/>
      <w:bookmarkEnd w:id="809"/>
      <w:r>
        <w:rPr>
          <w:color w:val="000000"/>
          <w:spacing w:val="0"/>
          <w:w w:val="100"/>
          <w:position w:val="0"/>
        </w:rPr>
        <w:t>经复核后合并成本仍小于合并中取得的被购买方可辨认净资产公允价值份额的，其差额应当计入当期损益。</w:t>
      </w:r>
    </w:p>
    <w:p>
      <w:pPr>
        <w:pStyle w:val="Style27"/>
        <w:keepNext/>
        <w:keepLines/>
        <w:widowControl w:val="0"/>
        <w:shd w:val="clear" w:color="auto" w:fill="auto"/>
        <w:tabs>
          <w:tab w:pos="356" w:val="left"/>
        </w:tabs>
        <w:bidi w:val="0"/>
        <w:spacing w:before="0" w:after="28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6</w:t>
      </w:r>
      <w:bookmarkEnd w:id="812"/>
      <w:r>
        <w:rPr>
          <w:color w:val="000000"/>
          <w:spacing w:val="0"/>
          <w:w w:val="100"/>
          <w:position w:val="0"/>
        </w:rPr>
        <w:t>、</w:t>
        <w:tab/>
        <w:t>合并财务报表的编制方法</w:t>
      </w:r>
      <w:bookmarkEnd w:id="810"/>
      <w:bookmarkEnd w:id="811"/>
      <w:bookmarkEnd w:id="813"/>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合并财务报表的合并范围以控制为基础予以确定。控制，是指投资方拥有对被投资方的权力，通过参与被投资方的相关 活动而享有可变回报，并且有能力运用对被投资方的权力影响其回报金额。</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母公司应当将其全部子公司纳入合并财务报表的合并范围。子公司，是指被公司控制的主体（含企业、被投资单位中可 分割的部分，以及企业所控制的结构化主体等）。</w:t>
      </w:r>
    </w:p>
    <w:p>
      <w:pPr>
        <w:pStyle w:val="Style18"/>
        <w:keepNext w:val="0"/>
        <w:keepLines w:val="0"/>
        <w:widowControl w:val="0"/>
        <w:shd w:val="clear" w:color="auto" w:fill="auto"/>
        <w:bidi w:val="0"/>
        <w:spacing w:before="0" w:after="120" w:line="314" w:lineRule="exact"/>
        <w:ind w:left="0" w:right="0"/>
        <w:jc w:val="both"/>
      </w:pPr>
      <w:r>
        <w:rPr>
          <w:color w:val="000000"/>
          <w:spacing w:val="0"/>
          <w:w w:val="100"/>
          <w:position w:val="0"/>
        </w:rPr>
        <w:t>如果母公司是投资性主体，则母公司应当仅将为其投资活动提供相关服务的子公司（如有）纳入合并范围并编制合并财 务报表；其他子公司不应当予以合并，母公司对其他子公司的投资应当按照公允价值计量且其变动计入当期损益。当母公司 同时满足下列条件时，该母公司属于投资性主体：</w:t>
      </w:r>
    </w:p>
    <w:p>
      <w:pPr>
        <w:pStyle w:val="Style18"/>
        <w:keepNext w:val="0"/>
        <w:keepLines w:val="0"/>
        <w:widowControl w:val="0"/>
        <w:shd w:val="clear" w:color="auto" w:fill="auto"/>
        <w:bidi w:val="0"/>
        <w:spacing w:before="0" w:after="0" w:line="240" w:lineRule="auto"/>
        <w:ind w:left="0" w:right="0"/>
        <w:jc w:val="both"/>
      </w:pPr>
      <w:bookmarkStart w:id="814" w:name="bookmark814"/>
      <w:r>
        <w:rPr>
          <w:color w:val="000000"/>
          <w:spacing w:val="0"/>
          <w:w w:val="100"/>
          <w:position w:val="0"/>
        </w:rPr>
        <w:t>（</w:t>
      </w:r>
      <w:bookmarkEnd w:id="814"/>
      <w:r>
        <w:rPr>
          <w:color w:val="000000"/>
          <w:spacing w:val="0"/>
          <w:w w:val="100"/>
          <w:position w:val="0"/>
        </w:rPr>
        <w:t>1）该母公司是以向投资者提供投资管理服务为目的，从一个或多个投资者处获取资金;</w:t>
      </w:r>
    </w:p>
    <w:p>
      <w:pPr>
        <w:pStyle w:val="Style18"/>
        <w:keepNext w:val="0"/>
        <w:keepLines w:val="0"/>
        <w:widowControl w:val="0"/>
        <w:shd w:val="clear" w:color="auto" w:fill="auto"/>
        <w:tabs>
          <w:tab w:pos="807" w:val="left"/>
        </w:tabs>
        <w:bidi w:val="0"/>
        <w:spacing w:before="0" w:after="0" w:line="312" w:lineRule="exact"/>
        <w:ind w:left="0" w:right="0"/>
        <w:jc w:val="both"/>
      </w:pPr>
      <w:bookmarkStart w:id="815" w:name="bookmark815"/>
      <w:r>
        <w:rPr>
          <w:color w:val="000000"/>
          <w:spacing w:val="0"/>
          <w:w w:val="100"/>
          <w:position w:val="0"/>
        </w:rPr>
        <w:t>（</w:t>
      </w:r>
      <w:bookmarkEnd w:id="815"/>
      <w:r>
        <w:rPr>
          <w:color w:val="000000"/>
          <w:spacing w:val="0"/>
          <w:w w:val="100"/>
          <w:position w:val="0"/>
        </w:rPr>
        <w:t>2）</w:t>
        <w:tab/>
        <w:t>该母公司的唯一经营目的，是通过资本增值、投资收益或两者兼有而让投资者获得回报；</w:t>
      </w:r>
    </w:p>
    <w:p>
      <w:pPr>
        <w:pStyle w:val="Style18"/>
        <w:keepNext w:val="0"/>
        <w:keepLines w:val="0"/>
        <w:widowControl w:val="0"/>
        <w:shd w:val="clear" w:color="auto" w:fill="auto"/>
        <w:tabs>
          <w:tab w:pos="807" w:val="left"/>
        </w:tabs>
        <w:bidi w:val="0"/>
        <w:spacing w:before="0" w:after="0" w:line="312" w:lineRule="exact"/>
        <w:ind w:left="0" w:right="0"/>
        <w:jc w:val="both"/>
      </w:pPr>
      <w:bookmarkStart w:id="816" w:name="bookmark816"/>
      <w:r>
        <w:rPr>
          <w:color w:val="000000"/>
          <w:spacing w:val="0"/>
          <w:w w:val="100"/>
          <w:position w:val="0"/>
        </w:rPr>
        <w:t>（</w:t>
      </w:r>
      <w:bookmarkEnd w:id="816"/>
      <w:r>
        <w:rPr>
          <w:color w:val="000000"/>
          <w:spacing w:val="0"/>
          <w:w w:val="100"/>
          <w:position w:val="0"/>
        </w:rPr>
        <w:t>3）</w:t>
        <w:tab/>
        <w:t>该母公司按照公允价值对几乎所有投资的业绩进行考量和评价。</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编制合并报表时，公司与被合并子公司采用的统一的会计政策和期间。合并财务报表以公司和子公司的财务报表为基础， 在抵销公司与子公司、子公司相互之间发生的内部交易对合并财务报表的影响后，由公司合并编制。公司在报告期内因同一 控制下企业合并增加的子公司，编制合并资产负债表时，调整合并资产负债表的期初数。因非同一控制下企业合并增加的子 公司，编制合并资产负债表时，不调整合并资产负债表的期初数。公司在报告期内因同一控制下企业合并增加的子公司，将 该子公司合并当期期初至报告期末的收入、费用、利润及现金流量纳入合并利润表及现金流量表。因非同一控制下企业合并 增加的子公司，将该子公司购买日至报告期末的收入、费用、利润及现金流量纳入合并利润表及现金流量表。公司在报告期 内处置子公司，将该子公司期初至处置日的收入、费用、利润及现金流量纳入合并利润表及现金流量表。</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母公司购买子公司少数股东拥有的子公司股权，在合并财务报表中，因购买少数股权新取得的长期股权投资与按照新增 持股比例计算应享有子公司自购买日或合并日开始持续计算的净资产份额之间的差额，应当调整资本公积-股本溢价，资本 公积不足冲减的，调整留存收益。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相对应享有子公司自购买日或合并日开始持续计算的净资产份额之间的差额，应当调整资本公积-股本溢价，资本公积不足 冲减的，调整留存收益。</w:t>
      </w:r>
    </w:p>
    <w:p>
      <w:pPr>
        <w:pStyle w:val="Style18"/>
        <w:keepNext w:val="0"/>
        <w:keepLines w:val="0"/>
        <w:widowControl w:val="0"/>
        <w:shd w:val="clear" w:color="auto" w:fill="auto"/>
        <w:bidi w:val="0"/>
        <w:spacing w:before="0" w:after="720" w:line="313" w:lineRule="exact"/>
        <w:ind w:left="0" w:right="0"/>
        <w:jc w:val="both"/>
      </w:pPr>
      <w:r>
        <w:rPr>
          <w:color w:val="000000"/>
          <w:spacing w:val="0"/>
          <w:w w:val="100"/>
          <w:position w:val="0"/>
        </w:rPr>
        <w:t>企业因处置部分股权投资等原因丧失了对被投资方的控制权的，在编制合并财务报表时，对于剩余股权，应当按照其在 丧失控制权日的公允价值进行重新计量。处置股权取得的对价与剩余股权公允价值之和，减去按原持股比例计算应享有原有 子公司自购买日或合并日开始持续计算的净资产的份额之间的差额，计入丧失控制权当期的投资收益，同时冲减商誉。与原 有子公司股权投资相关的其他综合收益等，应当在丧失控制权时转为当期投资收益，由于被投资方重新计量设定受益计划净 负债或净资产变动而产生的其他综合收益除外。</w:t>
      </w:r>
    </w:p>
    <w:p>
      <w:pPr>
        <w:pStyle w:val="Style27"/>
        <w:keepNext/>
        <w:keepLines/>
        <w:widowControl w:val="0"/>
        <w:shd w:val="clear" w:color="auto" w:fill="auto"/>
        <w:tabs>
          <w:tab w:pos="359" w:val="left"/>
        </w:tabs>
        <w:bidi w:val="0"/>
        <w:spacing w:before="0" w:after="28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7</w:t>
      </w:r>
      <w:bookmarkEnd w:id="819"/>
      <w:r>
        <w:rPr>
          <w:color w:val="000000"/>
          <w:spacing w:val="0"/>
          <w:w w:val="100"/>
          <w:position w:val="0"/>
        </w:rPr>
        <w:t>、</w:t>
        <w:tab/>
        <w:t>合营安排分类及共同经营会计处理方法</w:t>
      </w:r>
      <w:bookmarkEnd w:id="817"/>
      <w:bookmarkEnd w:id="818"/>
      <w:bookmarkEnd w:id="820"/>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合营安排分为共同经营和合营企业。</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共同经营，是指合营方享有该安排相关资产且承担该安排相关负债的合营安排。公司确认其与共同经营中利益份额相关 的下列项目，并按照相关企业会计准则的规定进行会计处理：</w:t>
      </w:r>
    </w:p>
    <w:p>
      <w:pPr>
        <w:pStyle w:val="Style18"/>
        <w:keepNext w:val="0"/>
        <w:keepLines w:val="0"/>
        <w:widowControl w:val="0"/>
        <w:shd w:val="clear" w:color="auto" w:fill="auto"/>
        <w:tabs>
          <w:tab w:pos="807" w:val="left"/>
        </w:tabs>
        <w:bidi w:val="0"/>
        <w:spacing w:before="0" w:after="0" w:line="312" w:lineRule="exact"/>
        <w:ind w:left="0" w:right="0"/>
        <w:jc w:val="left"/>
      </w:pPr>
      <w:bookmarkStart w:id="821" w:name="bookmark821"/>
      <w:r>
        <w:rPr>
          <w:color w:val="000000"/>
          <w:spacing w:val="0"/>
          <w:w w:val="100"/>
          <w:position w:val="0"/>
        </w:rPr>
        <w:t>（</w:t>
      </w:r>
      <w:bookmarkEnd w:id="821"/>
      <w:r>
        <w:rPr>
          <w:color w:val="000000"/>
          <w:spacing w:val="0"/>
          <w:w w:val="100"/>
          <w:position w:val="0"/>
        </w:rPr>
        <w:t>1）</w:t>
        <w:tab/>
        <w:t>确认单独所持有的资产，以及按其份额确认共同持有的资产；</w:t>
      </w:r>
    </w:p>
    <w:p>
      <w:pPr>
        <w:pStyle w:val="Style18"/>
        <w:keepNext w:val="0"/>
        <w:keepLines w:val="0"/>
        <w:widowControl w:val="0"/>
        <w:shd w:val="clear" w:color="auto" w:fill="auto"/>
        <w:tabs>
          <w:tab w:pos="807" w:val="left"/>
        </w:tabs>
        <w:bidi w:val="0"/>
        <w:spacing w:before="0" w:after="0" w:line="312" w:lineRule="exact"/>
        <w:ind w:left="0" w:right="0"/>
        <w:jc w:val="left"/>
      </w:pPr>
      <w:bookmarkStart w:id="822" w:name="bookmark822"/>
      <w:r>
        <w:rPr>
          <w:color w:val="000000"/>
          <w:spacing w:val="0"/>
          <w:w w:val="100"/>
          <w:position w:val="0"/>
        </w:rPr>
        <w:t>（</w:t>
      </w:r>
      <w:bookmarkEnd w:id="822"/>
      <w:r>
        <w:rPr>
          <w:color w:val="000000"/>
          <w:spacing w:val="0"/>
          <w:w w:val="100"/>
          <w:position w:val="0"/>
        </w:rPr>
        <w:t>2）</w:t>
        <w:tab/>
        <w:t>确认单独所承担的负债，以及按其份额确认共同承担的负债；</w:t>
      </w:r>
    </w:p>
    <w:p>
      <w:pPr>
        <w:pStyle w:val="Style18"/>
        <w:keepNext w:val="0"/>
        <w:keepLines w:val="0"/>
        <w:widowControl w:val="0"/>
        <w:shd w:val="clear" w:color="auto" w:fill="auto"/>
        <w:tabs>
          <w:tab w:pos="807" w:val="left"/>
        </w:tabs>
        <w:bidi w:val="0"/>
        <w:spacing w:before="0" w:after="0" w:line="312" w:lineRule="exact"/>
        <w:ind w:left="0" w:right="0"/>
        <w:jc w:val="left"/>
      </w:pPr>
      <w:bookmarkStart w:id="823" w:name="bookmark823"/>
      <w:r>
        <w:rPr>
          <w:color w:val="000000"/>
          <w:spacing w:val="0"/>
          <w:w w:val="100"/>
          <w:position w:val="0"/>
        </w:rPr>
        <w:t>（</w:t>
      </w:r>
      <w:bookmarkEnd w:id="823"/>
      <w:r>
        <w:rPr>
          <w:color w:val="000000"/>
          <w:spacing w:val="0"/>
          <w:w w:val="100"/>
          <w:position w:val="0"/>
        </w:rPr>
        <w:t>3）</w:t>
        <w:tab/>
        <w:t>确认出售其享有的共同经营产出份额所产生的收入；</w:t>
      </w:r>
    </w:p>
    <w:p>
      <w:pPr>
        <w:pStyle w:val="Style18"/>
        <w:keepNext w:val="0"/>
        <w:keepLines w:val="0"/>
        <w:widowControl w:val="0"/>
        <w:shd w:val="clear" w:color="auto" w:fill="auto"/>
        <w:tabs>
          <w:tab w:pos="807" w:val="left"/>
        </w:tabs>
        <w:bidi w:val="0"/>
        <w:spacing w:before="0" w:after="0" w:line="312" w:lineRule="exact"/>
        <w:ind w:left="0" w:right="0"/>
        <w:jc w:val="left"/>
      </w:pPr>
      <w:bookmarkStart w:id="824" w:name="bookmark824"/>
      <w:r>
        <w:rPr>
          <w:color w:val="000000"/>
          <w:spacing w:val="0"/>
          <w:w w:val="100"/>
          <w:position w:val="0"/>
        </w:rPr>
        <w:t>（</w:t>
      </w:r>
      <w:bookmarkEnd w:id="824"/>
      <w:r>
        <w:rPr>
          <w:color w:val="000000"/>
          <w:spacing w:val="0"/>
          <w:w w:val="100"/>
          <w:position w:val="0"/>
        </w:rPr>
        <w:t>4）</w:t>
        <w:tab/>
        <w:t>按其份额确认共同经营因出售产出所产生的收入；</w:t>
      </w:r>
    </w:p>
    <w:p>
      <w:pPr>
        <w:pStyle w:val="Style18"/>
        <w:keepNext w:val="0"/>
        <w:keepLines w:val="0"/>
        <w:widowControl w:val="0"/>
        <w:shd w:val="clear" w:color="auto" w:fill="auto"/>
        <w:tabs>
          <w:tab w:pos="807" w:val="left"/>
        </w:tabs>
        <w:bidi w:val="0"/>
        <w:spacing w:before="0" w:after="0" w:line="312" w:lineRule="exact"/>
        <w:ind w:left="0" w:right="0"/>
        <w:jc w:val="left"/>
      </w:pPr>
      <w:bookmarkStart w:id="825" w:name="bookmark825"/>
      <w:r>
        <w:rPr>
          <w:color w:val="000000"/>
          <w:spacing w:val="0"/>
          <w:w w:val="100"/>
          <w:position w:val="0"/>
        </w:rPr>
        <w:t>（</w:t>
      </w:r>
      <w:bookmarkEnd w:id="825"/>
      <w:r>
        <w:rPr>
          <w:color w:val="000000"/>
          <w:spacing w:val="0"/>
          <w:w w:val="100"/>
          <w:position w:val="0"/>
        </w:rPr>
        <w:t>5）</w:t>
        <w:tab/>
        <w:t>确认单独所发生的费用，以及按其份额确认共同经营发生的费用。</w:t>
      </w:r>
    </w:p>
    <w:p>
      <w:pPr>
        <w:pStyle w:val="Style18"/>
        <w:keepNext w:val="0"/>
        <w:keepLines w:val="0"/>
        <w:widowControl w:val="0"/>
        <w:shd w:val="clear" w:color="auto" w:fill="auto"/>
        <w:bidi w:val="0"/>
        <w:spacing w:before="0" w:after="720" w:line="312" w:lineRule="exact"/>
        <w:ind w:left="0" w:right="0"/>
        <w:jc w:val="left"/>
      </w:pPr>
      <w:r>
        <w:rPr>
          <w:color w:val="000000"/>
          <w:spacing w:val="0"/>
          <w:w w:val="100"/>
          <w:position w:val="0"/>
        </w:rPr>
        <w:t>合营企业，是指合营方仅对该安排的净资产享有权利的合营安排。公司按照权益法对合营企业的投资进行会计处理。</w:t>
      </w:r>
    </w:p>
    <w:p>
      <w:pPr>
        <w:pStyle w:val="Style27"/>
        <w:keepNext/>
        <w:keepLines/>
        <w:widowControl w:val="0"/>
        <w:shd w:val="clear" w:color="auto" w:fill="auto"/>
        <w:tabs>
          <w:tab w:pos="364" w:val="left"/>
        </w:tabs>
        <w:bidi w:val="0"/>
        <w:spacing w:before="0" w:after="28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8</w:t>
      </w:r>
      <w:bookmarkEnd w:id="828"/>
      <w:r>
        <w:rPr>
          <w:color w:val="000000"/>
          <w:spacing w:val="0"/>
          <w:w w:val="100"/>
          <w:position w:val="0"/>
        </w:rPr>
        <w:t>、</w:t>
        <w:tab/>
        <w:t>现金及现金等价物的确定标准</w:t>
      </w:r>
      <w:bookmarkEnd w:id="826"/>
      <w:bookmarkEnd w:id="827"/>
      <w:bookmarkEnd w:id="829"/>
    </w:p>
    <w:p>
      <w:pPr>
        <w:pStyle w:val="Style18"/>
        <w:keepNext w:val="0"/>
        <w:keepLines w:val="0"/>
        <w:widowControl w:val="0"/>
        <w:shd w:val="clear" w:color="auto" w:fill="auto"/>
        <w:bidi w:val="0"/>
        <w:spacing w:before="0" w:after="380" w:line="307" w:lineRule="exact"/>
        <w:ind w:left="0" w:right="0"/>
        <w:jc w:val="both"/>
      </w:pPr>
      <w:r>
        <w:rPr>
          <w:color w:val="000000"/>
          <w:spacing w:val="0"/>
          <w:w w:val="100"/>
          <w:position w:val="0"/>
        </w:rPr>
        <w:t>现金，是指公司库存现金以及可以随时用于支付的存款；现金等价物，是指公司持有的期限短、流动性强、易于转换为 已知金额现金、价值变动风险很小的投资。</w:t>
      </w:r>
    </w:p>
    <w:p>
      <w:pPr>
        <w:pStyle w:val="Style27"/>
        <w:keepNext/>
        <w:keepLines/>
        <w:widowControl w:val="0"/>
        <w:shd w:val="clear" w:color="auto" w:fill="auto"/>
        <w:tabs>
          <w:tab w:pos="364" w:val="left"/>
        </w:tabs>
        <w:bidi w:val="0"/>
        <w:spacing w:before="0" w:after="38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9</w:t>
      </w:r>
      <w:bookmarkEnd w:id="832"/>
      <w:r>
        <w:rPr>
          <w:color w:val="000000"/>
          <w:spacing w:val="0"/>
          <w:w w:val="100"/>
          <w:position w:val="0"/>
        </w:rPr>
        <w:t>、</w:t>
        <w:tab/>
        <w:t>外币业务和外币报表折算</w:t>
      </w:r>
      <w:bookmarkEnd w:id="830"/>
      <w:bookmarkEnd w:id="831"/>
      <w:bookmarkEnd w:id="833"/>
    </w:p>
    <w:p>
      <w:pPr>
        <w:pStyle w:val="Style18"/>
        <w:keepNext w:val="0"/>
        <w:keepLines w:val="0"/>
        <w:widowControl w:val="0"/>
        <w:shd w:val="clear" w:color="auto" w:fill="auto"/>
        <w:bidi w:val="0"/>
        <w:spacing w:before="0" w:after="0" w:line="240" w:lineRule="auto"/>
        <w:ind w:left="0" w:right="0"/>
        <w:jc w:val="both"/>
      </w:pPr>
      <w:bookmarkStart w:id="834" w:name="bookmark834"/>
      <w:r>
        <w:rPr>
          <w:color w:val="000000"/>
          <w:spacing w:val="0"/>
          <w:w w:val="100"/>
          <w:position w:val="0"/>
        </w:rPr>
        <w:t>（</w:t>
      </w:r>
      <w:bookmarkEnd w:id="834"/>
      <w:r>
        <w:rPr>
          <w:color w:val="000000"/>
          <w:spacing w:val="0"/>
          <w:w w:val="100"/>
          <w:position w:val="0"/>
        </w:rPr>
        <w:t xml:space="preserve">1）外币交易在初始确认时，采用交易发生当日中国人民银行公布的人民币外汇牌价中间价将外币金额折算为人民币 </w:t>
      </w:r>
      <w:r>
        <w:rPr>
          <w:color w:val="000000"/>
          <w:spacing w:val="0"/>
          <w:w w:val="100"/>
          <w:position w:val="0"/>
        </w:rPr>
        <w:t>金额。</w:t>
      </w:r>
    </w:p>
    <w:p>
      <w:pPr>
        <w:pStyle w:val="Style18"/>
        <w:keepNext w:val="0"/>
        <w:keepLines w:val="0"/>
        <w:widowControl w:val="0"/>
        <w:shd w:val="clear" w:color="auto" w:fill="auto"/>
        <w:tabs>
          <w:tab w:pos="820" w:val="left"/>
        </w:tabs>
        <w:bidi w:val="0"/>
        <w:spacing w:before="0" w:after="0" w:line="312" w:lineRule="exact"/>
        <w:ind w:left="0" w:right="0"/>
        <w:jc w:val="both"/>
      </w:pPr>
      <w:bookmarkStart w:id="835" w:name="bookmark835"/>
      <w:r>
        <w:rPr>
          <w:color w:val="000000"/>
          <w:spacing w:val="0"/>
          <w:w w:val="100"/>
          <w:position w:val="0"/>
        </w:rPr>
        <w:t>（</w:t>
      </w:r>
      <w:bookmarkEnd w:id="835"/>
      <w:r>
        <w:rPr>
          <w:color w:val="000000"/>
          <w:spacing w:val="0"/>
          <w:w w:val="100"/>
          <w:position w:val="0"/>
        </w:rPr>
        <w:t>2）</w:t>
        <w:tab/>
        <w:t>于资产负债表日，按照下列方法对外币货币性项目和外币非货币性项目进行处理：</w:t>
      </w:r>
    </w:p>
    <w:p>
      <w:pPr>
        <w:pStyle w:val="Style18"/>
        <w:keepNext w:val="0"/>
        <w:keepLines w:val="0"/>
        <w:widowControl w:val="0"/>
        <w:numPr>
          <w:ilvl w:val="0"/>
          <w:numId w:val="23"/>
        </w:numPr>
        <w:shd w:val="clear" w:color="auto" w:fill="auto"/>
        <w:tabs>
          <w:tab w:pos="728" w:val="left"/>
        </w:tabs>
        <w:bidi w:val="0"/>
        <w:spacing w:before="0" w:after="0" w:line="312" w:lineRule="exact"/>
        <w:ind w:left="0" w:right="0"/>
        <w:jc w:val="both"/>
      </w:pPr>
      <w:bookmarkStart w:id="836" w:name="bookmark836"/>
      <w:bookmarkEnd w:id="836"/>
      <w:r>
        <w:rPr>
          <w:color w:val="000000"/>
          <w:spacing w:val="0"/>
          <w:w w:val="100"/>
          <w:position w:val="0"/>
        </w:rPr>
        <w:t>外币货币性项目，采用资产负债表日中国人民银行公布的人民币外汇牌价中间价折算。因资产负债表日即期汇率与初 始确认时或者前一资产负债表日即期汇率不同而产生的汇兑差额，计入当期损益。</w:t>
      </w:r>
    </w:p>
    <w:p>
      <w:pPr>
        <w:pStyle w:val="Style18"/>
        <w:keepNext w:val="0"/>
        <w:keepLines w:val="0"/>
        <w:widowControl w:val="0"/>
        <w:numPr>
          <w:ilvl w:val="0"/>
          <w:numId w:val="23"/>
        </w:numPr>
        <w:shd w:val="clear" w:color="auto" w:fill="auto"/>
        <w:tabs>
          <w:tab w:pos="728" w:val="left"/>
        </w:tabs>
        <w:bidi w:val="0"/>
        <w:spacing w:before="0" w:after="0" w:line="312" w:lineRule="exact"/>
        <w:ind w:left="0" w:right="0"/>
        <w:jc w:val="both"/>
      </w:pPr>
      <w:bookmarkStart w:id="837" w:name="bookmark837"/>
      <w:bookmarkEnd w:id="837"/>
      <w:r>
        <w:rPr>
          <w:color w:val="000000"/>
          <w:spacing w:val="0"/>
          <w:w w:val="100"/>
          <w:position w:val="0"/>
        </w:rPr>
        <w:t>以历史成本计量的外币非货币性项目，仍采用交易发生日的即期汇率折算，不改变其记账本位币金额；以公允价值计 量的外币非货币性项目，采用公允价值确定日的即期汇率折算，折算后的记账本位币金额与原记账本位币金额的差额，作为 公允价值变动（含汇率变动）处理，并根据非货币性项目的性质计入当期损益或其他综合收益。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货币性项目，是指公司持有的货币资金和将以固定或可确定的金额收取的资产或者偿付的负债。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非货币性项目，是指货币性项目以外的项目。</w:t>
      </w:r>
    </w:p>
    <w:p>
      <w:pPr>
        <w:pStyle w:val="Style18"/>
        <w:keepNext w:val="0"/>
        <w:keepLines w:val="0"/>
        <w:widowControl w:val="0"/>
        <w:shd w:val="clear" w:color="auto" w:fill="auto"/>
        <w:tabs>
          <w:tab w:pos="820" w:val="left"/>
        </w:tabs>
        <w:bidi w:val="0"/>
        <w:spacing w:before="0" w:after="0" w:line="312" w:lineRule="exact"/>
        <w:ind w:left="0" w:right="0"/>
        <w:jc w:val="both"/>
      </w:pPr>
      <w:bookmarkStart w:id="838" w:name="bookmark838"/>
      <w:r>
        <w:rPr>
          <w:color w:val="000000"/>
          <w:spacing w:val="0"/>
          <w:w w:val="100"/>
          <w:position w:val="0"/>
        </w:rPr>
        <w:t>（</w:t>
      </w:r>
      <w:bookmarkEnd w:id="838"/>
      <w:r>
        <w:rPr>
          <w:color w:val="000000"/>
          <w:spacing w:val="0"/>
          <w:w w:val="100"/>
          <w:position w:val="0"/>
        </w:rPr>
        <w:t>3）</w:t>
        <w:tab/>
        <w:t>境外经营实体的外币财务报表的折算方法：</w:t>
      </w:r>
    </w:p>
    <w:p>
      <w:pPr>
        <w:pStyle w:val="Style18"/>
        <w:keepNext w:val="0"/>
        <w:keepLines w:val="0"/>
        <w:widowControl w:val="0"/>
        <w:numPr>
          <w:ilvl w:val="0"/>
          <w:numId w:val="25"/>
        </w:numPr>
        <w:shd w:val="clear" w:color="auto" w:fill="auto"/>
        <w:tabs>
          <w:tab w:pos="728" w:val="left"/>
        </w:tabs>
        <w:bidi w:val="0"/>
        <w:spacing w:before="0" w:after="0" w:line="312" w:lineRule="exact"/>
        <w:ind w:left="0" w:right="0"/>
        <w:jc w:val="both"/>
      </w:pPr>
      <w:bookmarkStart w:id="839" w:name="bookmark839"/>
      <w:bookmarkEnd w:id="839"/>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 项目采用发生时的即期汇率折算；</w:t>
      </w:r>
    </w:p>
    <w:p>
      <w:pPr>
        <w:pStyle w:val="Style18"/>
        <w:keepNext w:val="0"/>
        <w:keepLines w:val="0"/>
        <w:widowControl w:val="0"/>
        <w:numPr>
          <w:ilvl w:val="0"/>
          <w:numId w:val="25"/>
        </w:numPr>
        <w:shd w:val="clear" w:color="auto" w:fill="auto"/>
        <w:tabs>
          <w:tab w:pos="753" w:val="left"/>
        </w:tabs>
        <w:bidi w:val="0"/>
        <w:spacing w:before="0" w:after="0" w:line="312" w:lineRule="exact"/>
        <w:ind w:left="0" w:right="0"/>
        <w:jc w:val="both"/>
      </w:pPr>
      <w:bookmarkStart w:id="840" w:name="bookmark840"/>
      <w:bookmarkEnd w:id="840"/>
      <w:r>
        <w:rPr>
          <w:color w:val="000000"/>
          <w:spacing w:val="0"/>
          <w:w w:val="100"/>
          <w:position w:val="0"/>
        </w:rPr>
        <w:t>利润表中的收入和费用项目，采用按照系统合理的方法确定的、与交易发生日即期汇率近似的汇率折算；</w:t>
      </w:r>
    </w:p>
    <w:p>
      <w:pPr>
        <w:pStyle w:val="Style18"/>
        <w:keepNext w:val="0"/>
        <w:keepLines w:val="0"/>
        <w:widowControl w:val="0"/>
        <w:numPr>
          <w:ilvl w:val="0"/>
          <w:numId w:val="25"/>
        </w:numPr>
        <w:shd w:val="clear" w:color="auto" w:fill="auto"/>
        <w:tabs>
          <w:tab w:pos="753" w:val="left"/>
        </w:tabs>
        <w:bidi w:val="0"/>
        <w:spacing w:before="0" w:after="0" w:line="312" w:lineRule="exact"/>
        <w:ind w:left="0" w:right="0"/>
        <w:jc w:val="both"/>
      </w:pPr>
      <w:bookmarkStart w:id="841" w:name="bookmark841"/>
      <w:bookmarkEnd w:id="841"/>
      <w:r>
        <w:rPr>
          <w:color w:val="000000"/>
          <w:spacing w:val="0"/>
          <w:w w:val="100"/>
          <w:position w:val="0"/>
        </w:rPr>
        <w:t>按照上述①、②折算产生的外币财务报表折算差额，在资产负债表中所有者权益项目下单独列示。</w:t>
      </w:r>
    </w:p>
    <w:p>
      <w:pPr>
        <w:pStyle w:val="Style18"/>
        <w:keepNext w:val="0"/>
        <w:keepLines w:val="0"/>
        <w:widowControl w:val="0"/>
        <w:shd w:val="clear" w:color="auto" w:fill="auto"/>
        <w:tabs>
          <w:tab w:pos="820" w:val="left"/>
        </w:tabs>
        <w:bidi w:val="0"/>
        <w:spacing w:before="0" w:after="0" w:line="312" w:lineRule="exact"/>
        <w:ind w:left="0" w:right="0"/>
        <w:jc w:val="both"/>
      </w:pPr>
      <w:bookmarkStart w:id="842" w:name="bookmark842"/>
      <w:r>
        <w:rPr>
          <w:color w:val="000000"/>
          <w:spacing w:val="0"/>
          <w:w w:val="100"/>
          <w:position w:val="0"/>
        </w:rPr>
        <w:t>（</w:t>
      </w:r>
      <w:bookmarkEnd w:id="842"/>
      <w:r>
        <w:rPr>
          <w:color w:val="000000"/>
          <w:spacing w:val="0"/>
          <w:w w:val="100"/>
          <w:position w:val="0"/>
        </w:rPr>
        <w:t>4）</w:t>
        <w:tab/>
        <w:t>公司对处于恶性通货膨胀经济中的境外经营的财务报表，按照下列方法进行折算：</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对资产负债表项目运用一般物价指数予以重述，对利润表项目运用一般物价指数变动予以重述，再按照最近资产负债表 日的即期汇率进行折算。</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在境外经营不再处于恶性通货膨胀经济中时，停止重述，按照停止之日的价格水平重述的财务报表进行折算。</w:t>
      </w:r>
    </w:p>
    <w:p>
      <w:pPr>
        <w:pStyle w:val="Style18"/>
        <w:keepNext w:val="0"/>
        <w:keepLines w:val="0"/>
        <w:widowControl w:val="0"/>
        <w:shd w:val="clear" w:color="auto" w:fill="auto"/>
        <w:tabs>
          <w:tab w:pos="901" w:val="left"/>
        </w:tabs>
        <w:bidi w:val="0"/>
        <w:spacing w:before="0" w:after="720" w:line="314" w:lineRule="exact"/>
        <w:ind w:left="0" w:right="0"/>
        <w:jc w:val="both"/>
      </w:pPr>
      <w:bookmarkStart w:id="843" w:name="bookmark843"/>
      <w:r>
        <w:rPr>
          <w:color w:val="000000"/>
          <w:spacing w:val="0"/>
          <w:w w:val="100"/>
          <w:position w:val="0"/>
        </w:rPr>
        <w:t>（</w:t>
      </w:r>
      <w:bookmarkEnd w:id="843"/>
      <w:r>
        <w:rPr>
          <w:color w:val="000000"/>
          <w:spacing w:val="0"/>
          <w:w w:val="100"/>
          <w:position w:val="0"/>
        </w:rPr>
        <w:t>5）</w:t>
        <w:tab/>
        <w:t>公司在处置境外经营时，将资产负债表中所有者权益项目下列示的、与该境外经营相关的外币财务报表折算差额， 自所有者权益项目转入处置当期损益；部分处置境外经营的，按处置的比例计算处置部分的外币财务报表折算差额，转入处 置当期损益。</w:t>
      </w:r>
    </w:p>
    <w:p>
      <w:pPr>
        <w:pStyle w:val="Style27"/>
        <w:keepNext/>
        <w:keepLines/>
        <w:widowControl w:val="0"/>
        <w:shd w:val="clear" w:color="auto" w:fill="auto"/>
        <w:bidi w:val="0"/>
        <w:spacing w:before="0" w:after="26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44"/>
      <w:bookmarkEnd w:id="845"/>
      <w:bookmarkEnd w:id="847"/>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金融工具，是指形成一方的金融资产并形成其他方的金融负债或权益工具的合同。当公司成为金融工具合同的一方时， 确认相关的金融资产或金融负债。</w:t>
      </w:r>
    </w:p>
    <w:p>
      <w:pPr>
        <w:pStyle w:val="Style18"/>
        <w:keepNext w:val="0"/>
        <w:keepLines w:val="0"/>
        <w:widowControl w:val="0"/>
        <w:shd w:val="clear" w:color="auto" w:fill="auto"/>
        <w:bidi w:val="0"/>
        <w:spacing w:before="0" w:after="0" w:line="312" w:lineRule="exact"/>
        <w:ind w:left="0" w:right="0"/>
        <w:jc w:val="both"/>
      </w:pPr>
      <w:bookmarkStart w:id="848" w:name="bookmark848"/>
      <w:r>
        <w:rPr>
          <w:color w:val="000000"/>
          <w:spacing w:val="0"/>
          <w:w w:val="100"/>
          <w:position w:val="0"/>
        </w:rPr>
        <w:t>（</w:t>
      </w:r>
      <w:bookmarkEnd w:id="848"/>
      <w:r>
        <w:rPr>
          <w:color w:val="000000"/>
          <w:spacing w:val="0"/>
          <w:w w:val="100"/>
          <w:position w:val="0"/>
        </w:rPr>
        <w:t>1）金融资产</w:t>
      </w:r>
    </w:p>
    <w:p>
      <w:pPr>
        <w:pStyle w:val="Style18"/>
        <w:keepNext w:val="0"/>
        <w:keepLines w:val="0"/>
        <w:widowControl w:val="0"/>
        <w:numPr>
          <w:ilvl w:val="0"/>
          <w:numId w:val="27"/>
        </w:numPr>
        <w:shd w:val="clear" w:color="auto" w:fill="auto"/>
        <w:bidi w:val="0"/>
        <w:spacing w:before="0" w:after="0" w:line="312" w:lineRule="exact"/>
        <w:ind w:left="0" w:right="0"/>
        <w:jc w:val="both"/>
      </w:pPr>
      <w:bookmarkStart w:id="849" w:name="bookmark849"/>
      <w:bookmarkEnd w:id="849"/>
      <w:r>
        <w:rPr>
          <w:color w:val="000000"/>
          <w:spacing w:val="0"/>
          <w:w w:val="100"/>
          <w:position w:val="0"/>
        </w:rPr>
        <w:t>分类和初始计量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公司根据管理金融资产的业务模式和金融资产的合同现金流量特征，将金融资产划分为：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以摊余成本计量的金融资产；</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以公允价值计量且其变动计入其他综合收益的金融资产；</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以公允价值计量且其变动计入当期损益的金融资产。</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18"/>
        <w:keepNext w:val="0"/>
        <w:keepLines w:val="0"/>
        <w:widowControl w:val="0"/>
        <w:shd w:val="clear" w:color="auto" w:fill="auto"/>
        <w:bidi w:val="0"/>
        <w:spacing w:before="0" w:after="0" w:line="312" w:lineRule="exact"/>
        <w:ind w:left="0" w:right="0"/>
        <w:jc w:val="both"/>
      </w:pPr>
      <w:bookmarkStart w:id="850" w:name="bookmark850"/>
      <w:r>
        <w:rPr>
          <w:color w:val="000000"/>
          <w:spacing w:val="0"/>
          <w:w w:val="100"/>
          <w:position w:val="0"/>
        </w:rPr>
        <w:t>1</w:t>
      </w:r>
      <w:bookmarkEnd w:id="850"/>
      <w:r>
        <w:rPr>
          <w:color w:val="000000"/>
          <w:spacing w:val="0"/>
          <w:w w:val="100"/>
          <w:position w:val="0"/>
        </w:rPr>
        <w:t>）债务工具</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公司持有的债务工具是指从发行方角度分析符合金融负债定义的工具，分别采用以下三种方式进行计量：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&lt;1&gt;以摊余成本计量：</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公司管理此类金融资产的业务模式为以收取合同现金流量为目标，且此类金融资产的合同现金流量特征与基本借贷安排 相一致，即在特定日期产生的现金流量，仅为对本金和以未偿付本金金额为基础的利息的支付。公司对于此类金融资产按照 </w:t>
      </w:r>
      <w:r>
        <w:rPr>
          <w:color w:val="000000"/>
          <w:spacing w:val="0"/>
          <w:w w:val="100"/>
          <w:position w:val="0"/>
        </w:rPr>
        <w:t>实际利率法确认利息收入。此类金融资产主要包括货币资金、应收票据及应收账款、其他应收款、债权投资和长期应收款等。 公司将自资产负债表日起一年内（含一年到期的债权投资和长期应收款，列示为一年内到期的非流动资产；取得时期限在一 年内（含一年）的债权投资列示为其他流动资产。</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&lt;2&gt;以公允价值计量且其变动计入其他综合收益：</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公司管理此类金融资产的业务模式为既以收取合同现金流量为目标又以出售为目标，且此类金融资产的合同现金流量特 征与基本借贷安排相一致。此类金融资产按照公允价值计量且其变动计入其他综合收益，但减值损失或利得、汇兑损益和按 照实际利率法计算的利息收入计入当期损益。此类金融资产列示为其他债权投资，自资产负债表日起一年内（含一年）到期的 其他债权投资，列示为一年内到期的非流动资产；取得时期限在一年内（含一年）的其他债权投资列示为其他流动资产。</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&lt;3&gt;以公允价值计量且其变动计入当期损益：</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公司将持有的未划分为以摊余成本计量和以公允价值计量且其变动计入其他综合收益的债务工具，以公允价值计量且其 变动计入当期损益，列示为交易性金融资产。自资产负债表日起超过一年到期且预期持有超过一年的，列示为其他非流动金 融资产。</w:t>
      </w:r>
    </w:p>
    <w:p>
      <w:pPr>
        <w:pStyle w:val="Style18"/>
        <w:keepNext w:val="0"/>
        <w:keepLines w:val="0"/>
        <w:widowControl w:val="0"/>
        <w:shd w:val="clear" w:color="auto" w:fill="auto"/>
        <w:bidi w:val="0"/>
        <w:spacing w:before="0" w:after="0" w:line="313" w:lineRule="exact"/>
        <w:ind w:left="0" w:right="0" w:firstLine="360"/>
        <w:jc w:val="both"/>
      </w:pPr>
      <w:bookmarkStart w:id="851" w:name="bookmark851"/>
      <w:r>
        <w:rPr>
          <w:color w:val="000000"/>
          <w:spacing w:val="0"/>
          <w:w w:val="100"/>
          <w:position w:val="0"/>
        </w:rPr>
        <w:t>2</w:t>
      </w:r>
      <w:bookmarkEnd w:id="851"/>
      <w:r>
        <w:rPr>
          <w:color w:val="000000"/>
          <w:spacing w:val="0"/>
          <w:w w:val="100"/>
          <w:position w:val="0"/>
        </w:rPr>
        <w:t>）权益工具</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公司将对其没有控制、共同控制和重大影响的权益工具投资按照公允价值计量且其变动计入当期损益，列示为交易性金 融资产；自资产负债表日起预期持有超过一年的，列示为其他非流动金融资产。</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此外，公司将部分非交易性权益工具投资指定为以公允价值计量且其变动计入其他综合收益的金融资产，列示为其他权 益工具投资。该类金融资产的相关股利收入计入当期损益。</w:t>
      </w:r>
    </w:p>
    <w:p>
      <w:pPr>
        <w:pStyle w:val="Style18"/>
        <w:keepNext w:val="0"/>
        <w:keepLines w:val="0"/>
        <w:widowControl w:val="0"/>
        <w:numPr>
          <w:ilvl w:val="0"/>
          <w:numId w:val="27"/>
        </w:numPr>
        <w:shd w:val="clear" w:color="auto" w:fill="auto"/>
        <w:bidi w:val="0"/>
        <w:spacing w:before="0" w:after="0" w:line="313" w:lineRule="exact"/>
        <w:ind w:left="0" w:right="0" w:firstLine="360"/>
        <w:jc w:val="both"/>
      </w:pPr>
      <w:bookmarkStart w:id="852" w:name="bookmark852"/>
      <w:bookmarkEnd w:id="852"/>
      <w:r>
        <w:rPr>
          <w:color w:val="000000"/>
          <w:spacing w:val="0"/>
          <w:w w:val="100"/>
          <w:position w:val="0"/>
        </w:rPr>
        <w:t>减值</w:t>
      </w:r>
    </w:p>
    <w:p>
      <w:pPr>
        <w:pStyle w:val="Style1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公司对于以摊余成本计量的金融资产、以公允价值计量且其变动计入其他综合收益的债务工具投资和财务担保合同等， 以预期信用损失为基础确认损失准备。公司考虑有关过去事项、当前状况以及对未来经济状况的预测等合理且有依据的信息， 以发生违约的风险为权重，计算合同应收的现金流量与预期能收到的现金流量之间差额的现值的概率加权金额，确认预期信 用损失。</w:t>
      </w:r>
    </w:p>
    <w:p>
      <w:pPr>
        <w:pStyle w:val="Style1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于每个资产负债表日，公司对于处于不同阶段的金融工具的预期信用损失分别进行计量。金融工具自初始确认后信用风 险未显著增加的，处于第一阶段，公司按照未来12个月内的预期信用损失计量损失准备；金融工具自初始确认后信用风险已 显著增加但尚未发生信用减值的，处于第二阶段，公司按照该工具整个存续期的预期信用损失计量损失准备；金融工具自初 始确认后已经发生信用减值的，处于第三阶段，公司按照该工具整个存续期的预期信用损失计量损失准备。</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对于在资产负债表日具有较低信用风险的金融工具，公司假设其信用风险自初始确认后并未显著增加，按照未来12个月 内的预期信用损失计量损失准备。</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公司对于处于第一阶段和第二阶段、以及较低信用风险的金融工具，按照其未扣除减值准备的账面余额和实际利率计算 利息收入。对于处于第三阶段的金融工具，按照其账面余额减已计提减值准备后的摊余成本和实际利率计算利息收入。</w:t>
      </w:r>
    </w:p>
    <w:p>
      <w:pPr>
        <w:pStyle w:val="Style18"/>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对于因销售商品、提供劳务等日常经营活动形成的应收票据、应收账款、合同资产和应收款项融资，无论是否存在重大 融资成分，公司均可以按照整个存续期的预期信用损失计量损失准备。</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因预付款项无法收回转入的其他应收款，公司作为处于第三阶段的金融工具，按照整个存续期的预期信用损失计量损失 准备。</w:t>
      </w:r>
    </w:p>
    <w:p>
      <w:pPr>
        <w:pStyle w:val="Style18"/>
        <w:keepNext w:val="0"/>
        <w:keepLines w:val="0"/>
        <w:widowControl w:val="0"/>
        <w:shd w:val="clear" w:color="auto" w:fill="auto"/>
        <w:bidi w:val="0"/>
        <w:spacing w:before="0" w:after="80" w:line="307" w:lineRule="exact"/>
        <w:ind w:left="0" w:right="0" w:firstLine="360"/>
        <w:jc w:val="both"/>
      </w:pPr>
      <w:r>
        <w:rPr>
          <w:color w:val="000000"/>
          <w:spacing w:val="0"/>
          <w:w w:val="100"/>
          <w:position w:val="0"/>
        </w:rPr>
        <w:t>当单项金融资产无法以合理成本评估预期信用损失的信息时，公司依据信用风险特征将应收款项划分为若干组合，在组 合基础上计算预期信用损失，确定组合的依据如下：</w:t>
      </w:r>
    </w:p>
    <w:tbl>
      <w:tblPr>
        <w:tblOverlap w:val="never"/>
        <w:jc w:val="left"/>
        <w:tblLayout w:type="fixed"/>
      </w:tblPr>
      <w:tblGrid>
        <w:gridCol w:w="4536"/>
        <w:gridCol w:w="4541"/>
      </w:tblGrid>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应收合并范围内公司款项</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按行业类型及客户信用等级组合分类的客户</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组合四</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其他应收款项</w:t>
            </w:r>
          </w:p>
        </w:tc>
      </w:tr>
    </w:tbl>
    <w:p>
      <w:pPr>
        <w:pStyle w:val="Style18"/>
        <w:keepNext w:val="0"/>
        <w:keepLines w:val="0"/>
        <w:widowControl w:val="0"/>
        <w:shd w:val="clear" w:color="auto" w:fill="auto"/>
        <w:bidi w:val="0"/>
        <w:spacing w:before="0" w:after="40" w:line="312" w:lineRule="exact"/>
        <w:ind w:left="0" w:right="0"/>
        <w:jc w:val="left"/>
      </w:pPr>
      <w:r>
        <w:rPr>
          <w:color w:val="000000"/>
          <w:spacing w:val="0"/>
          <w:w w:val="100"/>
          <w:position w:val="0"/>
        </w:rPr>
        <w:t>对于划分为组合的应收账款，公司参考历史信用损失经验，结合当前状况以及对未来经济状况的预测，编制应收账款客 户信用等级与整个存续预期信用损失率对照表，计算预期信用损失。</w:t>
      </w:r>
    </w:p>
    <w:p>
      <w:pPr>
        <w:pStyle w:val="Style18"/>
        <w:keepNext w:val="0"/>
        <w:keepLines w:val="0"/>
        <w:widowControl w:val="0"/>
        <w:shd w:val="clear" w:color="auto" w:fill="auto"/>
        <w:bidi w:val="0"/>
        <w:spacing w:before="0" w:after="40" w:line="309" w:lineRule="exact"/>
        <w:ind w:left="0" w:right="0"/>
        <w:jc w:val="left"/>
      </w:pPr>
      <w:r>
        <w:rPr>
          <w:color w:val="000000"/>
          <w:spacing w:val="0"/>
          <w:w w:val="100"/>
          <w:position w:val="0"/>
        </w:rPr>
        <w:t>对于划分为组合的因销售商品、提供劳务等日常经营活动形成的应收票据和应收款项融资，公司参考历史信用损失经验， 结合当前状况以及对未来经济状况的预测，通过违约风险敞口和整个存续期预期信用损失率，计算预期信用损失。除此以外 的应收票据、应收款项融资和划分为组合的其他应收款，公司参考历史信用损失经验，结合当前状况以及对未来经济状况的 预测，通过违约风险敞口和未来12个月内或整个存续期预期信用损失率，计算预期信用损失。</w:t>
      </w:r>
    </w:p>
    <w:p>
      <w:pPr>
        <w:pStyle w:val="Style18"/>
        <w:keepNext w:val="0"/>
        <w:keepLines w:val="0"/>
        <w:widowControl w:val="0"/>
        <w:shd w:val="clear" w:color="auto" w:fill="auto"/>
        <w:bidi w:val="0"/>
        <w:spacing w:before="0" w:after="40" w:line="312" w:lineRule="exact"/>
        <w:ind w:left="0" w:right="0"/>
        <w:jc w:val="left"/>
      </w:pPr>
      <w:r>
        <w:rPr>
          <w:color w:val="000000"/>
          <w:spacing w:val="0"/>
          <w:w w:val="100"/>
          <w:position w:val="0"/>
        </w:rPr>
        <w:t>公司将计提或转回的损失准备计入当期损益。</w:t>
      </w:r>
    </w:p>
    <w:p>
      <w:pPr>
        <w:pStyle w:val="Style18"/>
        <w:keepNext w:val="0"/>
        <w:keepLines w:val="0"/>
        <w:widowControl w:val="0"/>
        <w:numPr>
          <w:ilvl w:val="0"/>
          <w:numId w:val="27"/>
        </w:numPr>
        <w:shd w:val="clear" w:color="auto" w:fill="auto"/>
        <w:tabs>
          <w:tab w:pos="734" w:val="left"/>
        </w:tabs>
        <w:bidi w:val="0"/>
        <w:spacing w:before="0" w:after="40" w:line="312" w:lineRule="exact"/>
        <w:ind w:left="0" w:right="0"/>
        <w:jc w:val="both"/>
      </w:pPr>
      <w:bookmarkStart w:id="853" w:name="bookmark853"/>
      <w:bookmarkEnd w:id="853"/>
      <w:r>
        <w:rPr>
          <w:color w:val="000000"/>
          <w:spacing w:val="0"/>
          <w:w w:val="100"/>
          <w:position w:val="0"/>
        </w:rPr>
        <w:t>终止确认</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金融资产满足下列条件之一的，予以终止确认：</w:t>
      </w:r>
    </w:p>
    <w:p>
      <w:pPr>
        <w:pStyle w:val="Style18"/>
        <w:keepNext w:val="0"/>
        <w:keepLines w:val="0"/>
        <w:widowControl w:val="0"/>
        <w:shd w:val="clear" w:color="auto" w:fill="auto"/>
        <w:tabs>
          <w:tab w:pos="710" w:val="left"/>
        </w:tabs>
        <w:bidi w:val="0"/>
        <w:spacing w:before="0" w:after="40" w:line="312" w:lineRule="exact"/>
        <w:ind w:left="0" w:right="0"/>
        <w:jc w:val="both"/>
      </w:pPr>
      <w:bookmarkStart w:id="854" w:name="bookmark854"/>
      <w:r>
        <w:rPr>
          <w:color w:val="000000"/>
          <w:spacing w:val="0"/>
          <w:w w:val="100"/>
          <w:position w:val="0"/>
        </w:rPr>
        <w:t>1</w:t>
      </w:r>
      <w:bookmarkEnd w:id="854"/>
      <w:r>
        <w:rPr>
          <w:color w:val="000000"/>
          <w:spacing w:val="0"/>
          <w:w w:val="100"/>
          <w:position w:val="0"/>
        </w:rPr>
        <w:t>）</w:t>
        <w:tab/>
        <w:t>收取该金融资产现金流量的合同权利终止；</w:t>
      </w:r>
    </w:p>
    <w:p>
      <w:pPr>
        <w:pStyle w:val="Style18"/>
        <w:keepNext w:val="0"/>
        <w:keepLines w:val="0"/>
        <w:widowControl w:val="0"/>
        <w:shd w:val="clear" w:color="auto" w:fill="auto"/>
        <w:tabs>
          <w:tab w:pos="719" w:val="left"/>
        </w:tabs>
        <w:bidi w:val="0"/>
        <w:spacing w:before="0" w:after="40" w:line="312" w:lineRule="exact"/>
        <w:ind w:left="0" w:right="0"/>
        <w:jc w:val="both"/>
      </w:pPr>
      <w:bookmarkStart w:id="855" w:name="bookmark855"/>
      <w:r>
        <w:rPr>
          <w:color w:val="000000"/>
          <w:spacing w:val="0"/>
          <w:w w:val="100"/>
          <w:position w:val="0"/>
        </w:rPr>
        <w:t>2</w:t>
      </w:r>
      <w:bookmarkEnd w:id="855"/>
      <w:r>
        <w:rPr>
          <w:color w:val="000000"/>
          <w:spacing w:val="0"/>
          <w:w w:val="100"/>
          <w:position w:val="0"/>
        </w:rPr>
        <w:t>）</w:t>
        <w:tab/>
        <w:t>该金融资产已转移，且公司将金融资产所有权上几乎所有的风险和报酬转移给转入方；</w:t>
      </w:r>
    </w:p>
    <w:p>
      <w:pPr>
        <w:pStyle w:val="Style18"/>
        <w:keepNext w:val="0"/>
        <w:keepLines w:val="0"/>
        <w:widowControl w:val="0"/>
        <w:shd w:val="clear" w:color="auto" w:fill="auto"/>
        <w:tabs>
          <w:tab w:pos="694" w:val="left"/>
        </w:tabs>
        <w:bidi w:val="0"/>
        <w:spacing w:before="0" w:after="40" w:line="322" w:lineRule="exact"/>
        <w:ind w:left="0" w:right="0"/>
        <w:jc w:val="both"/>
      </w:pPr>
      <w:bookmarkStart w:id="856" w:name="bookmark856"/>
      <w:r>
        <w:rPr>
          <w:color w:val="000000"/>
          <w:spacing w:val="0"/>
          <w:w w:val="100"/>
          <w:position w:val="0"/>
        </w:rPr>
        <w:t>3</w:t>
      </w:r>
      <w:bookmarkEnd w:id="856"/>
      <w:r>
        <w:rPr>
          <w:color w:val="000000"/>
          <w:spacing w:val="0"/>
          <w:w w:val="100"/>
          <w:position w:val="0"/>
        </w:rPr>
        <w:t>）</w:t>
        <w:tab/>
        <w:t>该金融资产已转移，虽然公司既没有转移也没有保留金融资产所有权上几乎所有的风险和报酬，但是放弃了对该金 融资产控制。</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其他权益工具投资终止确认时，其账面价值与收到的对价以及原直接计入其他综合收益的公允价值变动累计额之和的差 额，计入留存收益；其余金融资产终止确认时，其账面价值与收到的对价以及原直接计入其他综合收益的公允价值变动累计 额之和的差额，计入当期损益。</w:t>
      </w:r>
    </w:p>
    <w:p>
      <w:pPr>
        <w:pStyle w:val="Style18"/>
        <w:keepNext w:val="0"/>
        <w:keepLines w:val="0"/>
        <w:widowControl w:val="0"/>
        <w:numPr>
          <w:ilvl w:val="0"/>
          <w:numId w:val="27"/>
        </w:numPr>
        <w:shd w:val="clear" w:color="auto" w:fill="auto"/>
        <w:tabs>
          <w:tab w:pos="734" w:val="left"/>
        </w:tabs>
        <w:bidi w:val="0"/>
        <w:spacing w:before="0" w:after="40" w:line="312" w:lineRule="exact"/>
        <w:ind w:left="0" w:right="0"/>
        <w:jc w:val="both"/>
      </w:pPr>
      <w:bookmarkStart w:id="857" w:name="bookmark857"/>
      <w:bookmarkEnd w:id="857"/>
      <w:r>
        <w:rPr>
          <w:color w:val="000000"/>
          <w:spacing w:val="0"/>
          <w:w w:val="100"/>
          <w:position w:val="0"/>
        </w:rPr>
        <w:t>金融资产的核销</w:t>
      </w:r>
    </w:p>
    <w:p>
      <w:pPr>
        <w:pStyle w:val="Style18"/>
        <w:keepNext w:val="0"/>
        <w:keepLines w:val="0"/>
        <w:widowControl w:val="0"/>
        <w:shd w:val="clear" w:color="auto" w:fill="auto"/>
        <w:bidi w:val="0"/>
        <w:spacing w:before="0" w:after="40" w:line="314" w:lineRule="exact"/>
        <w:ind w:left="0" w:right="0"/>
        <w:jc w:val="both"/>
      </w:pPr>
      <w:r>
        <w:rPr>
          <w:color w:val="000000"/>
          <w:spacing w:val="0"/>
          <w:w w:val="100"/>
          <w:position w:val="0"/>
        </w:rPr>
        <w:t>如果公司及其子公司不再合理预期金融资产合同现金流量能够全部或部分收回，则直接减记该金融资产的账面余额。这 种减记构成相关金融资产的终止确认。这种情况通常发生在公司及其子公司确定债务人没有资产或收入来源可产生足够的现 金流量以偿还将被减记的金额。但是，按照公司及其子公司收回到期款项的程序，被减记的金融资产仍可能受到执行活动的 影响。</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已减记的金融资产以后又收回的，作为减值损失的转回计入收回当期的损益。</w:t>
      </w:r>
    </w:p>
    <w:p>
      <w:pPr>
        <w:pStyle w:val="Style18"/>
        <w:keepNext w:val="0"/>
        <w:keepLines w:val="0"/>
        <w:widowControl w:val="0"/>
        <w:shd w:val="clear" w:color="auto" w:fill="auto"/>
        <w:bidi w:val="0"/>
        <w:spacing w:before="0" w:after="40" w:line="312" w:lineRule="exact"/>
        <w:ind w:left="0" w:right="0"/>
        <w:jc w:val="both"/>
      </w:pPr>
      <w:bookmarkStart w:id="858" w:name="bookmark858"/>
      <w:r>
        <w:rPr>
          <w:color w:val="000000"/>
          <w:spacing w:val="0"/>
          <w:w w:val="100"/>
          <w:position w:val="0"/>
        </w:rPr>
        <w:t>（</w:t>
      </w:r>
      <w:bookmarkEnd w:id="858"/>
      <w:r>
        <w:rPr>
          <w:color w:val="000000"/>
          <w:spacing w:val="0"/>
          <w:w w:val="100"/>
          <w:position w:val="0"/>
        </w:rPr>
        <w:t>2）金融负债</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金融负债于初始确认时分类为以摊余成本计量的金融负债和以公允价值计量且其变动计入当期损益的金融负债。</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除下列各项外，公司将金融负债分类为以摊余成本计量的金融负债：</w:t>
      </w:r>
    </w:p>
    <w:p>
      <w:pPr>
        <w:pStyle w:val="Style18"/>
        <w:keepNext w:val="0"/>
        <w:keepLines w:val="0"/>
        <w:widowControl w:val="0"/>
        <w:numPr>
          <w:ilvl w:val="0"/>
          <w:numId w:val="29"/>
        </w:numPr>
        <w:shd w:val="clear" w:color="auto" w:fill="auto"/>
        <w:tabs>
          <w:tab w:pos="704" w:val="left"/>
        </w:tabs>
        <w:bidi w:val="0"/>
        <w:spacing w:before="0" w:after="40" w:line="312" w:lineRule="exact"/>
        <w:ind w:left="0" w:right="0"/>
        <w:jc w:val="both"/>
      </w:pPr>
      <w:bookmarkStart w:id="859" w:name="bookmark859"/>
      <w:bookmarkEnd w:id="859"/>
      <w:r>
        <w:rPr>
          <w:color w:val="000000"/>
          <w:spacing w:val="0"/>
          <w:w w:val="100"/>
          <w:position w:val="0"/>
        </w:rPr>
        <w:t>以公允价值计量且其变动计入当期损益的金融负债，包括交易性金融负债（含属于金融负债的衍生工具）和指定为以 公允价值计量且其变动计入当期损益的金融负债。</w:t>
      </w:r>
    </w:p>
    <w:p>
      <w:pPr>
        <w:pStyle w:val="Style18"/>
        <w:keepNext w:val="0"/>
        <w:keepLines w:val="0"/>
        <w:widowControl w:val="0"/>
        <w:numPr>
          <w:ilvl w:val="0"/>
          <w:numId w:val="29"/>
        </w:numPr>
        <w:shd w:val="clear" w:color="auto" w:fill="auto"/>
        <w:tabs>
          <w:tab w:pos="734" w:val="left"/>
        </w:tabs>
        <w:bidi w:val="0"/>
        <w:spacing w:before="0" w:after="40" w:line="312" w:lineRule="exact"/>
        <w:ind w:left="0" w:right="0"/>
        <w:jc w:val="both"/>
      </w:pPr>
      <w:bookmarkStart w:id="860" w:name="bookmark860"/>
      <w:bookmarkEnd w:id="860"/>
      <w:r>
        <w:rPr>
          <w:color w:val="000000"/>
          <w:spacing w:val="0"/>
          <w:w w:val="100"/>
          <w:position w:val="0"/>
        </w:rPr>
        <w:t>金融资产转移不符合终止确认条件或继续涉入被转移金融资产所形成的金融负债。</w:t>
      </w:r>
    </w:p>
    <w:p>
      <w:pPr>
        <w:pStyle w:val="Style18"/>
        <w:keepNext w:val="0"/>
        <w:keepLines w:val="0"/>
        <w:widowControl w:val="0"/>
        <w:numPr>
          <w:ilvl w:val="0"/>
          <w:numId w:val="29"/>
        </w:numPr>
        <w:shd w:val="clear" w:color="auto" w:fill="auto"/>
        <w:tabs>
          <w:tab w:pos="709" w:val="left"/>
        </w:tabs>
        <w:bidi w:val="0"/>
        <w:spacing w:before="0" w:after="40" w:line="312" w:lineRule="exact"/>
        <w:ind w:left="0" w:right="0"/>
        <w:jc w:val="both"/>
      </w:pPr>
      <w:bookmarkStart w:id="861" w:name="bookmark861"/>
      <w:bookmarkEnd w:id="861"/>
      <w:r>
        <w:rPr>
          <w:color w:val="000000"/>
          <w:spacing w:val="0"/>
          <w:w w:val="100"/>
          <w:position w:val="0"/>
        </w:rPr>
        <w:t>不属于本条第①项或第②项情形的财务担保合同，以及不属于本条第①项情形的以低于市场利率贷款的贷款承诺。在 非同一控制下的企业合并中，公司作为购买方确认的或有对价形成金融负债的，该金融负债按照以公允价值计量且其变动计 入当期损益进行会计处理。</w:t>
      </w:r>
    </w:p>
    <w:p>
      <w:pPr>
        <w:pStyle w:val="Style18"/>
        <w:keepNext w:val="0"/>
        <w:keepLines w:val="0"/>
        <w:widowControl w:val="0"/>
        <w:shd w:val="clear" w:color="auto" w:fill="auto"/>
        <w:bidi w:val="0"/>
        <w:spacing w:before="0" w:after="40" w:line="298" w:lineRule="exact"/>
        <w:ind w:left="0" w:right="0"/>
        <w:jc w:val="both"/>
      </w:pPr>
      <w:r>
        <w:rPr>
          <w:color w:val="000000"/>
          <w:spacing w:val="0"/>
          <w:w w:val="100"/>
          <w:position w:val="0"/>
        </w:rPr>
        <w:t>在初始确认时，为了提供更相关的会计信息，公司可以将金融负债指定为以公允价值计量且其变动计入当期损益的金融 负债，该指定满足下列条件之一：</w:t>
      </w:r>
    </w:p>
    <w:p>
      <w:pPr>
        <w:pStyle w:val="Style18"/>
        <w:keepNext w:val="0"/>
        <w:keepLines w:val="0"/>
        <w:widowControl w:val="0"/>
        <w:shd w:val="clear" w:color="auto" w:fill="auto"/>
        <w:tabs>
          <w:tab w:pos="710" w:val="left"/>
        </w:tabs>
        <w:bidi w:val="0"/>
        <w:spacing w:before="0" w:after="40" w:line="312" w:lineRule="exact"/>
        <w:ind w:left="0" w:right="0"/>
        <w:jc w:val="both"/>
      </w:pPr>
      <w:bookmarkStart w:id="862" w:name="bookmark862"/>
      <w:r>
        <w:rPr>
          <w:color w:val="000000"/>
          <w:spacing w:val="0"/>
          <w:w w:val="100"/>
          <w:position w:val="0"/>
        </w:rPr>
        <w:t>1</w:t>
      </w:r>
      <w:bookmarkEnd w:id="862"/>
      <w:r>
        <w:rPr>
          <w:color w:val="000000"/>
          <w:spacing w:val="0"/>
          <w:w w:val="100"/>
          <w:position w:val="0"/>
        </w:rPr>
        <w:t>）</w:t>
        <w:tab/>
        <w:t>能够消除或显著减少会计错配。</w:t>
      </w:r>
    </w:p>
    <w:p>
      <w:pPr>
        <w:pStyle w:val="Style18"/>
        <w:keepNext w:val="0"/>
        <w:keepLines w:val="0"/>
        <w:widowControl w:val="0"/>
        <w:shd w:val="clear" w:color="auto" w:fill="auto"/>
        <w:tabs>
          <w:tab w:pos="699" w:val="left"/>
        </w:tabs>
        <w:bidi w:val="0"/>
        <w:spacing w:before="0" w:after="40" w:line="312" w:lineRule="exact"/>
        <w:ind w:left="0" w:right="0"/>
        <w:jc w:val="both"/>
      </w:pPr>
      <w:bookmarkStart w:id="863" w:name="bookmark863"/>
      <w:r>
        <w:rPr>
          <w:color w:val="000000"/>
          <w:spacing w:val="0"/>
          <w:w w:val="100"/>
          <w:position w:val="0"/>
        </w:rPr>
        <w:t>2</w:t>
      </w:r>
      <w:bookmarkEnd w:id="863"/>
      <w:r>
        <w:rPr>
          <w:color w:val="000000"/>
          <w:spacing w:val="0"/>
          <w:w w:val="100"/>
          <w:position w:val="0"/>
        </w:rPr>
        <w:t>）</w:t>
        <w:tab/>
        <w:t>根据正式书面文件载明的企业风险管理或投资策略，以公允价值为基础对金融负债组合或金融资产和金融负债组合 进行管理和业绩评价，并在公司内部以此为基础向关键管理人员报告。该指定一经做出，不得撤销。</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公司的金融负债主要为以摊余成本计量的金融负债，包括应付票据及应付账款、其他应付款、借款及应付债券等。该类 金融负债按其公允价值扣除交易费用后的金额进行初始计量，并采用实际利率法进行后续计量。期限在一年以下（含一年） 的，列示为流动负债；期限在一年以上但自资产负债表日起一年内（含一年）到期的，列示为一年内到期的非流动负债；其 余列示为非流动负债。</w:t>
      </w:r>
    </w:p>
    <w:p>
      <w:pPr>
        <w:pStyle w:val="Style18"/>
        <w:keepNext w:val="0"/>
        <w:keepLines w:val="0"/>
        <w:widowControl w:val="0"/>
        <w:shd w:val="clear" w:color="auto" w:fill="auto"/>
        <w:bidi w:val="0"/>
        <w:spacing w:before="0" w:after="40" w:line="317" w:lineRule="exact"/>
        <w:ind w:left="0" w:right="0"/>
        <w:jc w:val="both"/>
      </w:pPr>
      <w:r>
        <w:rPr>
          <w:color w:val="000000"/>
          <w:spacing w:val="0"/>
          <w:w w:val="100"/>
          <w:position w:val="0"/>
        </w:rPr>
        <w:t>当金融负债的现时义务全部或部分已经解除时，公司终止确认该金融负债或义务已解除的部分。终止确认部分的账面价 值与支付的对价之间的差额，计入当期损益。</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金融负债（或其一部分）的现时义务已经解除的，公司终止确认该金融负债（或该部分金融负债）。</w:t>
      </w:r>
    </w:p>
    <w:p>
      <w:pPr>
        <w:pStyle w:val="Style18"/>
        <w:keepNext w:val="0"/>
        <w:keepLines w:val="0"/>
        <w:widowControl w:val="0"/>
        <w:shd w:val="clear" w:color="auto" w:fill="auto"/>
        <w:tabs>
          <w:tab w:pos="820" w:val="left"/>
        </w:tabs>
        <w:bidi w:val="0"/>
        <w:spacing w:before="0" w:after="0" w:line="315" w:lineRule="exact"/>
        <w:ind w:left="0" w:right="0"/>
        <w:jc w:val="left"/>
      </w:pPr>
      <w:bookmarkStart w:id="864" w:name="bookmark864"/>
      <w:r>
        <w:rPr>
          <w:color w:val="000000"/>
          <w:spacing w:val="0"/>
          <w:w w:val="100"/>
          <w:position w:val="0"/>
        </w:rPr>
        <w:t>（</w:t>
      </w:r>
      <w:bookmarkEnd w:id="864"/>
      <w:r>
        <w:rPr>
          <w:color w:val="000000"/>
          <w:spacing w:val="0"/>
          <w:w w:val="100"/>
          <w:position w:val="0"/>
        </w:rPr>
        <w:t>3）</w:t>
        <w:tab/>
        <w:t>金融工具的公允价值确定</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存在活跃市场的金融工具，以活跃市场中的报价确定其公允价值。不存在活跃市场的金融工具，采用估值技术确定其公 允价值。在估值时，公司采用在当前情况下适用并且有足够可利用数据和其他信息支持的估值技术，选择与市场参与者在相 关资产或负债的交易中所考虑的资产或负债特征相一致的输入值，并尽可能优先使用相关可观察输入值。在相关可观察输入 值无法取得或取得不切实可行的情况下，使用不可观察输入值。</w:t>
      </w:r>
    </w:p>
    <w:p>
      <w:pPr>
        <w:pStyle w:val="Style18"/>
        <w:keepNext w:val="0"/>
        <w:keepLines w:val="0"/>
        <w:widowControl w:val="0"/>
        <w:shd w:val="clear" w:color="auto" w:fill="auto"/>
        <w:tabs>
          <w:tab w:pos="820" w:val="left"/>
        </w:tabs>
        <w:bidi w:val="0"/>
        <w:spacing w:before="0" w:after="0" w:line="315" w:lineRule="exact"/>
        <w:ind w:left="0" w:right="0"/>
        <w:jc w:val="both"/>
      </w:pPr>
      <w:bookmarkStart w:id="865" w:name="bookmark865"/>
      <w:r>
        <w:rPr>
          <w:color w:val="000000"/>
          <w:spacing w:val="0"/>
          <w:w w:val="100"/>
          <w:position w:val="0"/>
        </w:rPr>
        <w:t>（</w:t>
      </w:r>
      <w:bookmarkEnd w:id="865"/>
      <w:r>
        <w:rPr>
          <w:color w:val="000000"/>
          <w:spacing w:val="0"/>
          <w:w w:val="100"/>
          <w:position w:val="0"/>
        </w:rPr>
        <w:t>4）</w:t>
        <w:tab/>
        <w:t>后续计量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初始确认后，公司对不同类别的金融资产，分别以摊余成本、以公允价值计量且其变动计入其他综合收益或以公允价值 计量且其变动计入当期损益进行后续计量。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初始确认后，公司对不同类别的金融负债，分别以摊余成本、以公允价值计量且其变动计入当期损益或以其他适当方法 进行后续计量。</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金融资产或金融负债的摊余成本，以该金融资产或金融负债的初始确认金额经下列调整后的结果确定：</w:t>
      </w:r>
    </w:p>
    <w:p>
      <w:pPr>
        <w:pStyle w:val="Style18"/>
        <w:keepNext w:val="0"/>
        <w:keepLines w:val="0"/>
        <w:widowControl w:val="0"/>
        <w:numPr>
          <w:ilvl w:val="0"/>
          <w:numId w:val="31"/>
        </w:numPr>
        <w:shd w:val="clear" w:color="auto" w:fill="auto"/>
        <w:tabs>
          <w:tab w:pos="753" w:val="left"/>
        </w:tabs>
        <w:bidi w:val="0"/>
        <w:spacing w:before="0" w:after="0" w:line="315" w:lineRule="exact"/>
        <w:ind w:left="0" w:right="0"/>
        <w:jc w:val="both"/>
      </w:pPr>
      <w:bookmarkStart w:id="866" w:name="bookmark866"/>
      <w:bookmarkEnd w:id="866"/>
      <w:r>
        <w:rPr>
          <w:color w:val="000000"/>
          <w:spacing w:val="0"/>
          <w:w w:val="100"/>
          <w:position w:val="0"/>
        </w:rPr>
        <w:t>扣除已偿还的本金。</w:t>
      </w:r>
    </w:p>
    <w:p>
      <w:pPr>
        <w:pStyle w:val="Style18"/>
        <w:keepNext w:val="0"/>
        <w:keepLines w:val="0"/>
        <w:widowControl w:val="0"/>
        <w:numPr>
          <w:ilvl w:val="0"/>
          <w:numId w:val="31"/>
        </w:numPr>
        <w:shd w:val="clear" w:color="auto" w:fill="auto"/>
        <w:tabs>
          <w:tab w:pos="753" w:val="left"/>
        </w:tabs>
        <w:bidi w:val="0"/>
        <w:spacing w:before="0" w:after="0" w:line="315" w:lineRule="exact"/>
        <w:ind w:left="0" w:right="0"/>
        <w:jc w:val="both"/>
      </w:pPr>
      <w:bookmarkStart w:id="867" w:name="bookmark867"/>
      <w:bookmarkEnd w:id="867"/>
      <w:r>
        <w:rPr>
          <w:color w:val="000000"/>
          <w:spacing w:val="0"/>
          <w:w w:val="100"/>
          <w:position w:val="0"/>
        </w:rPr>
        <w:t>加上或减去采用实际利率法将该初始确认金额与到期日金额之间的差额进行摊销形成的累计摊销额。</w:t>
      </w:r>
    </w:p>
    <w:p>
      <w:pPr>
        <w:pStyle w:val="Style18"/>
        <w:keepNext w:val="0"/>
        <w:keepLines w:val="0"/>
        <w:widowControl w:val="0"/>
        <w:numPr>
          <w:ilvl w:val="0"/>
          <w:numId w:val="31"/>
        </w:numPr>
        <w:shd w:val="clear" w:color="auto" w:fill="auto"/>
        <w:tabs>
          <w:tab w:pos="753" w:val="left"/>
        </w:tabs>
        <w:bidi w:val="0"/>
        <w:spacing w:before="0" w:after="0" w:line="315" w:lineRule="exact"/>
        <w:ind w:left="0" w:right="0"/>
        <w:jc w:val="both"/>
      </w:pPr>
      <w:bookmarkStart w:id="868" w:name="bookmark868"/>
      <w:bookmarkEnd w:id="868"/>
      <w:r>
        <w:rPr>
          <w:color w:val="000000"/>
          <w:spacing w:val="0"/>
          <w:w w:val="100"/>
          <w:position w:val="0"/>
        </w:rPr>
        <w:t>扣除累计计提的损失准备（仅适用于金融资产）。</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公司按照实际利率法确认利息收入。利息收入根据金融资产账面余额乘以实际利率计算确定，但下列情况除外：</w:t>
      </w:r>
    </w:p>
    <w:p>
      <w:pPr>
        <w:pStyle w:val="Style18"/>
        <w:keepNext w:val="0"/>
        <w:keepLines w:val="0"/>
        <w:widowControl w:val="0"/>
        <w:shd w:val="clear" w:color="auto" w:fill="auto"/>
        <w:tabs>
          <w:tab w:pos="709" w:val="left"/>
        </w:tabs>
        <w:bidi w:val="0"/>
        <w:spacing w:before="0" w:after="0" w:line="317" w:lineRule="exact"/>
        <w:ind w:left="0" w:right="0"/>
        <w:jc w:val="both"/>
      </w:pPr>
      <w:bookmarkStart w:id="869" w:name="bookmark869"/>
      <w:r>
        <w:rPr>
          <w:color w:val="000000"/>
          <w:spacing w:val="0"/>
          <w:w w:val="100"/>
          <w:position w:val="0"/>
        </w:rPr>
        <w:t>1</w:t>
      </w:r>
      <w:bookmarkEnd w:id="869"/>
      <w:r>
        <w:rPr>
          <w:color w:val="000000"/>
          <w:spacing w:val="0"/>
          <w:w w:val="100"/>
          <w:position w:val="0"/>
        </w:rPr>
        <w:t>）</w:t>
        <w:tab/>
        <w:t>对于购入或源生的已发生信用减值的金融资产，公司自初始确认起，按照该金融资产的摊余成本和经信用调整的实 际利率计算确定其利息收入。</w:t>
      </w:r>
    </w:p>
    <w:p>
      <w:pPr>
        <w:pStyle w:val="Style18"/>
        <w:keepNext w:val="0"/>
        <w:keepLines w:val="0"/>
        <w:widowControl w:val="0"/>
        <w:shd w:val="clear" w:color="auto" w:fill="auto"/>
        <w:tabs>
          <w:tab w:pos="718" w:val="left"/>
        </w:tabs>
        <w:bidi w:val="0"/>
        <w:spacing w:before="0" w:after="1060" w:line="317" w:lineRule="exact"/>
        <w:ind w:left="0" w:right="0"/>
        <w:jc w:val="both"/>
      </w:pPr>
      <w:bookmarkStart w:id="870" w:name="bookmark870"/>
      <w:r>
        <w:rPr>
          <w:color w:val="000000"/>
          <w:spacing w:val="0"/>
          <w:w w:val="100"/>
          <w:position w:val="0"/>
        </w:rPr>
        <w:t>2</w:t>
      </w:r>
      <w:bookmarkEnd w:id="870"/>
      <w:r>
        <w:rPr>
          <w:color w:val="000000"/>
          <w:spacing w:val="0"/>
          <w:w w:val="100"/>
          <w:position w:val="0"/>
        </w:rPr>
        <w:t>）</w:t>
        <w:tab/>
        <w:t>对于购入或源生的未发生信用减值、但在后续期间成为已发生信用减值的金融资产，公司在后续期间，按照该金融 资产的摊余成本和实际利率计算确定其利息收入。公司按照上述政策对金融资产的摊余成本运用实际利率法计算利息收入 的，若该金融工具在后续期间因其信用风险有所改善而不再存在信用减值，并且这一改善在客观上可与应用上述政策之后发 生的某一事件相联系（如债务人的信用评级被上调），公司转按实际利率乘以该金融资产账面余额来计算确定利息收入。</w:t>
      </w:r>
    </w:p>
    <w:p>
      <w:pPr>
        <w:pStyle w:val="Style27"/>
        <w:keepNext/>
        <w:keepLines/>
        <w:widowControl w:val="0"/>
        <w:shd w:val="clear" w:color="auto" w:fill="auto"/>
        <w:tabs>
          <w:tab w:pos="474" w:val="left"/>
        </w:tabs>
        <w:bidi w:val="0"/>
        <w:spacing w:before="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71"/>
      <w:bookmarkEnd w:id="872"/>
      <w:bookmarkEnd w:id="874"/>
    </w:p>
    <w:p>
      <w:pPr>
        <w:pStyle w:val="Style18"/>
        <w:keepNext w:val="0"/>
        <w:keepLines w:val="0"/>
        <w:widowControl w:val="0"/>
        <w:shd w:val="clear" w:color="auto" w:fill="auto"/>
        <w:bidi w:val="0"/>
        <w:spacing w:before="0" w:after="360" w:line="240" w:lineRule="auto"/>
        <w:ind w:left="0" w:right="0"/>
        <w:jc w:val="both"/>
      </w:pPr>
      <w:r>
        <w:rPr>
          <w:color w:val="000000"/>
          <w:spacing w:val="0"/>
          <w:w w:val="100"/>
          <w:position w:val="0"/>
        </w:rPr>
        <w:t>详见重要会计政策及会计估计</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7"/>
        <w:keepNext/>
        <w:keepLines/>
        <w:widowControl w:val="0"/>
        <w:shd w:val="clear" w:color="auto" w:fill="auto"/>
        <w:tabs>
          <w:tab w:pos="474" w:val="left"/>
        </w:tabs>
        <w:bidi w:val="0"/>
        <w:spacing w:before="0" w:line="240" w:lineRule="auto"/>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75"/>
      <w:bookmarkEnd w:id="876"/>
      <w:bookmarkEnd w:id="878"/>
    </w:p>
    <w:p>
      <w:pPr>
        <w:pStyle w:val="Style18"/>
        <w:keepNext w:val="0"/>
        <w:keepLines w:val="0"/>
        <w:widowControl w:val="0"/>
        <w:shd w:val="clear" w:color="auto" w:fill="auto"/>
        <w:bidi w:val="0"/>
        <w:spacing w:before="0" w:after="980" w:line="240" w:lineRule="auto"/>
        <w:ind w:left="0" w:right="0"/>
        <w:jc w:val="both"/>
      </w:pPr>
      <w:r>
        <w:rPr>
          <w:color w:val="000000"/>
          <w:spacing w:val="0"/>
          <w:w w:val="100"/>
          <w:position w:val="0"/>
        </w:rPr>
        <w:t>详见重要会计政策及会计估计</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7"/>
        <w:keepNext/>
        <w:keepLines/>
        <w:widowControl w:val="0"/>
        <w:shd w:val="clear" w:color="auto" w:fill="auto"/>
        <w:tabs>
          <w:tab w:pos="474" w:val="left"/>
        </w:tabs>
        <w:bidi w:val="0"/>
        <w:spacing w:before="0" w:line="240"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79"/>
      <w:bookmarkEnd w:id="880"/>
      <w:bookmarkEnd w:id="882"/>
    </w:p>
    <w:p>
      <w:pPr>
        <w:pStyle w:val="Style18"/>
        <w:keepNext w:val="0"/>
        <w:keepLines w:val="0"/>
        <w:widowControl w:val="0"/>
        <w:shd w:val="clear" w:color="auto" w:fill="auto"/>
        <w:bidi w:val="0"/>
        <w:spacing w:before="0" w:after="680" w:line="240" w:lineRule="auto"/>
        <w:ind w:left="0" w:right="0"/>
        <w:jc w:val="both"/>
      </w:pPr>
      <w:r>
        <w:rPr>
          <w:color w:val="000000"/>
          <w:spacing w:val="0"/>
          <w:w w:val="100"/>
          <w:position w:val="0"/>
        </w:rPr>
        <w:t>详见重要会计政策及会计估计</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7"/>
        <w:keepNext/>
        <w:keepLines/>
        <w:widowControl w:val="0"/>
        <w:shd w:val="clear" w:color="auto" w:fill="auto"/>
        <w:tabs>
          <w:tab w:pos="474" w:val="left"/>
        </w:tabs>
        <w:bidi w:val="0"/>
        <w:spacing w:before="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83"/>
      <w:bookmarkEnd w:id="884"/>
      <w:bookmarkEnd w:id="886"/>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660" w:line="312" w:lineRule="exact"/>
        <w:ind w:left="0" w:right="0"/>
        <w:jc w:val="both"/>
      </w:pPr>
      <w:r>
        <w:rPr>
          <w:color w:val="000000"/>
          <w:spacing w:val="0"/>
          <w:w w:val="100"/>
          <w:position w:val="0"/>
        </w:rPr>
        <w:t>详见重要会计政策及会计估计</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7"/>
        <w:keepNext/>
        <w:keepLines/>
        <w:widowControl w:val="0"/>
        <w:shd w:val="clear" w:color="auto" w:fill="auto"/>
        <w:tabs>
          <w:tab w:pos="509" w:val="left"/>
        </w:tabs>
        <w:bidi w:val="0"/>
        <w:spacing w:before="0" w:after="26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87"/>
      <w:bookmarkEnd w:id="888"/>
      <w:bookmarkEnd w:id="890"/>
    </w:p>
    <w:p>
      <w:pPr>
        <w:pStyle w:val="Style18"/>
        <w:keepNext w:val="0"/>
        <w:keepLines w:val="0"/>
        <w:widowControl w:val="0"/>
        <w:shd w:val="clear" w:color="auto" w:fill="auto"/>
        <w:tabs>
          <w:tab w:pos="896" w:val="left"/>
        </w:tabs>
        <w:bidi w:val="0"/>
        <w:spacing w:before="0" w:after="0" w:line="312" w:lineRule="exact"/>
        <w:ind w:left="0" w:right="0"/>
        <w:jc w:val="both"/>
      </w:pPr>
      <w:bookmarkStart w:id="891" w:name="bookmark891"/>
      <w:r>
        <w:rPr>
          <w:color w:val="000000"/>
          <w:spacing w:val="0"/>
          <w:w w:val="100"/>
          <w:position w:val="0"/>
        </w:rPr>
        <w:t>（</w:t>
      </w:r>
      <w:bookmarkEnd w:id="891"/>
      <w:r>
        <w:rPr>
          <w:color w:val="000000"/>
          <w:spacing w:val="0"/>
          <w:w w:val="100"/>
          <w:position w:val="0"/>
        </w:rPr>
        <w:t>1）</w:t>
        <w:tab/>
        <w:t>存货是指在日常活动中持有以备出售的产成品或商品、处在生产过程中的在产品、在生产过程及提供劳务过程中 耗用的材料和物料。存货同时满足下列条件的，予以确认：</w:t>
      </w:r>
    </w:p>
    <w:p>
      <w:pPr>
        <w:pStyle w:val="Style18"/>
        <w:keepNext w:val="0"/>
        <w:keepLines w:val="0"/>
        <w:widowControl w:val="0"/>
        <w:numPr>
          <w:ilvl w:val="0"/>
          <w:numId w:val="33"/>
        </w:numPr>
        <w:shd w:val="clear" w:color="auto" w:fill="auto"/>
        <w:tabs>
          <w:tab w:pos="753" w:val="left"/>
        </w:tabs>
        <w:bidi w:val="0"/>
        <w:spacing w:before="0" w:after="0" w:line="312" w:lineRule="exact"/>
        <w:ind w:left="0" w:right="0"/>
        <w:jc w:val="both"/>
      </w:pPr>
      <w:bookmarkStart w:id="892" w:name="bookmark892"/>
      <w:bookmarkEnd w:id="892"/>
      <w:r>
        <w:rPr>
          <w:color w:val="000000"/>
          <w:spacing w:val="0"/>
          <w:w w:val="100"/>
          <w:position w:val="0"/>
        </w:rPr>
        <w:t>与该存货有关的经济利益很可能流入企业；</w:t>
      </w:r>
    </w:p>
    <w:p>
      <w:pPr>
        <w:pStyle w:val="Style18"/>
        <w:keepNext w:val="0"/>
        <w:keepLines w:val="0"/>
        <w:widowControl w:val="0"/>
        <w:numPr>
          <w:ilvl w:val="0"/>
          <w:numId w:val="33"/>
        </w:numPr>
        <w:shd w:val="clear" w:color="auto" w:fill="auto"/>
        <w:tabs>
          <w:tab w:pos="753" w:val="left"/>
        </w:tabs>
        <w:bidi w:val="0"/>
        <w:spacing w:before="0" w:after="0" w:line="312" w:lineRule="exact"/>
        <w:ind w:left="0" w:right="0"/>
        <w:jc w:val="both"/>
      </w:pPr>
      <w:bookmarkStart w:id="893" w:name="bookmark893"/>
      <w:bookmarkEnd w:id="893"/>
      <w:r>
        <w:rPr>
          <w:color w:val="000000"/>
          <w:spacing w:val="0"/>
          <w:w w:val="100"/>
          <w:position w:val="0"/>
        </w:rPr>
        <w:t>该存货的成本能够可靠地计量。</w:t>
      </w:r>
    </w:p>
    <w:p>
      <w:pPr>
        <w:pStyle w:val="Style18"/>
        <w:keepNext w:val="0"/>
        <w:keepLines w:val="0"/>
        <w:widowControl w:val="0"/>
        <w:shd w:val="clear" w:color="auto" w:fill="auto"/>
        <w:tabs>
          <w:tab w:pos="820" w:val="left"/>
        </w:tabs>
        <w:bidi w:val="0"/>
        <w:spacing w:before="0" w:after="0" w:line="312" w:lineRule="exact"/>
        <w:ind w:left="0" w:right="0"/>
        <w:jc w:val="both"/>
      </w:pPr>
      <w:bookmarkStart w:id="894" w:name="bookmark894"/>
      <w:r>
        <w:rPr>
          <w:color w:val="000000"/>
          <w:spacing w:val="0"/>
          <w:w w:val="100"/>
          <w:position w:val="0"/>
        </w:rPr>
        <w:t>（</w:t>
      </w:r>
      <w:bookmarkEnd w:id="894"/>
      <w:r>
        <w:rPr>
          <w:color w:val="000000"/>
          <w:spacing w:val="0"/>
          <w:w w:val="100"/>
          <w:position w:val="0"/>
        </w:rPr>
        <w:t>2）</w:t>
        <w:tab/>
        <w:t>存货的分类</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存货包括原材料、在产品、半成品、库存商品以及周转材料。</w:t>
      </w:r>
    </w:p>
    <w:p>
      <w:pPr>
        <w:pStyle w:val="Style18"/>
        <w:keepNext w:val="0"/>
        <w:keepLines w:val="0"/>
        <w:widowControl w:val="0"/>
        <w:shd w:val="clear" w:color="auto" w:fill="auto"/>
        <w:tabs>
          <w:tab w:pos="820" w:val="left"/>
        </w:tabs>
        <w:bidi w:val="0"/>
        <w:spacing w:before="0" w:after="0" w:line="312" w:lineRule="exact"/>
        <w:ind w:left="0" w:right="0"/>
        <w:jc w:val="both"/>
      </w:pPr>
      <w:bookmarkStart w:id="895" w:name="bookmark895"/>
      <w:r>
        <w:rPr>
          <w:color w:val="000000"/>
          <w:spacing w:val="0"/>
          <w:w w:val="100"/>
          <w:position w:val="0"/>
        </w:rPr>
        <w:t>（</w:t>
      </w:r>
      <w:bookmarkEnd w:id="895"/>
      <w:r>
        <w:rPr>
          <w:color w:val="000000"/>
          <w:spacing w:val="0"/>
          <w:w w:val="100"/>
          <w:position w:val="0"/>
        </w:rPr>
        <w:t>3）</w:t>
        <w:tab/>
        <w:t>发出存货的计价方法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发出存货时按月末一次加权平均法计价。</w:t>
      </w:r>
    </w:p>
    <w:p>
      <w:pPr>
        <w:pStyle w:val="Style18"/>
        <w:keepNext w:val="0"/>
        <w:keepLines w:val="0"/>
        <w:widowControl w:val="0"/>
        <w:shd w:val="clear" w:color="auto" w:fill="auto"/>
        <w:tabs>
          <w:tab w:pos="820" w:val="left"/>
        </w:tabs>
        <w:bidi w:val="0"/>
        <w:spacing w:before="0" w:after="0" w:line="312" w:lineRule="exact"/>
        <w:ind w:left="0" w:right="0"/>
        <w:jc w:val="both"/>
      </w:pPr>
      <w:bookmarkStart w:id="896" w:name="bookmark896"/>
      <w:r>
        <w:rPr>
          <w:color w:val="000000"/>
          <w:spacing w:val="0"/>
          <w:w w:val="100"/>
          <w:position w:val="0"/>
        </w:rPr>
        <w:t>（</w:t>
      </w:r>
      <w:bookmarkEnd w:id="896"/>
      <w:r>
        <w:rPr>
          <w:color w:val="000000"/>
          <w:spacing w:val="0"/>
          <w:w w:val="100"/>
          <w:position w:val="0"/>
        </w:rPr>
        <w:t>4）</w:t>
        <w:tab/>
        <w:t>存货可变现净值的确定依据及存货跌价准备的计提方法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于资产负债表日，存货按照成本与可变现净值孰低计量，存货成本高于其可变现净值的，应当计提存货跌价准备，计入 当期损益。可变现净值，是指在日常活动中，存货的估计售价减去至完工时估计将要发生的成本、估计的销售费用以及相关 税费后的金额。</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各类存货可变现净值的确定依据如下：</w:t>
      </w:r>
    </w:p>
    <w:p>
      <w:pPr>
        <w:pStyle w:val="Style18"/>
        <w:keepNext w:val="0"/>
        <w:keepLines w:val="0"/>
        <w:widowControl w:val="0"/>
        <w:numPr>
          <w:ilvl w:val="0"/>
          <w:numId w:val="35"/>
        </w:numPr>
        <w:shd w:val="clear" w:color="auto" w:fill="auto"/>
        <w:tabs>
          <w:tab w:pos="714" w:val="left"/>
        </w:tabs>
        <w:bidi w:val="0"/>
        <w:spacing w:before="0" w:after="0" w:line="317" w:lineRule="exact"/>
        <w:ind w:left="0" w:right="0"/>
        <w:jc w:val="both"/>
      </w:pPr>
      <w:bookmarkStart w:id="897" w:name="bookmark897"/>
      <w:bookmarkEnd w:id="897"/>
      <w:r>
        <w:rPr>
          <w:color w:val="000000"/>
          <w:spacing w:val="0"/>
          <w:w w:val="100"/>
          <w:position w:val="0"/>
        </w:rPr>
        <w:t>产成品、商品和用于出售的材料等直接用于出售的商品存货，在正常生产经营过程中，以该存货的估计售价减去估计 的销售费用和相关税费后的金额，确定其可变现净值。</w:t>
      </w:r>
    </w:p>
    <w:p>
      <w:pPr>
        <w:pStyle w:val="Style18"/>
        <w:keepNext w:val="0"/>
        <w:keepLines w:val="0"/>
        <w:widowControl w:val="0"/>
        <w:numPr>
          <w:ilvl w:val="0"/>
          <w:numId w:val="35"/>
        </w:numPr>
        <w:shd w:val="clear" w:color="auto" w:fill="auto"/>
        <w:tabs>
          <w:tab w:pos="728" w:val="left"/>
        </w:tabs>
        <w:bidi w:val="0"/>
        <w:spacing w:before="0" w:after="0" w:line="312" w:lineRule="exact"/>
        <w:ind w:left="0" w:right="0"/>
        <w:jc w:val="both"/>
      </w:pPr>
      <w:bookmarkStart w:id="898" w:name="bookmark898"/>
      <w:bookmarkEnd w:id="898"/>
      <w:r>
        <w:rPr>
          <w:color w:val="000000"/>
          <w:spacing w:val="0"/>
          <w:w w:val="100"/>
          <w:position w:val="0"/>
        </w:rPr>
        <w:t>需要经过加工的材料存货，在正常生产经营过程中，以所生产的产成品的估计售价减去至完工时估计将要发生的成本、 估计的销售费用和相关税费后的金额，确定其可变现净值。</w:t>
      </w:r>
    </w:p>
    <w:p>
      <w:pPr>
        <w:pStyle w:val="Style18"/>
        <w:keepNext w:val="0"/>
        <w:keepLines w:val="0"/>
        <w:widowControl w:val="0"/>
        <w:numPr>
          <w:ilvl w:val="0"/>
          <w:numId w:val="35"/>
        </w:numPr>
        <w:shd w:val="clear" w:color="auto" w:fill="auto"/>
        <w:tabs>
          <w:tab w:pos="723" w:val="left"/>
        </w:tabs>
        <w:bidi w:val="0"/>
        <w:spacing w:before="0" w:after="0" w:line="307" w:lineRule="exact"/>
        <w:ind w:left="0" w:right="0"/>
        <w:jc w:val="both"/>
      </w:pPr>
      <w:bookmarkStart w:id="899" w:name="bookmark899"/>
      <w:bookmarkEnd w:id="899"/>
      <w:r>
        <w:rPr>
          <w:color w:val="000000"/>
          <w:spacing w:val="0"/>
          <w:w w:val="100"/>
          <w:position w:val="0"/>
        </w:rPr>
        <w:t>资产负债表日，同一项存货中一部分有合同价格约定、其他部分不存在合同价格的，应当分别确定其可变现净值，并 与其相对应的成本进行比较，分别确定存货跌价准备的计提或转回的金额。</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存货跌价准备按单个存货项目计提，与在同一地区生产和销售的产品系列相关、具有相同或类似最终用途或目的，且难 以与其他项目分开计量的存货，合并计提存货跌价准备。</w:t>
      </w:r>
    </w:p>
    <w:p>
      <w:pPr>
        <w:pStyle w:val="Style18"/>
        <w:keepNext w:val="0"/>
        <w:keepLines w:val="0"/>
        <w:widowControl w:val="0"/>
        <w:shd w:val="clear" w:color="auto" w:fill="auto"/>
        <w:tabs>
          <w:tab w:pos="820" w:val="left"/>
        </w:tabs>
        <w:bidi w:val="0"/>
        <w:spacing w:before="0" w:after="0" w:line="312" w:lineRule="exact"/>
        <w:ind w:left="0" w:right="0"/>
        <w:jc w:val="both"/>
      </w:pPr>
      <w:bookmarkStart w:id="900" w:name="bookmark900"/>
      <w:r>
        <w:rPr>
          <w:color w:val="000000"/>
          <w:spacing w:val="0"/>
          <w:w w:val="100"/>
          <w:position w:val="0"/>
        </w:rPr>
        <w:t>（</w:t>
      </w:r>
      <w:bookmarkEnd w:id="900"/>
      <w:r>
        <w:rPr>
          <w:color w:val="000000"/>
          <w:spacing w:val="0"/>
          <w:w w:val="100"/>
          <w:position w:val="0"/>
        </w:rPr>
        <w:t>5）</w:t>
        <w:tab/>
        <w:t>存货的盘存制度</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采用永续盘存制。</w:t>
      </w:r>
    </w:p>
    <w:p>
      <w:pPr>
        <w:pStyle w:val="Style18"/>
        <w:keepNext w:val="0"/>
        <w:keepLines w:val="0"/>
        <w:widowControl w:val="0"/>
        <w:shd w:val="clear" w:color="auto" w:fill="auto"/>
        <w:tabs>
          <w:tab w:pos="820" w:val="left"/>
        </w:tabs>
        <w:bidi w:val="0"/>
        <w:spacing w:before="0" w:after="0" w:line="312" w:lineRule="exact"/>
        <w:ind w:left="0" w:right="0"/>
        <w:jc w:val="both"/>
      </w:pPr>
      <w:bookmarkStart w:id="901" w:name="bookmark901"/>
      <w:r>
        <w:rPr>
          <w:color w:val="000000"/>
          <w:spacing w:val="0"/>
          <w:w w:val="100"/>
          <w:position w:val="0"/>
        </w:rPr>
        <w:t>（</w:t>
      </w:r>
      <w:bookmarkEnd w:id="901"/>
      <w:r>
        <w:rPr>
          <w:color w:val="000000"/>
          <w:spacing w:val="0"/>
          <w:w w:val="100"/>
          <w:position w:val="0"/>
        </w:rPr>
        <w:t>6）</w:t>
        <w:tab/>
        <w:t>低值易耗品和包装物的摊销方法</w:t>
      </w:r>
    </w:p>
    <w:p>
      <w:pPr>
        <w:pStyle w:val="Style18"/>
        <w:keepNext w:val="0"/>
        <w:keepLines w:val="0"/>
        <w:widowControl w:val="0"/>
        <w:shd w:val="clear" w:color="auto" w:fill="auto"/>
        <w:bidi w:val="0"/>
        <w:spacing w:before="0" w:after="720" w:line="312" w:lineRule="exact"/>
        <w:ind w:left="0" w:right="0"/>
        <w:jc w:val="both"/>
      </w:pPr>
      <w:r>
        <w:rPr>
          <w:color w:val="000000"/>
          <w:spacing w:val="0"/>
          <w:w w:val="100"/>
          <w:position w:val="0"/>
        </w:rPr>
        <w:t>对低值易耗品和包装物采用一次转销法进行摊销。</w:t>
      </w:r>
    </w:p>
    <w:p>
      <w:pPr>
        <w:pStyle w:val="Style27"/>
        <w:keepNext/>
        <w:keepLines/>
        <w:widowControl w:val="0"/>
        <w:shd w:val="clear" w:color="auto" w:fill="auto"/>
        <w:tabs>
          <w:tab w:pos="509" w:val="left"/>
        </w:tabs>
        <w:bidi w:val="0"/>
        <w:spacing w:before="0" w:after="26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02"/>
      <w:bookmarkEnd w:id="903"/>
      <w:bookmarkEnd w:id="905"/>
    </w:p>
    <w:p>
      <w:pPr>
        <w:pStyle w:val="Style18"/>
        <w:keepNext w:val="0"/>
        <w:keepLines w:val="0"/>
        <w:widowControl w:val="0"/>
        <w:shd w:val="clear" w:color="auto" w:fill="auto"/>
        <w:bidi w:val="0"/>
        <w:spacing w:before="0" w:after="360" w:line="314" w:lineRule="exact"/>
        <w:ind w:left="0" w:right="0"/>
        <w:jc w:val="both"/>
      </w:pPr>
      <w:r>
        <w:rPr>
          <w:color w:val="000000"/>
          <w:spacing w:val="0"/>
          <w:w w:val="100"/>
          <w:position w:val="0"/>
        </w:rPr>
        <w:t>本公司将客户尚未支付合同对价，但本公司已经依据合同履行了履约义务，且不属于无条件（即仅取决于时间流逝）向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详见重要会计政策及会计估计</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7"/>
        <w:keepNext/>
        <w:keepLines/>
        <w:widowControl w:val="0"/>
        <w:shd w:val="clear" w:color="auto" w:fill="auto"/>
        <w:bidi w:val="0"/>
        <w:spacing w:before="0" w:after="26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1</w:t>
      </w:r>
      <w:bookmarkEnd w:id="908"/>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906"/>
      <w:bookmarkEnd w:id="907"/>
      <w:bookmarkEnd w:id="909"/>
    </w:p>
    <w:p>
      <w:pPr>
        <w:pStyle w:val="Style18"/>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本公司为取得合同发生的增量成本预期能够收回的，作为合同取得成本确认为一项资产。</w:t>
      </w:r>
    </w:p>
    <w:p>
      <w:pPr>
        <w:pStyle w:val="Style18"/>
        <w:keepNext w:val="0"/>
        <w:keepLines w:val="0"/>
        <w:widowControl w:val="0"/>
        <w:shd w:val="clear" w:color="auto" w:fill="auto"/>
        <w:bidi w:val="0"/>
        <w:spacing w:before="0" w:after="0" w:line="318" w:lineRule="exact"/>
        <w:ind w:left="0" w:right="0" w:firstLine="360"/>
        <w:jc w:val="both"/>
      </w:pPr>
      <w:r>
        <w:rPr>
          <w:color w:val="000000"/>
          <w:spacing w:val="0"/>
          <w:w w:val="100"/>
          <w:position w:val="0"/>
        </w:rPr>
        <w:t>为履行合同发生的成本不属于《企业会计准则第14号</w:t>
      </w:r>
      <w:r>
        <w:rPr>
          <w:color w:val="000000"/>
          <w:spacing w:val="0"/>
          <w:w w:val="100"/>
          <w:position w:val="0"/>
        </w:rPr>
        <w:t>一</w:t>
      </w:r>
      <w:r>
        <w:rPr>
          <w:color w:val="000000"/>
          <w:spacing w:val="0"/>
          <w:w w:val="100"/>
          <w:position w:val="0"/>
        </w:rPr>
        <w:t>收入（2017年修订）》之外的其他企业会计准则规范范围且同时 满足下列条件的，作为合同履约成本确认为一项资产：①该成本与一份当前或预期取得的合同直接相关，包括直接人工、直 接材料、制造费用（或类似费用）、明确由客户承担的成本以及仅因该合同而发生的其他成本；②该成本增加了本公司未来 用于履行履约义务的资源；③该成本预期能够收回。</w:t>
      </w:r>
    </w:p>
    <w:p>
      <w:pPr>
        <w:pStyle w:val="Style18"/>
        <w:keepNext w:val="0"/>
        <w:keepLines w:val="0"/>
        <w:widowControl w:val="0"/>
        <w:shd w:val="clear" w:color="auto" w:fill="auto"/>
        <w:bidi w:val="0"/>
        <w:spacing w:before="0" w:after="720" w:line="318" w:lineRule="exact"/>
        <w:ind w:left="0" w:right="0" w:firstLine="360"/>
        <w:jc w:val="both"/>
      </w:pPr>
      <w:r>
        <w:rPr>
          <w:color w:val="000000"/>
          <w:spacing w:val="0"/>
          <w:w w:val="100"/>
          <w:position w:val="0"/>
        </w:rPr>
        <w:t>与合同成本有关的资产采用与该资产相关的商品收入确认相同的基础进行摊销，计入当期损益。</w:t>
      </w:r>
    </w:p>
    <w:p>
      <w:pPr>
        <w:pStyle w:val="Style27"/>
        <w:keepNext/>
        <w:keepLines/>
        <w:widowControl w:val="0"/>
        <w:shd w:val="clear" w:color="auto" w:fill="auto"/>
        <w:bidi w:val="0"/>
        <w:spacing w:before="0" w:after="26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1</w:t>
      </w:r>
      <w:bookmarkEnd w:id="912"/>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910"/>
      <w:bookmarkEnd w:id="911"/>
      <w:bookmarkEnd w:id="913"/>
    </w:p>
    <w:p>
      <w:pPr>
        <w:pStyle w:val="Style18"/>
        <w:keepNext w:val="0"/>
        <w:keepLines w:val="0"/>
        <w:widowControl w:val="0"/>
        <w:shd w:val="clear" w:color="auto" w:fill="auto"/>
        <w:tabs>
          <w:tab w:pos="763" w:val="left"/>
        </w:tabs>
        <w:bidi w:val="0"/>
        <w:spacing w:before="0" w:after="0" w:line="312" w:lineRule="exact"/>
        <w:ind w:left="0" w:right="0" w:firstLine="360"/>
        <w:jc w:val="both"/>
      </w:pPr>
      <w:bookmarkStart w:id="914" w:name="bookmark914"/>
      <w:r>
        <w:rPr>
          <w:color w:val="000000"/>
          <w:spacing w:val="0"/>
          <w:w w:val="100"/>
          <w:position w:val="0"/>
        </w:rPr>
        <w:t>（</w:t>
      </w:r>
      <w:bookmarkEnd w:id="914"/>
      <w:r>
        <w:rPr>
          <w:color w:val="000000"/>
          <w:spacing w:val="0"/>
          <w:w w:val="100"/>
          <w:position w:val="0"/>
        </w:rPr>
        <w:t>1）</w:t>
        <w:tab/>
        <w:t>持有待售的非流动资产和处置组确认标准</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公司若主要通过出售（包括具有商业实质的非货币性资产交换，下同）而非持续使用一项非流动资产或处置组收回其账 面价值的，则将其划分为持有待售类别。具体标准为同时满足以下条件：</w:t>
      </w:r>
    </w:p>
    <w:p>
      <w:pPr>
        <w:pStyle w:val="Style18"/>
        <w:keepNext w:val="0"/>
        <w:keepLines w:val="0"/>
        <w:widowControl w:val="0"/>
        <w:numPr>
          <w:ilvl w:val="0"/>
          <w:numId w:val="37"/>
        </w:numPr>
        <w:shd w:val="clear" w:color="auto" w:fill="auto"/>
        <w:tabs>
          <w:tab w:pos="696" w:val="left"/>
        </w:tabs>
        <w:bidi w:val="0"/>
        <w:spacing w:before="0" w:after="0" w:line="312" w:lineRule="exact"/>
        <w:ind w:left="0" w:right="0" w:firstLine="360"/>
        <w:jc w:val="both"/>
      </w:pPr>
      <w:bookmarkStart w:id="915" w:name="bookmark915"/>
      <w:bookmarkEnd w:id="915"/>
      <w:r>
        <w:rPr>
          <w:color w:val="000000"/>
          <w:spacing w:val="0"/>
          <w:w w:val="100"/>
          <w:position w:val="0"/>
        </w:rPr>
        <w:t>根据类似交易中出售此类资产或处置组的惯例，在当前状况下即可立即出售；</w:t>
      </w:r>
    </w:p>
    <w:p>
      <w:pPr>
        <w:pStyle w:val="Style18"/>
        <w:keepNext w:val="0"/>
        <w:keepLines w:val="0"/>
        <w:widowControl w:val="0"/>
        <w:numPr>
          <w:ilvl w:val="0"/>
          <w:numId w:val="37"/>
        </w:numPr>
        <w:shd w:val="clear" w:color="auto" w:fill="auto"/>
        <w:tabs>
          <w:tab w:pos="696" w:val="left"/>
        </w:tabs>
        <w:bidi w:val="0"/>
        <w:spacing w:before="0" w:after="0" w:line="312" w:lineRule="exact"/>
        <w:ind w:left="0" w:right="0" w:firstLine="360"/>
        <w:jc w:val="both"/>
      </w:pPr>
      <w:bookmarkStart w:id="916" w:name="bookmark916"/>
      <w:bookmarkEnd w:id="916"/>
      <w:r>
        <w:rPr>
          <w:color w:val="000000"/>
          <w:spacing w:val="0"/>
          <w:w w:val="100"/>
          <w:position w:val="0"/>
        </w:rPr>
        <w:t>出售极可能发生，即企业已经就一项出售计划作出决议且获得确定的购买承诺，预计出售将在一年内完成。</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其中，处置组是指在一项交易中作为整体通过出售或其他方式一并处置的一组资产，以及在该交易中转让的与这些资产 直接相关的负债。处置组所属的资产组或资产组组合按照《企业会计准则第8号</w:t>
      </w:r>
      <w:r>
        <w:rPr>
          <w:color w:val="000000"/>
          <w:spacing w:val="0"/>
          <w:w w:val="100"/>
          <w:position w:val="0"/>
        </w:rPr>
        <w:t>一</w:t>
      </w:r>
      <w:r>
        <w:rPr>
          <w:color w:val="000000"/>
          <w:spacing w:val="0"/>
          <w:w w:val="100"/>
          <w:position w:val="0"/>
        </w:rPr>
        <w:t>资产减值》分摊了企业合并中取得的商誉 的，该处置组应当包含分摊至处置组的商誉。</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因出售对子公司的投资等原因导致丧失对子公司控制权的，无论出售后是否保留部分权益性投资，在拟出售的对子公司 投资满足持有待售类别划分条件时，在母公司个别财务报表中将对子公司投资整体划分为持有待售类别，在合并财务报表中 将子公司所有资产和负债划分为持有待售类别。</w:t>
      </w:r>
    </w:p>
    <w:p>
      <w:pPr>
        <w:pStyle w:val="Style18"/>
        <w:keepNext w:val="0"/>
        <w:keepLines w:val="0"/>
        <w:widowControl w:val="0"/>
        <w:shd w:val="clear" w:color="auto" w:fill="auto"/>
        <w:tabs>
          <w:tab w:pos="763" w:val="left"/>
        </w:tabs>
        <w:bidi w:val="0"/>
        <w:spacing w:before="0" w:after="0" w:line="312" w:lineRule="exact"/>
        <w:ind w:left="0" w:right="0" w:firstLine="360"/>
        <w:jc w:val="both"/>
      </w:pPr>
      <w:bookmarkStart w:id="917" w:name="bookmark917"/>
      <w:r>
        <w:rPr>
          <w:color w:val="000000"/>
          <w:spacing w:val="0"/>
          <w:w w:val="100"/>
          <w:position w:val="0"/>
        </w:rPr>
        <w:t>（</w:t>
      </w:r>
      <w:bookmarkEnd w:id="917"/>
      <w:r>
        <w:rPr>
          <w:color w:val="000000"/>
          <w:spacing w:val="0"/>
          <w:w w:val="100"/>
          <w:position w:val="0"/>
        </w:rPr>
        <w:t>2）</w:t>
        <w:tab/>
        <w:t>会计处理方法</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初始计量或在资产负债表日重新计量划分为持有待售的非流动资产和处置组时，其账面价值高于公允价值减去出售费用 后的净额的，将账面价值减记至公允价值减去出售费用后的净额，减记的金额确认为资产减值损失，计入当期损益，同时计 提持有待售资产减值准备。对于处置组，所确认的资产减值损失先抵减处置组中商誉的账面价值，再按比例抵减该处置组内 适用《企业会计准则第42号</w:t>
      </w:r>
      <w:r>
        <w:rPr>
          <w:color w:val="000000"/>
          <w:spacing w:val="0"/>
          <w:w w:val="100"/>
          <w:position w:val="0"/>
        </w:rPr>
        <w:t>一</w:t>
      </w:r>
      <w:r>
        <w:rPr>
          <w:color w:val="000000"/>
          <w:spacing w:val="0"/>
          <w:w w:val="100"/>
          <w:position w:val="0"/>
        </w:rPr>
        <w:t>持有待售的非流动资产、处置组和终止经营》（以下简称</w:t>
      </w:r>
      <w:r>
        <w:rPr>
          <w:rFonts w:ascii="Times New Roman" w:eastAsia="Times New Roman" w:hAnsi="Times New Roman" w:cs="Times New Roman"/>
          <w:color w:val="000000"/>
          <w:spacing w:val="0"/>
          <w:w w:val="100"/>
          <w:position w:val="0"/>
        </w:rPr>
        <w:t>“</w:t>
      </w:r>
      <w:r>
        <w:rPr>
          <w:color w:val="000000"/>
          <w:spacing w:val="0"/>
          <w:w w:val="100"/>
          <w:position w:val="0"/>
        </w:rPr>
        <w:t>持有待售准则</w:t>
      </w:r>
      <w:r>
        <w:rPr>
          <w:rFonts w:ascii="Times New Roman" w:eastAsia="Times New Roman" w:hAnsi="Times New Roman" w:cs="Times New Roman"/>
          <w:color w:val="000000"/>
          <w:spacing w:val="0"/>
          <w:w w:val="100"/>
          <w:position w:val="0"/>
        </w:rPr>
        <w:t>”</w:t>
      </w:r>
      <w:r>
        <w:rPr>
          <w:color w:val="000000"/>
          <w:spacing w:val="0"/>
          <w:w w:val="100"/>
          <w:position w:val="0"/>
        </w:rPr>
        <w:t>）的计量规定的各项 非流动资产的账面价值。后续资产负债表日持有待售的处置组公允价值减去出售费用后的净额增加的，以前减记的金额应当 予以恢复，并在划分为持有待售类别后适用持有待售准则计量规定的非流动资产确认的资产减值损失金额内转回，转回金额 计入当期损益，并根据处置组中除商誉外适用持有待售准则计量规定的各项非流动资产账面价值所占比重按比例增加其账面 价值；已抵减的商誉账面价值，以及适用持有待售准则计量规定的非流动资产在划分为持有待售类别前确认的资产减值损失 不得转回。</w:t>
      </w:r>
    </w:p>
    <w:p>
      <w:pPr>
        <w:pStyle w:val="Style18"/>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18"/>
        <w:keepNext w:val="0"/>
        <w:keepLines w:val="0"/>
        <w:widowControl w:val="0"/>
        <w:shd w:val="clear" w:color="auto" w:fill="auto"/>
        <w:bidi w:val="0"/>
        <w:spacing w:before="0" w:after="0" w:line="307" w:lineRule="exact"/>
        <w:ind w:left="0" w:right="0" w:firstLine="360"/>
        <w:jc w:val="both"/>
      </w:pPr>
      <w:r>
        <w:rPr>
          <w:color w:val="000000"/>
          <w:spacing w:val="0"/>
          <w:w w:val="100"/>
          <w:position w:val="0"/>
        </w:rPr>
        <w:t>非流动资产或处置组不再满足持有待售类别的划分条件时，不再将其继续划分为持有待售类别或将非流动资产从持有待 售的处置组中移除，并按照以下两者孰低计量：</w:t>
      </w:r>
    </w:p>
    <w:p>
      <w:pPr>
        <w:pStyle w:val="Style18"/>
        <w:keepNext w:val="0"/>
        <w:keepLines w:val="0"/>
        <w:widowControl w:val="0"/>
        <w:numPr>
          <w:ilvl w:val="0"/>
          <w:numId w:val="39"/>
        </w:numPr>
        <w:shd w:val="clear" w:color="auto" w:fill="auto"/>
        <w:tabs>
          <w:tab w:pos="691" w:val="left"/>
        </w:tabs>
        <w:bidi w:val="0"/>
        <w:spacing w:before="0" w:after="0" w:line="312" w:lineRule="exact"/>
        <w:ind w:left="0" w:right="0" w:firstLine="360"/>
        <w:jc w:val="both"/>
      </w:pPr>
      <w:bookmarkStart w:id="918" w:name="bookmark918"/>
      <w:bookmarkEnd w:id="918"/>
      <w:r>
        <w:rPr>
          <w:color w:val="000000"/>
          <w:spacing w:val="0"/>
          <w:w w:val="100"/>
          <w:position w:val="0"/>
        </w:rPr>
        <w:t>划分为持有待售类别前的账面价值，按照假定不划分为持有待售类别情况下本应确认的折旧、摊销或减值等进行调整 后的金额；</w:t>
      </w:r>
    </w:p>
    <w:p>
      <w:pPr>
        <w:pStyle w:val="Style18"/>
        <w:keepNext w:val="0"/>
        <w:keepLines w:val="0"/>
        <w:widowControl w:val="0"/>
        <w:numPr>
          <w:ilvl w:val="0"/>
          <w:numId w:val="39"/>
        </w:numPr>
        <w:shd w:val="clear" w:color="auto" w:fill="auto"/>
        <w:tabs>
          <w:tab w:pos="696" w:val="left"/>
        </w:tabs>
        <w:bidi w:val="0"/>
        <w:spacing w:before="0" w:after="0" w:line="312" w:lineRule="exact"/>
        <w:ind w:left="0" w:right="0" w:firstLine="360"/>
        <w:jc w:val="both"/>
      </w:pPr>
      <w:bookmarkStart w:id="919" w:name="bookmark919"/>
      <w:bookmarkEnd w:id="919"/>
      <w:r>
        <w:rPr>
          <w:color w:val="000000"/>
          <w:spacing w:val="0"/>
          <w:w w:val="100"/>
          <w:position w:val="0"/>
        </w:rPr>
        <w:t>可收回金额。</w:t>
      </w:r>
    </w:p>
    <w:p>
      <w:pPr>
        <w:pStyle w:val="Style27"/>
        <w:keepNext/>
        <w:keepLines/>
        <w:widowControl w:val="0"/>
        <w:shd w:val="clear" w:color="auto" w:fill="auto"/>
        <w:tabs>
          <w:tab w:pos="505" w:val="left"/>
        </w:tabs>
        <w:bidi w:val="0"/>
        <w:spacing w:before="0" w:after="28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1</w:t>
      </w:r>
      <w:bookmarkEnd w:id="92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20"/>
      <w:bookmarkEnd w:id="921"/>
      <w:bookmarkEnd w:id="923"/>
    </w:p>
    <w:p>
      <w:pPr>
        <w:pStyle w:val="Style18"/>
        <w:keepNext w:val="0"/>
        <w:keepLines w:val="0"/>
        <w:widowControl w:val="0"/>
        <w:shd w:val="clear" w:color="auto" w:fill="auto"/>
        <w:bidi w:val="0"/>
        <w:spacing w:before="0" w:after="360" w:line="312" w:lineRule="exact"/>
        <w:ind w:left="0" w:right="0"/>
        <w:jc w:val="left"/>
      </w:pPr>
      <w:r>
        <w:rPr>
          <w:color w:val="000000"/>
          <w:spacing w:val="0"/>
          <w:w w:val="100"/>
          <w:position w:val="0"/>
        </w:rPr>
        <w:t>无</w:t>
      </w:r>
    </w:p>
    <w:p>
      <w:pPr>
        <w:pStyle w:val="Style27"/>
        <w:keepNext/>
        <w:keepLines/>
        <w:widowControl w:val="0"/>
        <w:shd w:val="clear" w:color="auto" w:fill="auto"/>
        <w:tabs>
          <w:tab w:pos="505" w:val="left"/>
        </w:tabs>
        <w:bidi w:val="0"/>
        <w:spacing w:before="0" w:after="28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24"/>
      <w:bookmarkEnd w:id="925"/>
      <w:bookmarkEnd w:id="927"/>
    </w:p>
    <w:p>
      <w:pPr>
        <w:pStyle w:val="Style18"/>
        <w:keepNext w:val="0"/>
        <w:keepLines w:val="0"/>
        <w:widowControl w:val="0"/>
        <w:shd w:val="clear" w:color="auto" w:fill="auto"/>
        <w:bidi w:val="0"/>
        <w:spacing w:before="0" w:after="360" w:line="312" w:lineRule="exact"/>
        <w:ind w:left="0" w:right="0"/>
        <w:jc w:val="left"/>
      </w:pPr>
      <w:r>
        <w:rPr>
          <w:color w:val="000000"/>
          <w:spacing w:val="0"/>
          <w:w w:val="100"/>
          <w:position w:val="0"/>
        </w:rPr>
        <w:t>无</w:t>
      </w:r>
    </w:p>
    <w:p>
      <w:pPr>
        <w:pStyle w:val="Style27"/>
        <w:keepNext/>
        <w:keepLines/>
        <w:widowControl w:val="0"/>
        <w:shd w:val="clear" w:color="auto" w:fill="auto"/>
        <w:tabs>
          <w:tab w:pos="505" w:val="left"/>
        </w:tabs>
        <w:bidi w:val="0"/>
        <w:spacing w:before="0" w:after="28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28"/>
      <w:bookmarkEnd w:id="929"/>
      <w:bookmarkEnd w:id="931"/>
    </w:p>
    <w:p>
      <w:pPr>
        <w:pStyle w:val="Style18"/>
        <w:keepNext w:val="0"/>
        <w:keepLines w:val="0"/>
        <w:widowControl w:val="0"/>
        <w:shd w:val="clear" w:color="auto" w:fill="auto"/>
        <w:bidi w:val="0"/>
        <w:spacing w:before="0" w:after="360" w:line="312" w:lineRule="exact"/>
        <w:ind w:left="0" w:right="0"/>
        <w:jc w:val="left"/>
      </w:pPr>
      <w:r>
        <w:rPr>
          <w:color w:val="000000"/>
          <w:spacing w:val="0"/>
          <w:w w:val="100"/>
          <w:position w:val="0"/>
        </w:rPr>
        <w:t>无</w:t>
      </w:r>
    </w:p>
    <w:p>
      <w:pPr>
        <w:pStyle w:val="Style27"/>
        <w:keepNext/>
        <w:keepLines/>
        <w:widowControl w:val="0"/>
        <w:shd w:val="clear" w:color="auto" w:fill="auto"/>
        <w:tabs>
          <w:tab w:pos="505" w:val="left"/>
        </w:tabs>
        <w:bidi w:val="0"/>
        <w:spacing w:before="0" w:after="28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32"/>
      <w:bookmarkEnd w:id="933"/>
      <w:bookmarkEnd w:id="935"/>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长期股权投资是指公司对被投资单位实施控制、重大影响的权益性投资，以及对其合营企业的投资。</w:t>
      </w:r>
    </w:p>
    <w:p>
      <w:pPr>
        <w:pStyle w:val="Style18"/>
        <w:keepNext w:val="0"/>
        <w:keepLines w:val="0"/>
        <w:widowControl w:val="0"/>
        <w:shd w:val="clear" w:color="auto" w:fill="auto"/>
        <w:tabs>
          <w:tab w:pos="820" w:val="left"/>
        </w:tabs>
        <w:bidi w:val="0"/>
        <w:spacing w:before="0" w:after="0" w:line="312" w:lineRule="exact"/>
        <w:ind w:left="0" w:right="0"/>
        <w:jc w:val="both"/>
      </w:pPr>
      <w:bookmarkStart w:id="936" w:name="bookmark936"/>
      <w:r>
        <w:rPr>
          <w:color w:val="000000"/>
          <w:spacing w:val="0"/>
          <w:w w:val="100"/>
          <w:position w:val="0"/>
        </w:rPr>
        <w:t>（</w:t>
      </w:r>
      <w:bookmarkEnd w:id="936"/>
      <w:r>
        <w:rPr>
          <w:color w:val="000000"/>
          <w:spacing w:val="0"/>
          <w:w w:val="100"/>
          <w:position w:val="0"/>
        </w:rPr>
        <w:t>1）</w:t>
        <w:tab/>
        <w:t>初始投资成本确定</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除对外合并形成的长期股权投资以外，其他方式取得的长期股权投资，按照下列规定确定其初始投资成本：</w:t>
      </w:r>
    </w:p>
    <w:p>
      <w:pPr>
        <w:pStyle w:val="Style18"/>
        <w:keepNext w:val="0"/>
        <w:keepLines w:val="0"/>
        <w:widowControl w:val="0"/>
        <w:numPr>
          <w:ilvl w:val="0"/>
          <w:numId w:val="41"/>
        </w:numPr>
        <w:shd w:val="clear" w:color="auto" w:fill="auto"/>
        <w:tabs>
          <w:tab w:pos="723" w:val="left"/>
        </w:tabs>
        <w:bidi w:val="0"/>
        <w:spacing w:before="0" w:after="0" w:line="312" w:lineRule="exact"/>
        <w:ind w:left="0" w:right="0"/>
        <w:jc w:val="both"/>
      </w:pPr>
      <w:bookmarkStart w:id="937" w:name="bookmark937"/>
      <w:bookmarkEnd w:id="937"/>
      <w:r>
        <w:rPr>
          <w:color w:val="000000"/>
          <w:spacing w:val="0"/>
          <w:w w:val="100"/>
          <w:position w:val="0"/>
        </w:rPr>
        <w:t>以支付现金取得的长期股权投资，按照实际支付的购买价款作为初始投资成本。初始投资成本包括与取得长期股权投 资直接相关的费用、税金及其他必要支出；</w:t>
      </w:r>
    </w:p>
    <w:p>
      <w:pPr>
        <w:pStyle w:val="Style18"/>
        <w:keepNext w:val="0"/>
        <w:keepLines w:val="0"/>
        <w:widowControl w:val="0"/>
        <w:numPr>
          <w:ilvl w:val="0"/>
          <w:numId w:val="41"/>
        </w:numPr>
        <w:shd w:val="clear" w:color="auto" w:fill="auto"/>
        <w:tabs>
          <w:tab w:pos="753" w:val="left"/>
        </w:tabs>
        <w:bidi w:val="0"/>
        <w:spacing w:before="0" w:after="0" w:line="331" w:lineRule="exact"/>
        <w:ind w:left="0" w:right="0"/>
        <w:jc w:val="both"/>
      </w:pPr>
      <w:bookmarkStart w:id="938" w:name="bookmark938"/>
      <w:bookmarkEnd w:id="938"/>
      <w:r>
        <w:rPr>
          <w:color w:val="000000"/>
          <w:spacing w:val="0"/>
          <w:w w:val="100"/>
          <w:position w:val="0"/>
        </w:rPr>
        <w:t>以发行权益性证券取得的长期股权投资，按照发行权益性证券的公允价值作为初始投资成本；</w:t>
      </w:r>
    </w:p>
    <w:p>
      <w:pPr>
        <w:pStyle w:val="Style18"/>
        <w:keepNext w:val="0"/>
        <w:keepLines w:val="0"/>
        <w:widowControl w:val="0"/>
        <w:numPr>
          <w:ilvl w:val="0"/>
          <w:numId w:val="41"/>
        </w:numPr>
        <w:shd w:val="clear" w:color="auto" w:fill="auto"/>
        <w:tabs>
          <w:tab w:pos="728" w:val="left"/>
        </w:tabs>
        <w:bidi w:val="0"/>
        <w:spacing w:before="0" w:after="0" w:line="331" w:lineRule="exact"/>
        <w:ind w:left="0" w:right="0"/>
        <w:jc w:val="both"/>
      </w:pPr>
      <w:bookmarkStart w:id="939" w:name="bookmark939"/>
      <w:bookmarkEnd w:id="939"/>
      <w:r>
        <w:rPr>
          <w:color w:val="000000"/>
          <w:spacing w:val="0"/>
          <w:w w:val="100"/>
          <w:position w:val="0"/>
        </w:rPr>
        <w:t>通过非货币性资产交换取得的长期股权投资，其初始投资成本应当按照《企业会计准则第7号</w:t>
      </w:r>
      <w:r>
        <w:rPr>
          <w:color w:val="000000"/>
          <w:spacing w:val="0"/>
          <w:w w:val="100"/>
          <w:position w:val="0"/>
        </w:rPr>
        <w:t>一</w:t>
      </w:r>
      <w:r>
        <w:rPr>
          <w:color w:val="000000"/>
          <w:spacing w:val="0"/>
          <w:w w:val="100"/>
          <w:position w:val="0"/>
        </w:rPr>
        <w:t>非货币性资产交换》 确定；</w:t>
      </w:r>
    </w:p>
    <w:p>
      <w:pPr>
        <w:pStyle w:val="Style18"/>
        <w:keepNext w:val="0"/>
        <w:keepLines w:val="0"/>
        <w:widowControl w:val="0"/>
        <w:numPr>
          <w:ilvl w:val="0"/>
          <w:numId w:val="41"/>
        </w:numPr>
        <w:shd w:val="clear" w:color="auto" w:fill="auto"/>
        <w:tabs>
          <w:tab w:pos="753" w:val="left"/>
        </w:tabs>
        <w:bidi w:val="0"/>
        <w:spacing w:before="0" w:after="0" w:line="331" w:lineRule="exact"/>
        <w:ind w:left="0" w:right="0"/>
        <w:jc w:val="both"/>
      </w:pPr>
      <w:bookmarkStart w:id="940" w:name="bookmark940"/>
      <w:bookmarkEnd w:id="940"/>
      <w:r>
        <w:rPr>
          <w:color w:val="000000"/>
          <w:spacing w:val="0"/>
          <w:w w:val="100"/>
          <w:position w:val="0"/>
        </w:rPr>
        <w:t>通过债务重组取得的长期股权投资，其初始投资成本应当按照《企业会计准则第12号</w:t>
      </w:r>
      <w:r>
        <w:rPr>
          <w:color w:val="000000"/>
          <w:spacing w:val="0"/>
          <w:w w:val="100"/>
          <w:position w:val="0"/>
        </w:rPr>
        <w:t>一</w:t>
      </w:r>
      <w:r>
        <w:rPr>
          <w:color w:val="000000"/>
          <w:spacing w:val="0"/>
          <w:w w:val="100"/>
          <w:position w:val="0"/>
        </w:rPr>
        <w:t>债务重组》确定。</w:t>
      </w:r>
    </w:p>
    <w:p>
      <w:pPr>
        <w:pStyle w:val="Style18"/>
        <w:keepNext w:val="0"/>
        <w:keepLines w:val="0"/>
        <w:widowControl w:val="0"/>
        <w:shd w:val="clear" w:color="auto" w:fill="auto"/>
        <w:tabs>
          <w:tab w:pos="820" w:val="left"/>
        </w:tabs>
        <w:bidi w:val="0"/>
        <w:spacing w:before="0" w:after="0" w:line="331" w:lineRule="exact"/>
        <w:ind w:left="0" w:right="0"/>
        <w:jc w:val="both"/>
      </w:pPr>
      <w:bookmarkStart w:id="941" w:name="bookmark941"/>
      <w:r>
        <w:rPr>
          <w:color w:val="000000"/>
          <w:spacing w:val="0"/>
          <w:w w:val="100"/>
          <w:position w:val="0"/>
        </w:rPr>
        <w:t>（</w:t>
      </w:r>
      <w:bookmarkEnd w:id="941"/>
      <w:r>
        <w:rPr>
          <w:color w:val="000000"/>
          <w:spacing w:val="0"/>
          <w:w w:val="100"/>
          <w:position w:val="0"/>
        </w:rPr>
        <w:t>2）</w:t>
        <w:tab/>
        <w:t>后续计量及损益确认方法</w:t>
      </w:r>
    </w:p>
    <w:p>
      <w:pPr>
        <w:pStyle w:val="Style18"/>
        <w:keepNext w:val="0"/>
        <w:keepLines w:val="0"/>
        <w:widowControl w:val="0"/>
        <w:numPr>
          <w:ilvl w:val="0"/>
          <w:numId w:val="43"/>
        </w:numPr>
        <w:shd w:val="clear" w:color="auto" w:fill="auto"/>
        <w:tabs>
          <w:tab w:pos="753" w:val="left"/>
        </w:tabs>
        <w:bidi w:val="0"/>
        <w:spacing w:before="0" w:after="0" w:line="312" w:lineRule="exact"/>
        <w:ind w:left="0" w:right="0"/>
        <w:jc w:val="both"/>
      </w:pPr>
      <w:bookmarkStart w:id="942" w:name="bookmark942"/>
      <w:bookmarkEnd w:id="942"/>
      <w:r>
        <w:rPr>
          <w:color w:val="000000"/>
          <w:spacing w:val="0"/>
          <w:w w:val="100"/>
          <w:position w:val="0"/>
        </w:rPr>
        <w:t>下列长期股权投资采用成本法核算：</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公司能够对被投资单位实施控制的长期股权投资。</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采用成本法核算的长期股权投资按照初始投资成本计价。追加或收回投资应当调整长期股权投资的成本。被投资单位宣 告分派的现金股利或利润，确认为当期投资收益。</w:t>
      </w:r>
    </w:p>
    <w:p>
      <w:pPr>
        <w:pStyle w:val="Style18"/>
        <w:keepNext w:val="0"/>
        <w:keepLines w:val="0"/>
        <w:widowControl w:val="0"/>
        <w:numPr>
          <w:ilvl w:val="0"/>
          <w:numId w:val="43"/>
        </w:numPr>
        <w:shd w:val="clear" w:color="auto" w:fill="auto"/>
        <w:tabs>
          <w:tab w:pos="753" w:val="left"/>
        </w:tabs>
        <w:bidi w:val="0"/>
        <w:spacing w:before="0" w:after="0" w:line="312" w:lineRule="exact"/>
        <w:ind w:left="0" w:right="0"/>
        <w:jc w:val="both"/>
      </w:pPr>
      <w:bookmarkStart w:id="943" w:name="bookmark943"/>
      <w:bookmarkEnd w:id="943"/>
      <w:r>
        <w:rPr>
          <w:color w:val="000000"/>
          <w:spacing w:val="0"/>
          <w:w w:val="100"/>
          <w:position w:val="0"/>
        </w:rPr>
        <w:t>对被投资单位具有共同控制（指合营企业）或重大影响的长期股权投资，采用权益法核算。</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长期股权投资采用权益法核算时，对长期股权投资的投资成本大于投资时应享有被投资单位可辨认净资产公允价值份额 的，不调整长期股权投资的投资成本；对长期股权投资的投资成本小于投资时应享有被投资单位可辨认净资产公允价值份额 的，对长期股权投资的账面价值进行调整，差额计入投资当期的损益。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在权益法核算时，当取得长期股权投资后，按照应享有或应分担的被投资单位实现的净损益和其他综合收益的份额，分 别确认投资损益和其他综合收益，并调整长期股权投资的账面价值。投资企业按照被投资单位宣告分派的利润或现金股利计 算应分得的部分，相应减少长期股权投资的账面价值。投资方对于被投资单位除净损益、其他综合收益和利润分配以外所有 者权益的其他变动，应当调整长期股权投资的账面价值并计入所有者权益。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确认被投资单位发生的净亏损，以长期股权投资的账面价值以及其他实质上构成对被投资单位净投资的长期权益减记至 零为限，公司对被投资企业负有承担额外损失义务的除外。被投资单位以后实现净利润的，投资企业在其收益分享额弥补未 确认的亏损分担额后，恢复确认收益分享额。</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对于被投资单位除净损益、其他综合收益和利润分配以外所有者权益的其他变动，调整长期股权投资的账面价值并计入 所有者权益。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长期股权投资按照权益法核算在确认投资损益时，先对被投资单位的净利润进行取得投资时被投资单位各项可辨认资产 等的公允价值、会计政策和会计期间方面的调整，再按应享有或应分担的被投资单位的净损益份额确认当期投资损益。</w:t>
      </w:r>
    </w:p>
    <w:p>
      <w:pPr>
        <w:pStyle w:val="Style18"/>
        <w:keepNext w:val="0"/>
        <w:keepLines w:val="0"/>
        <w:widowControl w:val="0"/>
        <w:shd w:val="clear" w:color="auto" w:fill="auto"/>
        <w:bidi w:val="0"/>
        <w:spacing w:before="0" w:after="40" w:line="302" w:lineRule="exact"/>
        <w:ind w:left="0" w:right="0"/>
        <w:jc w:val="both"/>
      </w:pPr>
      <w:r>
        <w:rPr>
          <w:color w:val="000000"/>
          <w:spacing w:val="0"/>
          <w:w w:val="100"/>
          <w:position w:val="0"/>
        </w:rPr>
        <w:t>与联营企业及合营企业之间发生的未实现内部交易损益按照持股比例计算归属于公司的部分，在抵销基础上确认投资损 益。</w:t>
      </w:r>
    </w:p>
    <w:p>
      <w:pPr>
        <w:pStyle w:val="Style18"/>
        <w:keepNext w:val="0"/>
        <w:keepLines w:val="0"/>
        <w:widowControl w:val="0"/>
        <w:shd w:val="clear" w:color="auto" w:fill="auto"/>
        <w:bidi w:val="0"/>
        <w:spacing w:before="0" w:after="40" w:line="312" w:lineRule="exact"/>
        <w:ind w:left="0" w:right="0"/>
        <w:jc w:val="both"/>
      </w:pPr>
      <w:bookmarkStart w:id="944" w:name="bookmark944"/>
      <w:r>
        <w:rPr>
          <w:color w:val="000000"/>
          <w:spacing w:val="0"/>
          <w:w w:val="100"/>
          <w:position w:val="0"/>
        </w:rPr>
        <w:t>（</w:t>
      </w:r>
      <w:bookmarkEnd w:id="944"/>
      <w:r>
        <w:rPr>
          <w:color w:val="000000"/>
          <w:spacing w:val="0"/>
          <w:w w:val="100"/>
          <w:position w:val="0"/>
        </w:rPr>
        <w:t>3）确定对被投资单位具有共同控制、重大影响的依据</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后才能决策。在判断是否存在共同控制时，首先判断所有参与方或参与方组合是否集体控制该安排，如果所有参与方或一组 参与方必须一致行动才能决定某项安排的相关活动，则认为所有参与方或一组参与方集体控制该安排。其次再判断该安排相 关活动的决策是否必须经过这些集体控制该安排的参与方一致同意。如果存在两个或两个以上的参与方组合能够集体控制某 项安排的，不构成共同控制。判断是否存在共同控制时，不考虑享有的保护性权利。</w:t>
      </w:r>
    </w:p>
    <w:p>
      <w:pPr>
        <w:pStyle w:val="Style18"/>
        <w:keepNext w:val="0"/>
        <w:keepLines w:val="0"/>
        <w:widowControl w:val="0"/>
        <w:shd w:val="clear" w:color="auto" w:fill="auto"/>
        <w:bidi w:val="0"/>
        <w:spacing w:before="0" w:after="720" w:line="310" w:lineRule="exact"/>
        <w:ind w:left="0" w:right="0"/>
        <w:jc w:val="both"/>
      </w:pPr>
      <w:r>
        <w:rPr>
          <w:color w:val="000000"/>
          <w:spacing w:val="0"/>
          <w:w w:val="100"/>
          <w:position w:val="0"/>
        </w:rPr>
        <w:t>重大影响，是指对一个企业的财务和经营政策有参与决策的权力，但并不能够控制或者与其他方一起共同控制这些政策 的制定。在确定能否对被投资单位施加重大影响时，考虑投资方直接或间接持有被投资单位的表决权股份以及投资方及其他 方持有的当期可执行潜在表决权在假定转换为对被投资方单位的股权后产生的影响，包括被投资单位发行的当期可转换的认 股权证、股份期权及可转换公司债券等的影响。</w:t>
      </w:r>
    </w:p>
    <w:p>
      <w:pPr>
        <w:pStyle w:val="Style27"/>
        <w:keepNext/>
        <w:keepLines/>
        <w:widowControl w:val="0"/>
        <w:shd w:val="clear" w:color="auto" w:fill="auto"/>
        <w:tabs>
          <w:tab w:pos="518" w:val="left"/>
        </w:tabs>
        <w:bidi w:val="0"/>
        <w:spacing w:before="0" w:after="28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45"/>
      <w:bookmarkEnd w:id="946"/>
      <w:bookmarkEnd w:id="948"/>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投资性房地产计量模式</w:t>
      </w:r>
    </w:p>
    <w:p>
      <w:pPr>
        <w:pStyle w:val="Style18"/>
        <w:keepNext w:val="0"/>
        <w:keepLines w:val="0"/>
        <w:widowControl w:val="0"/>
        <w:shd w:val="clear" w:color="auto" w:fill="auto"/>
        <w:bidi w:val="0"/>
        <w:spacing w:before="0" w:after="340" w:line="312" w:lineRule="exact"/>
        <w:ind w:left="0" w:right="0" w:firstLine="0"/>
        <w:jc w:val="left"/>
      </w:pPr>
      <w:r>
        <w:rPr>
          <w:color w:val="000000"/>
          <w:spacing w:val="0"/>
          <w:w w:val="100"/>
          <w:position w:val="0"/>
        </w:rPr>
        <w:t>不适用</w:t>
      </w:r>
    </w:p>
    <w:p>
      <w:pPr>
        <w:pStyle w:val="Style27"/>
        <w:keepNext/>
        <w:keepLines/>
        <w:widowControl w:val="0"/>
        <w:shd w:val="clear" w:color="auto" w:fill="auto"/>
        <w:tabs>
          <w:tab w:pos="518" w:val="left"/>
        </w:tabs>
        <w:bidi w:val="0"/>
        <w:spacing w:before="0" w:after="34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49"/>
      <w:bookmarkEnd w:id="950"/>
      <w:bookmarkEnd w:id="952"/>
    </w:p>
    <w:p>
      <w:pPr>
        <w:pStyle w:val="Style27"/>
        <w:keepNext/>
        <w:keepLines/>
        <w:widowControl w:val="0"/>
        <w:shd w:val="clear" w:color="auto" w:fill="auto"/>
        <w:bidi w:val="0"/>
        <w:spacing w:before="0" w:after="280" w:line="240" w:lineRule="auto"/>
        <w:ind w:left="0" w:right="0" w:firstLine="0"/>
        <w:jc w:val="left"/>
      </w:pPr>
      <w:bookmarkStart w:id="949" w:name="bookmark949"/>
      <w:bookmarkStart w:id="950" w:name="bookmark950"/>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49"/>
      <w:bookmarkEnd w:id="950"/>
      <w:bookmarkEnd w:id="954"/>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固定资产指为生产商品、提供劳务、出租或经营管理而持有，并且使用寿命超过一个会计年度的有形资产。固定资产同 时满足下列条件的，才能予以确认：</w:t>
      </w:r>
    </w:p>
    <w:p>
      <w:pPr>
        <w:pStyle w:val="Style18"/>
        <w:keepNext w:val="0"/>
        <w:keepLines w:val="0"/>
        <w:widowControl w:val="0"/>
        <w:numPr>
          <w:ilvl w:val="0"/>
          <w:numId w:val="45"/>
        </w:numPr>
        <w:shd w:val="clear" w:color="auto" w:fill="auto"/>
        <w:tabs>
          <w:tab w:pos="753" w:val="left"/>
        </w:tabs>
        <w:bidi w:val="0"/>
        <w:spacing w:before="0" w:after="40" w:line="312" w:lineRule="exact"/>
        <w:ind w:left="0" w:right="0"/>
        <w:jc w:val="both"/>
      </w:pPr>
      <w:bookmarkStart w:id="955" w:name="bookmark955"/>
      <w:bookmarkEnd w:id="955"/>
      <w:r>
        <w:rPr>
          <w:color w:val="000000"/>
          <w:spacing w:val="0"/>
          <w:w w:val="100"/>
          <w:position w:val="0"/>
        </w:rPr>
        <w:t>与该固定资产有关的经济利益很可能流入企业；</w:t>
      </w:r>
    </w:p>
    <w:p>
      <w:pPr>
        <w:pStyle w:val="Style18"/>
        <w:keepNext w:val="0"/>
        <w:keepLines w:val="0"/>
        <w:widowControl w:val="0"/>
        <w:numPr>
          <w:ilvl w:val="0"/>
          <w:numId w:val="45"/>
        </w:numPr>
        <w:shd w:val="clear" w:color="auto" w:fill="auto"/>
        <w:tabs>
          <w:tab w:pos="753" w:val="left"/>
        </w:tabs>
        <w:bidi w:val="0"/>
        <w:spacing w:before="0" w:after="340" w:line="312" w:lineRule="exact"/>
        <w:ind w:left="0" w:right="0"/>
        <w:jc w:val="both"/>
      </w:pPr>
      <w:bookmarkStart w:id="956" w:name="bookmark956"/>
      <w:bookmarkEnd w:id="956"/>
      <w:r>
        <w:rPr>
          <w:color w:val="000000"/>
          <w:spacing w:val="0"/>
          <w:w w:val="100"/>
          <w:position w:val="0"/>
        </w:rPr>
        <w:t>该固定资产的成本能够可靠地计量。</w:t>
      </w:r>
    </w:p>
    <w:p>
      <w:pPr>
        <w:pStyle w:val="Style27"/>
        <w:keepNext/>
        <w:keepLines/>
        <w:widowControl w:val="0"/>
        <w:shd w:val="clear" w:color="auto" w:fill="auto"/>
        <w:bidi w:val="0"/>
        <w:spacing w:before="0" w:after="34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57"/>
      <w:bookmarkEnd w:id="958"/>
      <w:bookmarkEnd w:id="960"/>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年</w:t>
            </w:r>
            <w:r>
              <w:rPr>
                <w:color w:val="000000"/>
                <w:spacing w:val="0"/>
                <w:w w:val="100"/>
                <w:position w:val="0"/>
              </w:rPr>
              <w:t>-50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1.90%-4.75%</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19.00%</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9.50%</w:t>
            </w:r>
          </w:p>
        </w:tc>
      </w:tr>
      <w:tr>
        <w:trPr>
          <w:trHeight w:val="40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19.00%</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61"/>
      <w:bookmarkEnd w:id="962"/>
      <w:bookmarkEnd w:id="964"/>
    </w:p>
    <w:p>
      <w:pPr>
        <w:pStyle w:val="Style18"/>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融资租入固定资产的认定依据：实质上转移了与资产所有权有关的全部风险和报酬的租赁。具体认定依据为符合下列 一项或数项条件的：</w:t>
      </w:r>
    </w:p>
    <w:p>
      <w:pPr>
        <w:pStyle w:val="Style18"/>
        <w:keepNext w:val="0"/>
        <w:keepLines w:val="0"/>
        <w:widowControl w:val="0"/>
        <w:numPr>
          <w:ilvl w:val="0"/>
          <w:numId w:val="47"/>
        </w:numPr>
        <w:shd w:val="clear" w:color="auto" w:fill="auto"/>
        <w:tabs>
          <w:tab w:pos="753" w:val="left"/>
        </w:tabs>
        <w:bidi w:val="0"/>
        <w:spacing w:before="0" w:after="140" w:line="240" w:lineRule="auto"/>
        <w:ind w:left="0" w:right="0"/>
        <w:jc w:val="both"/>
      </w:pPr>
      <w:bookmarkStart w:id="965" w:name="bookmark965"/>
      <w:bookmarkEnd w:id="965"/>
      <w:r>
        <w:rPr>
          <w:color w:val="000000"/>
          <w:spacing w:val="0"/>
          <w:w w:val="100"/>
          <w:position w:val="0"/>
        </w:rPr>
        <w:t>在租赁期届满时，租赁资产的所有权转移给承租人；</w:t>
      </w:r>
    </w:p>
    <w:p>
      <w:pPr>
        <w:pStyle w:val="Style18"/>
        <w:keepNext w:val="0"/>
        <w:keepLines w:val="0"/>
        <w:widowControl w:val="0"/>
        <w:numPr>
          <w:ilvl w:val="0"/>
          <w:numId w:val="47"/>
        </w:numPr>
        <w:shd w:val="clear" w:color="auto" w:fill="auto"/>
        <w:tabs>
          <w:tab w:pos="753" w:val="left"/>
        </w:tabs>
        <w:bidi w:val="0"/>
        <w:spacing w:before="0" w:after="280" w:line="240" w:lineRule="auto"/>
        <w:ind w:left="0" w:right="0"/>
        <w:jc w:val="both"/>
      </w:pPr>
      <w:bookmarkStart w:id="966" w:name="bookmark966"/>
      <w:bookmarkEnd w:id="966"/>
      <w:r>
        <w:rPr>
          <w:color w:val="000000"/>
          <w:spacing w:val="0"/>
          <w:w w:val="100"/>
          <w:position w:val="0"/>
        </w:rPr>
        <w:t>承租人有购买租赁资产的选择权，所订立的购买价款预计将远低于行使选择权时租赁资产的公允价值，因而在租赁开</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始日就可以合理确定承租人会行使这种选择权；</w:t>
      </w:r>
    </w:p>
    <w:p>
      <w:pPr>
        <w:pStyle w:val="Style18"/>
        <w:keepNext w:val="0"/>
        <w:keepLines w:val="0"/>
        <w:widowControl w:val="0"/>
        <w:numPr>
          <w:ilvl w:val="0"/>
          <w:numId w:val="49"/>
        </w:numPr>
        <w:shd w:val="clear" w:color="auto" w:fill="auto"/>
        <w:tabs>
          <w:tab w:pos="753" w:val="left"/>
        </w:tabs>
        <w:bidi w:val="0"/>
        <w:spacing w:before="0" w:after="0" w:line="317" w:lineRule="exact"/>
        <w:ind w:left="0" w:right="0"/>
        <w:jc w:val="both"/>
      </w:pPr>
      <w:bookmarkStart w:id="967" w:name="bookmark967"/>
      <w:bookmarkEnd w:id="967"/>
      <w:r>
        <w:rPr>
          <w:color w:val="000000"/>
          <w:spacing w:val="0"/>
          <w:w w:val="100"/>
          <w:position w:val="0"/>
        </w:rPr>
        <w:t>即使资产的所有权不转移，但租赁期占租赁资产使用寿命的大部分；</w:t>
      </w:r>
    </w:p>
    <w:p>
      <w:pPr>
        <w:pStyle w:val="Style18"/>
        <w:keepNext w:val="0"/>
        <w:keepLines w:val="0"/>
        <w:widowControl w:val="0"/>
        <w:numPr>
          <w:ilvl w:val="0"/>
          <w:numId w:val="49"/>
        </w:numPr>
        <w:shd w:val="clear" w:color="auto" w:fill="auto"/>
        <w:tabs>
          <w:tab w:pos="753" w:val="left"/>
        </w:tabs>
        <w:bidi w:val="0"/>
        <w:spacing w:before="0" w:after="0" w:line="317" w:lineRule="exact"/>
        <w:ind w:left="0" w:right="0"/>
        <w:jc w:val="both"/>
      </w:pPr>
      <w:bookmarkStart w:id="968" w:name="bookmark968"/>
      <w:bookmarkEnd w:id="968"/>
      <w:r>
        <w:rPr>
          <w:color w:val="000000"/>
          <w:spacing w:val="0"/>
          <w:w w:val="100"/>
          <w:position w:val="0"/>
        </w:rPr>
        <w:t>承租人在租赁开始日的最低租赁付款额现值，几乎相当于租赁开始日租赁资产公允价值；</w:t>
      </w:r>
    </w:p>
    <w:p>
      <w:pPr>
        <w:pStyle w:val="Style18"/>
        <w:keepNext w:val="0"/>
        <w:keepLines w:val="0"/>
        <w:widowControl w:val="0"/>
        <w:numPr>
          <w:ilvl w:val="0"/>
          <w:numId w:val="49"/>
        </w:numPr>
        <w:shd w:val="clear" w:color="auto" w:fill="auto"/>
        <w:tabs>
          <w:tab w:pos="753" w:val="left"/>
        </w:tabs>
        <w:bidi w:val="0"/>
        <w:spacing w:before="0" w:after="0" w:line="317" w:lineRule="exact"/>
        <w:ind w:left="0" w:right="0"/>
        <w:jc w:val="both"/>
      </w:pPr>
      <w:bookmarkStart w:id="969" w:name="bookmark969"/>
      <w:bookmarkEnd w:id="969"/>
      <w:r>
        <w:rPr>
          <w:color w:val="000000"/>
          <w:spacing w:val="0"/>
          <w:w w:val="100"/>
          <w:position w:val="0"/>
        </w:rPr>
        <w:t>租赁资产性质特殊，如不作较大改造只有承租人才能使用。</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融资租入固定资产的计价方法:融资租入固定资产初始计价为租赁期开始日租赁资产公允价值与最低租赁付款额现值较 低者作为入账价值。</w:t>
      </w:r>
    </w:p>
    <w:p>
      <w:pPr>
        <w:pStyle w:val="Style18"/>
        <w:keepNext w:val="0"/>
        <w:keepLines w:val="0"/>
        <w:widowControl w:val="0"/>
        <w:shd w:val="clear" w:color="auto" w:fill="auto"/>
        <w:bidi w:val="0"/>
        <w:spacing w:before="0" w:after="360" w:line="317" w:lineRule="exact"/>
        <w:ind w:left="0" w:right="0"/>
        <w:jc w:val="both"/>
      </w:pPr>
      <w:r>
        <w:rPr>
          <w:color w:val="000000"/>
          <w:spacing w:val="0"/>
          <w:w w:val="100"/>
          <w:position w:val="0"/>
        </w:rPr>
        <w:t>融资租入固定资产后续计价采用与自有固定资产相一致的折旧政策计提折旧及减值准备。</w:t>
      </w:r>
    </w:p>
    <w:p>
      <w:pPr>
        <w:pStyle w:val="Style27"/>
        <w:keepNext/>
        <w:keepLines/>
        <w:widowControl w:val="0"/>
        <w:shd w:val="clear" w:color="auto" w:fill="auto"/>
        <w:tabs>
          <w:tab w:pos="527" w:val="left"/>
        </w:tabs>
        <w:bidi w:val="0"/>
        <w:spacing w:before="0" w:after="28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70"/>
      <w:bookmarkEnd w:id="971"/>
      <w:bookmarkEnd w:id="973"/>
    </w:p>
    <w:p>
      <w:pPr>
        <w:pStyle w:val="Style18"/>
        <w:keepNext w:val="0"/>
        <w:keepLines w:val="0"/>
        <w:widowControl w:val="0"/>
        <w:shd w:val="clear" w:color="auto" w:fill="auto"/>
        <w:tabs>
          <w:tab w:pos="820" w:val="left"/>
        </w:tabs>
        <w:bidi w:val="0"/>
        <w:spacing w:before="0" w:after="0" w:line="317" w:lineRule="exact"/>
        <w:ind w:left="0" w:right="0"/>
        <w:jc w:val="left"/>
      </w:pPr>
      <w:bookmarkStart w:id="974" w:name="bookmark974"/>
      <w:r>
        <w:rPr>
          <w:color w:val="000000"/>
          <w:spacing w:val="0"/>
          <w:w w:val="100"/>
          <w:position w:val="0"/>
        </w:rPr>
        <w:t>（</w:t>
      </w:r>
      <w:bookmarkEnd w:id="974"/>
      <w:r>
        <w:rPr>
          <w:color w:val="000000"/>
          <w:spacing w:val="0"/>
          <w:w w:val="100"/>
          <w:position w:val="0"/>
        </w:rPr>
        <w:t>1）</w:t>
        <w:tab/>
        <w:t>包括公司基建、更新改造等发生的支出，该项支出包含工程物资；</w:t>
      </w:r>
    </w:p>
    <w:p>
      <w:pPr>
        <w:pStyle w:val="Style18"/>
        <w:keepNext w:val="0"/>
        <w:keepLines w:val="0"/>
        <w:widowControl w:val="0"/>
        <w:shd w:val="clear" w:color="auto" w:fill="auto"/>
        <w:tabs>
          <w:tab w:pos="820" w:val="left"/>
        </w:tabs>
        <w:bidi w:val="0"/>
        <w:spacing w:before="0" w:after="720" w:line="317" w:lineRule="exact"/>
        <w:ind w:left="0" w:right="0"/>
        <w:jc w:val="left"/>
      </w:pPr>
      <w:bookmarkStart w:id="975" w:name="bookmark975"/>
      <w:r>
        <w:rPr>
          <w:color w:val="000000"/>
          <w:spacing w:val="0"/>
          <w:w w:val="100"/>
          <w:position w:val="0"/>
        </w:rPr>
        <w:t>（</w:t>
      </w:r>
      <w:bookmarkEnd w:id="975"/>
      <w:r>
        <w:rPr>
          <w:color w:val="000000"/>
          <w:spacing w:val="0"/>
          <w:w w:val="100"/>
          <w:position w:val="0"/>
        </w:rPr>
        <w:t>2）</w:t>
        <w:tab/>
        <w:t>在建工程达到预定可使用状态时转入固定资产。</w:t>
      </w:r>
    </w:p>
    <w:p>
      <w:pPr>
        <w:pStyle w:val="Style27"/>
        <w:keepNext/>
        <w:keepLines/>
        <w:widowControl w:val="0"/>
        <w:shd w:val="clear" w:color="auto" w:fill="auto"/>
        <w:tabs>
          <w:tab w:pos="527" w:val="left"/>
        </w:tabs>
        <w:bidi w:val="0"/>
        <w:spacing w:before="0" w:after="28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76"/>
      <w:bookmarkEnd w:id="977"/>
      <w:bookmarkEnd w:id="979"/>
    </w:p>
    <w:p>
      <w:pPr>
        <w:pStyle w:val="Style18"/>
        <w:keepNext w:val="0"/>
        <w:keepLines w:val="0"/>
        <w:widowControl w:val="0"/>
        <w:shd w:val="clear" w:color="auto" w:fill="auto"/>
        <w:tabs>
          <w:tab w:pos="901" w:val="left"/>
        </w:tabs>
        <w:bidi w:val="0"/>
        <w:spacing w:before="0" w:after="0" w:line="312" w:lineRule="exact"/>
        <w:ind w:left="0" w:right="0"/>
        <w:jc w:val="left"/>
      </w:pPr>
      <w:bookmarkStart w:id="980" w:name="bookmark980"/>
      <w:r>
        <w:rPr>
          <w:color w:val="000000"/>
          <w:spacing w:val="0"/>
          <w:w w:val="100"/>
          <w:position w:val="0"/>
        </w:rPr>
        <w:t>（</w:t>
      </w:r>
      <w:bookmarkEnd w:id="980"/>
      <w:r>
        <w:rPr>
          <w:color w:val="000000"/>
          <w:spacing w:val="0"/>
          <w:w w:val="100"/>
          <w:position w:val="0"/>
        </w:rPr>
        <w:t>1）</w:t>
        <w:tab/>
        <w:t>公司发生的借款费用，可直接归属于符合资本化条件的资产的购建或者生产的，予以资本化，计入相关资产成本。 符合资本化条件的资产，是指需要经过相当长的时间的（通常是指1年及1年以上）购建或者生产活动才能达到预定可使用可 销售状态的固定资产、投资性房地产和存货等资产。其他借款费用，应当在发生时根据其发生额确认为费用，计入当期损益。 借款费用包括借款利息、折价或者溢价的摊销、辅助费用以及因外币借款而发生的汇兑差额等。</w:t>
      </w:r>
    </w:p>
    <w:p>
      <w:pPr>
        <w:pStyle w:val="Style18"/>
        <w:keepNext w:val="0"/>
        <w:keepLines w:val="0"/>
        <w:widowControl w:val="0"/>
        <w:shd w:val="clear" w:color="auto" w:fill="auto"/>
        <w:tabs>
          <w:tab w:pos="820" w:val="left"/>
        </w:tabs>
        <w:bidi w:val="0"/>
        <w:spacing w:before="0" w:after="0" w:line="317" w:lineRule="exact"/>
        <w:ind w:left="0" w:right="0"/>
        <w:jc w:val="left"/>
      </w:pPr>
      <w:bookmarkStart w:id="981" w:name="bookmark981"/>
      <w:r>
        <w:rPr>
          <w:color w:val="000000"/>
          <w:spacing w:val="0"/>
          <w:w w:val="100"/>
          <w:position w:val="0"/>
        </w:rPr>
        <w:t>（</w:t>
      </w:r>
      <w:bookmarkEnd w:id="981"/>
      <w:r>
        <w:rPr>
          <w:color w:val="000000"/>
          <w:spacing w:val="0"/>
          <w:w w:val="100"/>
          <w:position w:val="0"/>
        </w:rPr>
        <w:t>2）</w:t>
        <w:tab/>
        <w:t>借款费用同时满足下列条件的，开始资本化：</w:t>
      </w:r>
    </w:p>
    <w:p>
      <w:pPr>
        <w:pStyle w:val="Style18"/>
        <w:keepNext w:val="0"/>
        <w:keepLines w:val="0"/>
        <w:widowControl w:val="0"/>
        <w:numPr>
          <w:ilvl w:val="0"/>
          <w:numId w:val="51"/>
        </w:numPr>
        <w:shd w:val="clear" w:color="auto" w:fill="auto"/>
        <w:tabs>
          <w:tab w:pos="728" w:val="left"/>
        </w:tabs>
        <w:bidi w:val="0"/>
        <w:spacing w:before="0" w:after="0" w:line="317" w:lineRule="exact"/>
        <w:ind w:left="0" w:right="0"/>
        <w:jc w:val="left"/>
      </w:pPr>
      <w:bookmarkStart w:id="982" w:name="bookmark982"/>
      <w:bookmarkEnd w:id="982"/>
      <w:r>
        <w:rPr>
          <w:color w:val="000000"/>
          <w:spacing w:val="0"/>
          <w:w w:val="100"/>
          <w:position w:val="0"/>
        </w:rPr>
        <w:t>资产支出已发生，资产支出包括为购建或者生产符合资本化条件的资产而支付的现金、转移非现金资产或者承担带息 债务形式发生的支出；</w:t>
      </w:r>
    </w:p>
    <w:p>
      <w:pPr>
        <w:pStyle w:val="Style18"/>
        <w:keepNext w:val="0"/>
        <w:keepLines w:val="0"/>
        <w:widowControl w:val="0"/>
        <w:numPr>
          <w:ilvl w:val="0"/>
          <w:numId w:val="51"/>
        </w:numPr>
        <w:shd w:val="clear" w:color="auto" w:fill="auto"/>
        <w:tabs>
          <w:tab w:pos="753" w:val="left"/>
        </w:tabs>
        <w:bidi w:val="0"/>
        <w:spacing w:before="0" w:after="0" w:line="317" w:lineRule="exact"/>
        <w:ind w:left="0" w:right="0"/>
        <w:jc w:val="left"/>
      </w:pPr>
      <w:bookmarkStart w:id="983" w:name="bookmark983"/>
      <w:bookmarkEnd w:id="983"/>
      <w:r>
        <w:rPr>
          <w:color w:val="000000"/>
          <w:spacing w:val="0"/>
          <w:w w:val="100"/>
          <w:position w:val="0"/>
        </w:rPr>
        <w:t>借款费用已经发生；</w:t>
      </w:r>
    </w:p>
    <w:p>
      <w:pPr>
        <w:pStyle w:val="Style18"/>
        <w:keepNext w:val="0"/>
        <w:keepLines w:val="0"/>
        <w:widowControl w:val="0"/>
        <w:numPr>
          <w:ilvl w:val="0"/>
          <w:numId w:val="51"/>
        </w:numPr>
        <w:shd w:val="clear" w:color="auto" w:fill="auto"/>
        <w:tabs>
          <w:tab w:pos="753" w:val="left"/>
        </w:tabs>
        <w:bidi w:val="0"/>
        <w:spacing w:before="0" w:after="0" w:line="317" w:lineRule="exact"/>
        <w:ind w:left="0" w:right="0"/>
        <w:jc w:val="left"/>
      </w:pPr>
      <w:bookmarkStart w:id="984" w:name="bookmark984"/>
      <w:bookmarkEnd w:id="984"/>
      <w:r>
        <w:rPr>
          <w:color w:val="000000"/>
          <w:spacing w:val="0"/>
          <w:w w:val="100"/>
          <w:position w:val="0"/>
        </w:rPr>
        <w:t>为使资产达到预定可使用或者可销售状态所必要的购建或者生产活动已经开始。</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购建或者生产符合资本化条件的资产达到预定可使用或者可销售状态时，借款费用停止资本化。</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符合资本化条件的资产在购建或者生产过程中发生非正常中断，且中断时间连续超过3个月的，暂停借款费用的资本化。 在中断期间发生的借款费用确认为费用，计入当期损益，直至资产的购建或者生产活动重新开始。如果中断是所购建或者生 产的符合资本化条件的资产达到预定可使用或可销售状态必要的程序，借款费用的资本化则继续进行。</w:t>
      </w:r>
    </w:p>
    <w:p>
      <w:pPr>
        <w:pStyle w:val="Style18"/>
        <w:keepNext w:val="0"/>
        <w:keepLines w:val="0"/>
        <w:widowControl w:val="0"/>
        <w:shd w:val="clear" w:color="auto" w:fill="auto"/>
        <w:tabs>
          <w:tab w:pos="820" w:val="left"/>
        </w:tabs>
        <w:bidi w:val="0"/>
        <w:spacing w:before="0" w:after="0" w:line="317" w:lineRule="exact"/>
        <w:ind w:left="0" w:right="0"/>
        <w:jc w:val="left"/>
      </w:pPr>
      <w:bookmarkStart w:id="985" w:name="bookmark985"/>
      <w:r>
        <w:rPr>
          <w:color w:val="000000"/>
          <w:spacing w:val="0"/>
          <w:w w:val="100"/>
          <w:position w:val="0"/>
        </w:rPr>
        <w:t>（</w:t>
      </w:r>
      <w:bookmarkEnd w:id="985"/>
      <w:r>
        <w:rPr>
          <w:color w:val="000000"/>
          <w:spacing w:val="0"/>
          <w:w w:val="100"/>
          <w:position w:val="0"/>
        </w:rPr>
        <w:t>3）</w:t>
        <w:tab/>
        <w:t>在资本化期间内，每一会计期间的利息（包括折价或溢价的摊销）资本化金额，按照下列规定确定：</w:t>
      </w:r>
    </w:p>
    <w:p>
      <w:pPr>
        <w:pStyle w:val="Style18"/>
        <w:keepNext w:val="0"/>
        <w:keepLines w:val="0"/>
        <w:widowControl w:val="0"/>
        <w:numPr>
          <w:ilvl w:val="0"/>
          <w:numId w:val="53"/>
        </w:numPr>
        <w:shd w:val="clear" w:color="auto" w:fill="auto"/>
        <w:tabs>
          <w:tab w:pos="728" w:val="left"/>
        </w:tabs>
        <w:bidi w:val="0"/>
        <w:spacing w:before="0" w:after="0" w:line="312" w:lineRule="exact"/>
        <w:ind w:left="0" w:right="0"/>
        <w:jc w:val="left"/>
      </w:pPr>
      <w:bookmarkStart w:id="986" w:name="bookmark986"/>
      <w:bookmarkEnd w:id="986"/>
      <w:r>
        <w:rPr>
          <w:color w:val="000000"/>
          <w:spacing w:val="0"/>
          <w:w w:val="100"/>
          <w:position w:val="0"/>
        </w:rPr>
        <w:t>为购建或者生产符合资本化条件的资产而借入专门借款的，以专门借款当期实际发生的利息费用，减去尚未动用的借 款资金存入银行取得的利息收入或进行暂时性投资取得的投资收益后的金额确定。</w:t>
      </w:r>
    </w:p>
    <w:p>
      <w:pPr>
        <w:pStyle w:val="Style18"/>
        <w:keepNext w:val="0"/>
        <w:keepLines w:val="0"/>
        <w:widowControl w:val="0"/>
        <w:numPr>
          <w:ilvl w:val="0"/>
          <w:numId w:val="53"/>
        </w:numPr>
        <w:shd w:val="clear" w:color="auto" w:fill="auto"/>
        <w:tabs>
          <w:tab w:pos="728" w:val="left"/>
        </w:tabs>
        <w:bidi w:val="0"/>
        <w:spacing w:before="0" w:after="0" w:line="312" w:lineRule="exact"/>
        <w:ind w:left="0" w:right="0"/>
        <w:jc w:val="left"/>
      </w:pPr>
      <w:bookmarkStart w:id="987" w:name="bookmark987"/>
      <w:bookmarkEnd w:id="987"/>
      <w:r>
        <w:rPr>
          <w:color w:val="000000"/>
          <w:spacing w:val="0"/>
          <w:w w:val="100"/>
          <w:position w:val="0"/>
        </w:rPr>
        <w:t>为购建或者生产符合资本化条件的资产而占用了一般借款的，根据累计资产支出超过专门借款部分的资产支出加权平 均数乘以所占用的一般借款的资本化率，计算确定一般借款应予资本化的利息金额。资本化率根据一般借款加权平均利率确 定。</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借款存在折价或溢价的，按照实际利率法确定每一会计期间相应摊销的折价或者溢价的金额，调整每期利息金额。</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在资本化期间内，每一会计期间的利息资本化金额，不超过当期相关借款实际发生的利息金额。</w:t>
      </w:r>
    </w:p>
    <w:p>
      <w:pPr>
        <w:pStyle w:val="Style18"/>
        <w:keepNext w:val="0"/>
        <w:keepLines w:val="0"/>
        <w:widowControl w:val="0"/>
        <w:shd w:val="clear" w:color="auto" w:fill="auto"/>
        <w:tabs>
          <w:tab w:pos="901" w:val="left"/>
        </w:tabs>
        <w:bidi w:val="0"/>
        <w:spacing w:before="0" w:after="0" w:line="317" w:lineRule="exact"/>
        <w:ind w:left="0" w:right="0"/>
        <w:jc w:val="left"/>
      </w:pPr>
      <w:bookmarkStart w:id="988" w:name="bookmark988"/>
      <w:r>
        <w:rPr>
          <w:color w:val="000000"/>
          <w:spacing w:val="0"/>
          <w:w w:val="100"/>
          <w:position w:val="0"/>
        </w:rPr>
        <w:t>（</w:t>
      </w:r>
      <w:bookmarkEnd w:id="988"/>
      <w:r>
        <w:rPr>
          <w:color w:val="000000"/>
          <w:spacing w:val="0"/>
          <w:w w:val="100"/>
          <w:position w:val="0"/>
        </w:rPr>
        <w:t>4）</w:t>
        <w:tab/>
        <w:t>专门借款发生的辅助费用，在所购建或者生产的符合资本化条件的资产达到预定可使用或者可销售状态之前发生 的，在发生时根据其发生额予以资本化，计入符合资本化条件的资产的成本；在所购建或者生产的符合资本化条件的资产达 到预定可使用或者可销售状态之后发生的，在发生时根据其发生额确认为费用，计入当期损益。一般借款发生的辅助费用， 在发生时根据其发生额确认为费用，计入当期损益。</w:t>
      </w:r>
    </w:p>
    <w:p>
      <w:pPr>
        <w:pStyle w:val="Style27"/>
        <w:keepNext/>
        <w:keepLines/>
        <w:widowControl w:val="0"/>
        <w:shd w:val="clear" w:color="auto" w:fill="auto"/>
        <w:tabs>
          <w:tab w:pos="563" w:val="left"/>
        </w:tabs>
        <w:bidi w:val="0"/>
        <w:spacing w:before="0" w:after="280" w:line="240" w:lineRule="auto"/>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89"/>
      <w:bookmarkEnd w:id="990"/>
      <w:bookmarkEnd w:id="992"/>
    </w:p>
    <w:p>
      <w:pPr>
        <w:pStyle w:val="Style18"/>
        <w:keepNext w:val="0"/>
        <w:keepLines w:val="0"/>
        <w:widowControl w:val="0"/>
        <w:shd w:val="clear" w:color="auto" w:fill="auto"/>
        <w:bidi w:val="0"/>
        <w:spacing w:before="0" w:after="660" w:line="314" w:lineRule="exact"/>
        <w:ind w:left="0" w:right="0"/>
        <w:jc w:val="both"/>
      </w:pPr>
      <w:r>
        <w:rPr>
          <w:color w:val="000000"/>
          <w:spacing w:val="0"/>
          <w:w w:val="100"/>
          <w:position w:val="0"/>
        </w:rPr>
        <w:t>无</w:t>
      </w:r>
    </w:p>
    <w:p>
      <w:pPr>
        <w:pStyle w:val="Style27"/>
        <w:keepNext/>
        <w:keepLines/>
        <w:widowControl w:val="0"/>
        <w:shd w:val="clear" w:color="auto" w:fill="auto"/>
        <w:tabs>
          <w:tab w:pos="563" w:val="left"/>
        </w:tabs>
        <w:bidi w:val="0"/>
        <w:spacing w:before="0" w:after="280" w:line="240" w:lineRule="auto"/>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93"/>
      <w:bookmarkEnd w:id="994"/>
      <w:bookmarkEnd w:id="996"/>
    </w:p>
    <w:p>
      <w:pPr>
        <w:pStyle w:val="Style18"/>
        <w:keepNext w:val="0"/>
        <w:keepLines w:val="0"/>
        <w:widowControl w:val="0"/>
        <w:shd w:val="clear" w:color="auto" w:fill="auto"/>
        <w:bidi w:val="0"/>
        <w:spacing w:before="0" w:after="660" w:line="314" w:lineRule="exact"/>
        <w:ind w:left="0" w:right="0"/>
        <w:jc w:val="both"/>
      </w:pPr>
      <w:r>
        <w:rPr>
          <w:color w:val="000000"/>
          <w:spacing w:val="0"/>
          <w:w w:val="100"/>
          <w:position w:val="0"/>
        </w:rPr>
        <w:t>无</w:t>
      </w:r>
    </w:p>
    <w:p>
      <w:pPr>
        <w:pStyle w:val="Style27"/>
        <w:keepNext/>
        <w:keepLines/>
        <w:widowControl w:val="0"/>
        <w:shd w:val="clear" w:color="auto" w:fill="auto"/>
        <w:tabs>
          <w:tab w:pos="563" w:val="left"/>
        </w:tabs>
        <w:bidi w:val="0"/>
        <w:spacing w:before="0" w:after="28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9"/>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00"/>
      <w:bookmarkEnd w:id="997"/>
      <w:bookmarkEnd w:id="998"/>
    </w:p>
    <w:p>
      <w:pPr>
        <w:pStyle w:val="Style18"/>
        <w:keepNext w:val="0"/>
        <w:keepLines w:val="0"/>
        <w:widowControl w:val="0"/>
        <w:shd w:val="clear" w:color="auto" w:fill="auto"/>
        <w:bidi w:val="0"/>
        <w:spacing w:before="0" w:after="360" w:line="314" w:lineRule="exact"/>
        <w:ind w:left="0" w:right="0"/>
        <w:jc w:val="both"/>
      </w:pPr>
      <w:r>
        <w:rPr>
          <w:color w:val="000000"/>
          <w:spacing w:val="0"/>
          <w:w w:val="100"/>
          <w:position w:val="0"/>
        </w:rPr>
        <w:t>详见重要会计政策及会计估计42、租赁。</w:t>
      </w:r>
    </w:p>
    <w:p>
      <w:pPr>
        <w:pStyle w:val="Style27"/>
        <w:keepNext/>
        <w:keepLines/>
        <w:widowControl w:val="0"/>
        <w:shd w:val="clear" w:color="auto" w:fill="auto"/>
        <w:tabs>
          <w:tab w:pos="563" w:val="left"/>
        </w:tabs>
        <w:bidi w:val="0"/>
        <w:spacing w:before="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01"/>
      <w:bookmarkEnd w:id="1002"/>
      <w:bookmarkEnd w:id="1004"/>
    </w:p>
    <w:p>
      <w:pPr>
        <w:pStyle w:val="Style27"/>
        <w:keepNext/>
        <w:keepLines/>
        <w:widowControl w:val="0"/>
        <w:shd w:val="clear" w:color="auto" w:fill="auto"/>
        <w:bidi w:val="0"/>
        <w:spacing w:before="0" w:after="280" w:line="240" w:lineRule="auto"/>
        <w:ind w:left="0" w:right="0" w:firstLine="0"/>
        <w:jc w:val="left"/>
      </w:pPr>
      <w:bookmarkStart w:id="1001" w:name="bookmark1001"/>
      <w:bookmarkStart w:id="1002" w:name="bookmark1002"/>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01"/>
      <w:bookmarkEnd w:id="1002"/>
      <w:bookmarkEnd w:id="1006"/>
    </w:p>
    <w:p>
      <w:pPr>
        <w:pStyle w:val="Style18"/>
        <w:keepNext w:val="0"/>
        <w:keepLines w:val="0"/>
        <w:widowControl w:val="0"/>
        <w:numPr>
          <w:ilvl w:val="0"/>
          <w:numId w:val="55"/>
        </w:numPr>
        <w:shd w:val="clear" w:color="auto" w:fill="auto"/>
        <w:tabs>
          <w:tab w:pos="728" w:val="left"/>
        </w:tabs>
        <w:bidi w:val="0"/>
        <w:spacing w:before="0" w:after="0" w:line="312" w:lineRule="exact"/>
        <w:ind w:left="0" w:right="0"/>
        <w:jc w:val="both"/>
      </w:pPr>
      <w:bookmarkStart w:id="1007" w:name="bookmark1007"/>
      <w:bookmarkEnd w:id="1007"/>
      <w:r>
        <w:rPr>
          <w:color w:val="000000"/>
          <w:spacing w:val="0"/>
          <w:w w:val="100"/>
          <w:position w:val="0"/>
        </w:rPr>
        <w:t>无形资产，是指企业拥有或者控制的没有实物形态的可辨认非货币性资产。无形资产按照成本进行初始计量，于取得 无形资产时分析判断其使用寿命。</w:t>
      </w:r>
    </w:p>
    <w:p>
      <w:pPr>
        <w:pStyle w:val="Style18"/>
        <w:keepNext w:val="0"/>
        <w:keepLines w:val="0"/>
        <w:widowControl w:val="0"/>
        <w:numPr>
          <w:ilvl w:val="0"/>
          <w:numId w:val="55"/>
        </w:numPr>
        <w:shd w:val="clear" w:color="auto" w:fill="auto"/>
        <w:tabs>
          <w:tab w:pos="753" w:val="left"/>
        </w:tabs>
        <w:bidi w:val="0"/>
        <w:spacing w:before="0" w:after="0" w:line="314" w:lineRule="exact"/>
        <w:ind w:left="0" w:right="0"/>
        <w:jc w:val="both"/>
      </w:pPr>
      <w:bookmarkStart w:id="1008" w:name="bookmark1008"/>
      <w:bookmarkEnd w:id="1008"/>
      <w:r>
        <w:rPr>
          <w:color w:val="000000"/>
          <w:spacing w:val="0"/>
          <w:w w:val="100"/>
          <w:position w:val="0"/>
        </w:rPr>
        <w:t>公司确定无形资产使用寿命通常考虑的因素：</w:t>
      </w:r>
    </w:p>
    <w:p>
      <w:pPr>
        <w:pStyle w:val="Style18"/>
        <w:keepNext w:val="0"/>
        <w:keepLines w:val="0"/>
        <w:widowControl w:val="0"/>
        <w:shd w:val="clear" w:color="auto" w:fill="auto"/>
        <w:tabs>
          <w:tab w:pos="729" w:val="left"/>
        </w:tabs>
        <w:bidi w:val="0"/>
        <w:spacing w:before="0" w:after="0" w:line="314" w:lineRule="exact"/>
        <w:ind w:left="0" w:right="0"/>
        <w:jc w:val="both"/>
      </w:pPr>
      <w:bookmarkStart w:id="1009" w:name="bookmark1009"/>
      <w:r>
        <w:rPr>
          <w:color w:val="000000"/>
          <w:spacing w:val="0"/>
          <w:w w:val="100"/>
          <w:position w:val="0"/>
        </w:rPr>
        <w:t>1</w:t>
      </w:r>
      <w:bookmarkEnd w:id="1009"/>
      <w:r>
        <w:rPr>
          <w:color w:val="000000"/>
          <w:spacing w:val="0"/>
          <w:w w:val="100"/>
          <w:position w:val="0"/>
        </w:rPr>
        <w:t>）</w:t>
        <w:tab/>
        <w:t>运用该资产生产的产品通常的寿命周期、可获得的类似资产使用寿命的信息；</w:t>
      </w:r>
    </w:p>
    <w:p>
      <w:pPr>
        <w:pStyle w:val="Style18"/>
        <w:keepNext w:val="0"/>
        <w:keepLines w:val="0"/>
        <w:widowControl w:val="0"/>
        <w:shd w:val="clear" w:color="auto" w:fill="auto"/>
        <w:tabs>
          <w:tab w:pos="738" w:val="left"/>
        </w:tabs>
        <w:bidi w:val="0"/>
        <w:spacing w:before="0" w:after="0" w:line="314" w:lineRule="exact"/>
        <w:ind w:left="0" w:right="0"/>
        <w:jc w:val="both"/>
      </w:pPr>
      <w:bookmarkStart w:id="1010" w:name="bookmark1010"/>
      <w:r>
        <w:rPr>
          <w:color w:val="000000"/>
          <w:spacing w:val="0"/>
          <w:w w:val="100"/>
          <w:position w:val="0"/>
        </w:rPr>
        <w:t>2</w:t>
      </w:r>
      <w:bookmarkEnd w:id="1010"/>
      <w:r>
        <w:rPr>
          <w:color w:val="000000"/>
          <w:spacing w:val="0"/>
          <w:w w:val="100"/>
          <w:position w:val="0"/>
        </w:rPr>
        <w:t>）</w:t>
        <w:tab/>
        <w:t>技术、工艺等方面的现阶段情况及对未来发展趋势的估计；</w:t>
      </w:r>
    </w:p>
    <w:p>
      <w:pPr>
        <w:pStyle w:val="Style18"/>
        <w:keepNext w:val="0"/>
        <w:keepLines w:val="0"/>
        <w:widowControl w:val="0"/>
        <w:shd w:val="clear" w:color="auto" w:fill="auto"/>
        <w:tabs>
          <w:tab w:pos="738" w:val="left"/>
        </w:tabs>
        <w:bidi w:val="0"/>
        <w:spacing w:before="0" w:after="0" w:line="314" w:lineRule="exact"/>
        <w:ind w:left="0" w:right="0"/>
        <w:jc w:val="both"/>
      </w:pPr>
      <w:bookmarkStart w:id="1011" w:name="bookmark1011"/>
      <w:r>
        <w:rPr>
          <w:color w:val="000000"/>
          <w:spacing w:val="0"/>
          <w:w w:val="100"/>
          <w:position w:val="0"/>
        </w:rPr>
        <w:t>3</w:t>
      </w:r>
      <w:bookmarkEnd w:id="1011"/>
      <w:r>
        <w:rPr>
          <w:color w:val="000000"/>
          <w:spacing w:val="0"/>
          <w:w w:val="100"/>
          <w:position w:val="0"/>
        </w:rPr>
        <w:t>）</w:t>
        <w:tab/>
        <w:t>以该资产生产的产品或提供服务的市场需求情况；</w:t>
      </w:r>
    </w:p>
    <w:p>
      <w:pPr>
        <w:pStyle w:val="Style18"/>
        <w:keepNext w:val="0"/>
        <w:keepLines w:val="0"/>
        <w:widowControl w:val="0"/>
        <w:shd w:val="clear" w:color="auto" w:fill="auto"/>
        <w:tabs>
          <w:tab w:pos="743" w:val="left"/>
        </w:tabs>
        <w:bidi w:val="0"/>
        <w:spacing w:before="0" w:after="0" w:line="314" w:lineRule="exact"/>
        <w:ind w:left="0" w:right="0"/>
        <w:jc w:val="both"/>
      </w:pPr>
      <w:bookmarkStart w:id="1012" w:name="bookmark1012"/>
      <w:r>
        <w:rPr>
          <w:color w:val="000000"/>
          <w:spacing w:val="0"/>
          <w:w w:val="100"/>
          <w:position w:val="0"/>
        </w:rPr>
        <w:t>4</w:t>
      </w:r>
      <w:bookmarkEnd w:id="1012"/>
      <w:r>
        <w:rPr>
          <w:color w:val="000000"/>
          <w:spacing w:val="0"/>
          <w:w w:val="100"/>
          <w:position w:val="0"/>
        </w:rPr>
        <w:t>）</w:t>
        <w:tab/>
        <w:t>现在或潜在的竞争者预期采取的行动；</w:t>
      </w:r>
    </w:p>
    <w:p>
      <w:pPr>
        <w:pStyle w:val="Style18"/>
        <w:keepNext w:val="0"/>
        <w:keepLines w:val="0"/>
        <w:widowControl w:val="0"/>
        <w:shd w:val="clear" w:color="auto" w:fill="auto"/>
        <w:tabs>
          <w:tab w:pos="743" w:val="left"/>
        </w:tabs>
        <w:bidi w:val="0"/>
        <w:spacing w:before="0" w:after="0" w:line="314" w:lineRule="exact"/>
        <w:ind w:left="0" w:right="0"/>
        <w:jc w:val="both"/>
      </w:pPr>
      <w:bookmarkStart w:id="1013" w:name="bookmark1013"/>
      <w:r>
        <w:rPr>
          <w:color w:val="000000"/>
          <w:spacing w:val="0"/>
          <w:w w:val="100"/>
          <w:position w:val="0"/>
        </w:rPr>
        <w:t>5</w:t>
      </w:r>
      <w:bookmarkEnd w:id="1013"/>
      <w:r>
        <w:rPr>
          <w:color w:val="000000"/>
          <w:spacing w:val="0"/>
          <w:w w:val="100"/>
          <w:position w:val="0"/>
        </w:rPr>
        <w:t>）</w:t>
        <w:tab/>
        <w:t>为维持该资产带来经济利益能力的预期维护支出，以及公司预计支付有关支出的能力；</w:t>
      </w:r>
    </w:p>
    <w:p>
      <w:pPr>
        <w:pStyle w:val="Style18"/>
        <w:keepNext w:val="0"/>
        <w:keepLines w:val="0"/>
        <w:widowControl w:val="0"/>
        <w:shd w:val="clear" w:color="auto" w:fill="auto"/>
        <w:tabs>
          <w:tab w:pos="743" w:val="left"/>
        </w:tabs>
        <w:bidi w:val="0"/>
        <w:spacing w:before="0" w:after="0" w:line="314" w:lineRule="exact"/>
        <w:ind w:left="0" w:right="0"/>
        <w:jc w:val="both"/>
      </w:pPr>
      <w:bookmarkStart w:id="1014" w:name="bookmark1014"/>
      <w:r>
        <w:rPr>
          <w:color w:val="000000"/>
          <w:spacing w:val="0"/>
          <w:w w:val="100"/>
          <w:position w:val="0"/>
        </w:rPr>
        <w:t>6</w:t>
      </w:r>
      <w:bookmarkEnd w:id="1014"/>
      <w:r>
        <w:rPr>
          <w:color w:val="000000"/>
          <w:spacing w:val="0"/>
          <w:w w:val="100"/>
          <w:position w:val="0"/>
        </w:rPr>
        <w:t>）</w:t>
        <w:tab/>
        <w:t>对该资产控制期限的相关法律规定或类似限制，如特许使用期、租赁期等；</w:t>
      </w:r>
    </w:p>
    <w:p>
      <w:pPr>
        <w:pStyle w:val="Style18"/>
        <w:keepNext w:val="0"/>
        <w:keepLines w:val="0"/>
        <w:widowControl w:val="0"/>
        <w:shd w:val="clear" w:color="auto" w:fill="auto"/>
        <w:tabs>
          <w:tab w:pos="743" w:val="left"/>
        </w:tabs>
        <w:bidi w:val="0"/>
        <w:spacing w:before="0" w:after="0" w:line="314" w:lineRule="exact"/>
        <w:ind w:left="0" w:right="0"/>
        <w:jc w:val="both"/>
      </w:pPr>
      <w:bookmarkStart w:id="1015" w:name="bookmark1015"/>
      <w:r>
        <w:rPr>
          <w:color w:val="000000"/>
          <w:spacing w:val="0"/>
          <w:w w:val="100"/>
          <w:position w:val="0"/>
        </w:rPr>
        <w:t>7</w:t>
      </w:r>
      <w:bookmarkEnd w:id="1015"/>
      <w:r>
        <w:rPr>
          <w:color w:val="000000"/>
          <w:spacing w:val="0"/>
          <w:w w:val="100"/>
          <w:position w:val="0"/>
        </w:rPr>
        <w:t>）</w:t>
        <w:tab/>
        <w:t>与企业持有其他资产使用寿命的关联性等。</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无法预见无形资产为公司带来经济利益期限的，视为使用寿命不确定的无形资产。</w:t>
      </w:r>
    </w:p>
    <w:p>
      <w:pPr>
        <w:pStyle w:val="Style18"/>
        <w:keepNext w:val="0"/>
        <w:keepLines w:val="0"/>
        <w:widowControl w:val="0"/>
        <w:numPr>
          <w:ilvl w:val="0"/>
          <w:numId w:val="55"/>
        </w:numPr>
        <w:shd w:val="clear" w:color="auto" w:fill="auto"/>
        <w:tabs>
          <w:tab w:pos="728" w:val="left"/>
        </w:tabs>
        <w:bidi w:val="0"/>
        <w:spacing w:before="0" w:after="140" w:line="317" w:lineRule="exact"/>
        <w:ind w:left="0" w:right="0"/>
        <w:jc w:val="both"/>
      </w:pPr>
      <w:bookmarkStart w:id="1016" w:name="bookmark1016"/>
      <w:bookmarkEnd w:id="1016"/>
      <w:r>
        <w:rPr>
          <w:color w:val="000000"/>
          <w:spacing w:val="0"/>
          <w:w w:val="100"/>
          <w:position w:val="0"/>
        </w:rPr>
        <w:t xml:space="preserve">对于使用寿命有限的无形资产，在使用寿命内按直线法摊销。公司于每年年度终了，对使用寿命有限的无形资产的使 用寿命及摊销方法进行复核。无形资产的使用寿命及摊销方法与以前估计不同的，将改变摊销期限和摊销方法。使用寿命不 </w:t>
      </w:r>
      <w:r>
        <w:rPr>
          <w:color w:val="000000"/>
          <w:spacing w:val="0"/>
          <w:w w:val="100"/>
          <w:position w:val="0"/>
        </w:rPr>
        <w:t>确定的无形资产不进行摊销。</w:t>
      </w:r>
    </w:p>
    <w:p>
      <w:pPr>
        <w:pStyle w:val="Style18"/>
        <w:keepNext w:val="0"/>
        <w:keepLines w:val="0"/>
        <w:widowControl w:val="0"/>
        <w:numPr>
          <w:ilvl w:val="0"/>
          <w:numId w:val="55"/>
        </w:numPr>
        <w:shd w:val="clear" w:color="auto" w:fill="auto"/>
        <w:bidi w:val="0"/>
        <w:spacing w:before="0" w:after="80" w:line="240" w:lineRule="auto"/>
        <w:ind w:left="0" w:right="0"/>
        <w:jc w:val="both"/>
      </w:pPr>
      <w:bookmarkStart w:id="1017" w:name="bookmark1017"/>
      <w:bookmarkEnd w:id="1017"/>
      <w:r>
        <w:rPr>
          <w:color w:val="000000"/>
          <w:spacing w:val="0"/>
          <w:w w:val="100"/>
          <w:position w:val="0"/>
        </w:rPr>
        <w:t>使用寿命有限的无形资产项目的使用寿命及摊销方法如下:</w:t>
      </w:r>
    </w:p>
    <w:tbl>
      <w:tblPr>
        <w:tblOverlap w:val="never"/>
        <w:jc w:val="center"/>
        <w:tblLayout w:type="fixed"/>
      </w:tblPr>
      <w:tblGrid>
        <w:gridCol w:w="2563"/>
        <w:gridCol w:w="2477"/>
        <w:gridCol w:w="4195"/>
      </w:tblGrid>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使用寿命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摊销方法</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50年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专有技术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商标使用权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5-10 </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r>
    </w:tbl>
    <w:p>
      <w:pPr>
        <w:pStyle w:val="Style27"/>
        <w:keepNext/>
        <w:keepLines/>
        <w:widowControl w:val="0"/>
        <w:shd w:val="clear" w:color="auto" w:fill="auto"/>
        <w:bidi w:val="0"/>
        <w:spacing w:before="0" w:after="28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18"/>
      <w:bookmarkEnd w:id="1019"/>
      <w:bookmarkEnd w:id="1021"/>
    </w:p>
    <w:p>
      <w:pPr>
        <w:pStyle w:val="Style18"/>
        <w:keepNext w:val="0"/>
        <w:keepLines w:val="0"/>
        <w:widowControl w:val="0"/>
        <w:numPr>
          <w:ilvl w:val="0"/>
          <w:numId w:val="57"/>
        </w:numPr>
        <w:shd w:val="clear" w:color="auto" w:fill="auto"/>
        <w:tabs>
          <w:tab w:pos="706" w:val="left"/>
        </w:tabs>
        <w:bidi w:val="0"/>
        <w:spacing w:before="0" w:after="0" w:line="311" w:lineRule="exact"/>
        <w:ind w:left="0" w:right="0"/>
        <w:jc w:val="both"/>
      </w:pPr>
      <w:bookmarkStart w:id="1022" w:name="bookmark1022"/>
      <w:bookmarkEnd w:id="1022"/>
      <w:r>
        <w:rPr>
          <w:color w:val="000000"/>
          <w:spacing w:val="0"/>
          <w:w w:val="100"/>
          <w:position w:val="0"/>
        </w:rPr>
        <w:t>内部研究开发项目的支出，包括研究阶段支出与开发阶段支出，其中：</w:t>
      </w:r>
    </w:p>
    <w:p>
      <w:pPr>
        <w:pStyle w:val="Style18"/>
        <w:keepNext w:val="0"/>
        <w:keepLines w:val="0"/>
        <w:widowControl w:val="0"/>
        <w:shd w:val="clear" w:color="auto" w:fill="auto"/>
        <w:tabs>
          <w:tab w:pos="682" w:val="left"/>
        </w:tabs>
        <w:bidi w:val="0"/>
        <w:spacing w:before="0" w:after="0" w:line="322" w:lineRule="exact"/>
        <w:ind w:left="0" w:right="0"/>
        <w:jc w:val="both"/>
      </w:pPr>
      <w:bookmarkStart w:id="1023" w:name="bookmark1023"/>
      <w:r>
        <w:rPr>
          <w:color w:val="000000"/>
          <w:spacing w:val="0"/>
          <w:w w:val="100"/>
          <w:position w:val="0"/>
        </w:rPr>
        <w:t>1</w:t>
      </w:r>
      <w:bookmarkEnd w:id="1023"/>
      <w:r>
        <w:rPr>
          <w:color w:val="000000"/>
          <w:spacing w:val="0"/>
          <w:w w:val="100"/>
          <w:position w:val="0"/>
        </w:rPr>
        <w:t>）</w:t>
        <w:tab/>
        <w:t>研究是指为获取并理解新的科学或技术知识而进行的独创性的有计划调查。</w:t>
      </w:r>
    </w:p>
    <w:p>
      <w:pPr>
        <w:pStyle w:val="Style18"/>
        <w:keepNext w:val="0"/>
        <w:keepLines w:val="0"/>
        <w:widowControl w:val="0"/>
        <w:shd w:val="clear" w:color="auto" w:fill="auto"/>
        <w:tabs>
          <w:tab w:pos="667" w:val="left"/>
        </w:tabs>
        <w:bidi w:val="0"/>
        <w:spacing w:before="0" w:after="0" w:line="322" w:lineRule="exact"/>
        <w:ind w:left="0" w:right="0"/>
        <w:jc w:val="both"/>
      </w:pPr>
      <w:bookmarkStart w:id="1024" w:name="bookmark1024"/>
      <w:r>
        <w:rPr>
          <w:color w:val="000000"/>
          <w:spacing w:val="0"/>
          <w:w w:val="100"/>
          <w:position w:val="0"/>
        </w:rPr>
        <w:t>2</w:t>
      </w:r>
      <w:bookmarkEnd w:id="1024"/>
      <w:r>
        <w:rPr>
          <w:color w:val="000000"/>
          <w:spacing w:val="0"/>
          <w:w w:val="100"/>
          <w:position w:val="0"/>
        </w:rPr>
        <w:t>）</w:t>
        <w:tab/>
        <w:t>开发是指在进行商业性生产或使用前，将研究成果或其他知识应用于某项计划或设计，以生产出新的或具有实质性 改进的材料、装置、产品等。</w:t>
      </w:r>
    </w:p>
    <w:p>
      <w:pPr>
        <w:pStyle w:val="Style18"/>
        <w:keepNext w:val="0"/>
        <w:keepLines w:val="0"/>
        <w:widowControl w:val="0"/>
        <w:numPr>
          <w:ilvl w:val="0"/>
          <w:numId w:val="57"/>
        </w:numPr>
        <w:shd w:val="clear" w:color="auto" w:fill="auto"/>
        <w:tabs>
          <w:tab w:pos="681" w:val="left"/>
        </w:tabs>
        <w:bidi w:val="0"/>
        <w:spacing w:before="0" w:after="0" w:line="298" w:lineRule="exact"/>
        <w:ind w:left="0" w:right="0"/>
        <w:jc w:val="both"/>
      </w:pPr>
      <w:bookmarkStart w:id="1025" w:name="bookmark1025"/>
      <w:bookmarkEnd w:id="1025"/>
      <w:r>
        <w:rPr>
          <w:color w:val="000000"/>
          <w:spacing w:val="0"/>
          <w:w w:val="100"/>
          <w:position w:val="0"/>
        </w:rPr>
        <w:t>内部研究开发项目在研究阶段的支出于发生时计入当期损益；开发阶段的支出，同时满足下列条件的，确认为无形资 产：</w:t>
      </w:r>
    </w:p>
    <w:p>
      <w:pPr>
        <w:pStyle w:val="Style18"/>
        <w:keepNext w:val="0"/>
        <w:keepLines w:val="0"/>
        <w:widowControl w:val="0"/>
        <w:shd w:val="clear" w:color="auto" w:fill="auto"/>
        <w:tabs>
          <w:tab w:pos="682" w:val="left"/>
        </w:tabs>
        <w:bidi w:val="0"/>
        <w:spacing w:before="0" w:after="0" w:line="311" w:lineRule="exact"/>
        <w:ind w:left="0" w:right="0"/>
        <w:jc w:val="both"/>
      </w:pPr>
      <w:bookmarkStart w:id="1026" w:name="bookmark1026"/>
      <w:r>
        <w:rPr>
          <w:color w:val="000000"/>
          <w:spacing w:val="0"/>
          <w:w w:val="100"/>
          <w:position w:val="0"/>
        </w:rPr>
        <w:t>1</w:t>
      </w:r>
      <w:bookmarkEnd w:id="1026"/>
      <w:r>
        <w:rPr>
          <w:color w:val="000000"/>
          <w:spacing w:val="0"/>
          <w:w w:val="100"/>
          <w:position w:val="0"/>
        </w:rPr>
        <w:t>）</w:t>
        <w:tab/>
        <w:t>完成该无形资产以使其能够使用或出售在技术上具有可行性；</w:t>
      </w:r>
    </w:p>
    <w:p>
      <w:pPr>
        <w:pStyle w:val="Style18"/>
        <w:keepNext w:val="0"/>
        <w:keepLines w:val="0"/>
        <w:widowControl w:val="0"/>
        <w:shd w:val="clear" w:color="auto" w:fill="auto"/>
        <w:tabs>
          <w:tab w:pos="691" w:val="left"/>
        </w:tabs>
        <w:bidi w:val="0"/>
        <w:spacing w:before="0" w:after="0" w:line="311" w:lineRule="exact"/>
        <w:ind w:left="0" w:right="0"/>
        <w:jc w:val="both"/>
      </w:pPr>
      <w:bookmarkStart w:id="1027" w:name="bookmark1027"/>
      <w:r>
        <w:rPr>
          <w:color w:val="000000"/>
          <w:spacing w:val="0"/>
          <w:w w:val="100"/>
          <w:position w:val="0"/>
        </w:rPr>
        <w:t>2</w:t>
      </w:r>
      <w:bookmarkEnd w:id="1027"/>
      <w:r>
        <w:rPr>
          <w:color w:val="000000"/>
          <w:spacing w:val="0"/>
          <w:w w:val="100"/>
          <w:position w:val="0"/>
        </w:rPr>
        <w:t>）</w:t>
        <w:tab/>
        <w:t>具有完成该无形资产并使用或出售的意图；</w:t>
      </w:r>
    </w:p>
    <w:p>
      <w:pPr>
        <w:pStyle w:val="Style18"/>
        <w:keepNext w:val="0"/>
        <w:keepLines w:val="0"/>
        <w:widowControl w:val="0"/>
        <w:shd w:val="clear" w:color="auto" w:fill="auto"/>
        <w:tabs>
          <w:tab w:pos="667" w:val="left"/>
        </w:tabs>
        <w:bidi w:val="0"/>
        <w:spacing w:before="0" w:after="0" w:line="322" w:lineRule="exact"/>
        <w:ind w:left="0" w:right="0"/>
        <w:jc w:val="both"/>
      </w:pPr>
      <w:bookmarkStart w:id="1028" w:name="bookmark1028"/>
      <w:r>
        <w:rPr>
          <w:color w:val="000000"/>
          <w:spacing w:val="0"/>
          <w:w w:val="100"/>
          <w:position w:val="0"/>
        </w:rPr>
        <w:t>3</w:t>
      </w:r>
      <w:bookmarkEnd w:id="1028"/>
      <w:r>
        <w:rPr>
          <w:color w:val="000000"/>
          <w:spacing w:val="0"/>
          <w:w w:val="100"/>
          <w:position w:val="0"/>
        </w:rPr>
        <w:t>）</w:t>
        <w:tab/>
        <w:t>无形资产产生经济利益的方式，包括能够证明运用该无形资产生产的产品存在市场或无形资产自身存在市场，无形 资产将在内部使用的，应当证明其有用性；</w:t>
      </w:r>
    </w:p>
    <w:p>
      <w:pPr>
        <w:pStyle w:val="Style18"/>
        <w:keepNext w:val="0"/>
        <w:keepLines w:val="0"/>
        <w:widowControl w:val="0"/>
        <w:shd w:val="clear" w:color="auto" w:fill="auto"/>
        <w:tabs>
          <w:tab w:pos="696" w:val="left"/>
        </w:tabs>
        <w:bidi w:val="0"/>
        <w:spacing w:before="0" w:after="0" w:line="311" w:lineRule="exact"/>
        <w:ind w:left="0" w:right="0"/>
        <w:jc w:val="both"/>
      </w:pPr>
      <w:bookmarkStart w:id="1029" w:name="bookmark1029"/>
      <w:r>
        <w:rPr>
          <w:color w:val="000000"/>
          <w:spacing w:val="0"/>
          <w:w w:val="100"/>
          <w:position w:val="0"/>
        </w:rPr>
        <w:t>4</w:t>
      </w:r>
      <w:bookmarkEnd w:id="1029"/>
      <w:r>
        <w:rPr>
          <w:color w:val="000000"/>
          <w:spacing w:val="0"/>
          <w:w w:val="100"/>
          <w:position w:val="0"/>
        </w:rPr>
        <w:t>）</w:t>
        <w:tab/>
        <w:t>有足够的技术、财务资源和其他资源支持，以完成该无形资产的开发，并有能力使用或出售该无形资产；</w:t>
      </w:r>
    </w:p>
    <w:p>
      <w:pPr>
        <w:pStyle w:val="Style18"/>
        <w:keepNext w:val="0"/>
        <w:keepLines w:val="0"/>
        <w:widowControl w:val="0"/>
        <w:shd w:val="clear" w:color="auto" w:fill="auto"/>
        <w:tabs>
          <w:tab w:pos="696" w:val="left"/>
        </w:tabs>
        <w:bidi w:val="0"/>
        <w:spacing w:before="0" w:after="720" w:line="311" w:lineRule="exact"/>
        <w:ind w:left="0" w:right="0"/>
        <w:jc w:val="both"/>
      </w:pPr>
      <w:bookmarkStart w:id="1030" w:name="bookmark1030"/>
      <w:r>
        <w:rPr>
          <w:color w:val="000000"/>
          <w:spacing w:val="0"/>
          <w:w w:val="100"/>
          <w:position w:val="0"/>
        </w:rPr>
        <w:t>5</w:t>
      </w:r>
      <w:bookmarkEnd w:id="1030"/>
      <w:r>
        <w:rPr>
          <w:color w:val="000000"/>
          <w:spacing w:val="0"/>
          <w:w w:val="100"/>
          <w:position w:val="0"/>
        </w:rPr>
        <w:t>）</w:t>
        <w:tab/>
        <w:t>归属于该无形资产开发阶段的支出能够可靠地计量。</w:t>
      </w:r>
    </w:p>
    <w:p>
      <w:pPr>
        <w:pStyle w:val="Style27"/>
        <w:keepNext/>
        <w:keepLines/>
        <w:widowControl w:val="0"/>
        <w:shd w:val="clear" w:color="auto" w:fill="auto"/>
        <w:bidi w:val="0"/>
        <w:spacing w:before="0" w:after="28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3</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31"/>
      <w:bookmarkEnd w:id="1032"/>
      <w:bookmarkEnd w:id="1034"/>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业的长期股权投资等非流动非金融资产，公司于资产负债表日判断是否存在减值迹象。如存在减值迹象的，则估计其可收回 金额，进行减值测试。商誉、使用寿命不确定的无形资产和尚未达到可使用状态的无形资产，无论是否存在减值迹象，每年 均进行减值测试。</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益的资产组或者资产组组合，且不大于公司确定的报告分部。</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对包含商誉的相关资产组或者资产组组合进行减值测试时，如与商誉相关的资产组或者资产组组合存在减值迹象的，首 先对不包含商誉的资产组或者资产组组合进行减值测试，计算可收回金额，确认相应的减值损失。然后对包含商誉的资产组 或者资产组组合进行减值测试，比较其账面价值与可收回金额，如可收回金额低于账面价值的，减值损失金额首先抵减分摊 至资产组或资产组组合中商誉的账面价值，再根据资产组或资产组组合中除商誉之外的其他各项资产的账面价值所占比重， 按比例抵减其他各项资产的账面价值，但抵减后的各资产的账面价值不得低于该资产的公允价值减去处置费用后的净额（如 可确定的）和该资产预计未来现金流量的现值（如可确定的）两者之间较高者，同时也不低于零。</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上述资产减值损失一经确认，以后期间不予转回价值得以恢复的部分。</w:t>
      </w:r>
    </w:p>
    <w:p>
      <w:pPr>
        <w:pStyle w:val="Style27"/>
        <w:keepNext/>
        <w:keepLines/>
        <w:widowControl w:val="0"/>
        <w:shd w:val="clear" w:color="auto" w:fill="auto"/>
        <w:tabs>
          <w:tab w:pos="514" w:val="left"/>
        </w:tabs>
        <w:bidi w:val="0"/>
        <w:spacing w:before="0" w:after="28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3</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35"/>
      <w:bookmarkEnd w:id="1036"/>
      <w:bookmarkEnd w:id="1038"/>
    </w:p>
    <w:p>
      <w:pPr>
        <w:pStyle w:val="Style18"/>
        <w:keepNext w:val="0"/>
        <w:keepLines w:val="0"/>
        <w:widowControl w:val="0"/>
        <w:shd w:val="clear" w:color="auto" w:fill="auto"/>
        <w:bidi w:val="0"/>
        <w:spacing w:before="0" w:after="720" w:line="314" w:lineRule="exact"/>
        <w:ind w:left="0" w:right="0"/>
        <w:jc w:val="both"/>
      </w:pPr>
      <w:r>
        <w:rPr>
          <w:color w:val="000000"/>
          <w:spacing w:val="0"/>
          <w:w w:val="100"/>
          <w:position w:val="0"/>
        </w:rPr>
        <w:t>长期待摊费用是公司已经发生但应由本期和以后各期负担的分摊期限在1年以上（不含1年）的各项费用。本公司的长期 待摊费用主要包括装修费、预付房租及服务费、产品推广费等。长期待摊费用在预计受益期内按直线法摊销，如果长期待摊 费用项目不能使以后会计期间受益的，则将其尚未摊销的摊余价值全部转入当期损益。</w:t>
      </w:r>
    </w:p>
    <w:p>
      <w:pPr>
        <w:pStyle w:val="Style27"/>
        <w:keepNext/>
        <w:keepLines/>
        <w:widowControl w:val="0"/>
        <w:shd w:val="clear" w:color="auto" w:fill="auto"/>
        <w:tabs>
          <w:tab w:pos="514" w:val="left"/>
        </w:tabs>
        <w:bidi w:val="0"/>
        <w:spacing w:before="0" w:after="28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3</w:t>
      </w:r>
      <w:bookmarkEnd w:id="1041"/>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39"/>
      <w:bookmarkEnd w:id="1040"/>
      <w:bookmarkEnd w:id="1042"/>
    </w:p>
    <w:p>
      <w:pPr>
        <w:pStyle w:val="Style18"/>
        <w:keepNext w:val="0"/>
        <w:keepLines w:val="0"/>
        <w:widowControl w:val="0"/>
        <w:shd w:val="clear" w:color="auto" w:fill="auto"/>
        <w:bidi w:val="0"/>
        <w:spacing w:before="0" w:after="1060" w:line="314" w:lineRule="exact"/>
        <w:ind w:left="0" w:right="0"/>
        <w:jc w:val="both"/>
      </w:pPr>
      <w:r>
        <w:rPr>
          <w:color w:val="000000"/>
          <w:spacing w:val="0"/>
          <w:w w:val="100"/>
          <w:position w:val="0"/>
        </w:rPr>
        <w:t>合同负债，是指本公司已收或应收客户对价而应向客户转让商品的义务。如果在本公司向客户转让商品之前，客户已经 支付了合同对价或本公司已经取得了无条件收款权，本公司在客户实际支付款项和到期应支付款项孰早时点，将该已收或应 收款项列示为合同负债。同一合同下的合同资产和合同负债以净额列示，不同合同下的合同资产和合同负债不予抵销。</w:t>
      </w:r>
    </w:p>
    <w:p>
      <w:pPr>
        <w:pStyle w:val="Style27"/>
        <w:keepNext/>
        <w:keepLines/>
        <w:widowControl w:val="0"/>
        <w:shd w:val="clear" w:color="auto" w:fill="auto"/>
        <w:bidi w:val="0"/>
        <w:spacing w:before="0" w:after="34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3</w:t>
      </w:r>
      <w:bookmarkEnd w:id="1045"/>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043"/>
      <w:bookmarkEnd w:id="1044"/>
      <w:bookmarkEnd w:id="1046"/>
    </w:p>
    <w:p>
      <w:pPr>
        <w:pStyle w:val="Style27"/>
        <w:keepNext/>
        <w:keepLines/>
        <w:widowControl w:val="0"/>
        <w:shd w:val="clear" w:color="auto" w:fill="auto"/>
        <w:tabs>
          <w:tab w:pos="514" w:val="left"/>
        </w:tabs>
        <w:bidi w:val="0"/>
        <w:spacing w:before="0" w:after="280" w:line="240" w:lineRule="auto"/>
        <w:ind w:left="0" w:right="0" w:firstLine="0"/>
        <w:jc w:val="left"/>
      </w:pPr>
      <w:bookmarkStart w:id="1043" w:name="bookmark1043"/>
      <w:bookmarkStart w:id="1044" w:name="bookmark1044"/>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43"/>
      <w:bookmarkEnd w:id="1044"/>
      <w:bookmarkEnd w:id="1048"/>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短期薪酬是指公司在职工提供相关服务的年度报告期间结束后十二个月内需要全部予以支付的职工薪酬。</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短期薪酬包括职工工资、奖金、津贴和补贴，职工福利费、医疗保险费、工伤保险费和生育保险费等社会保险费，住房 公积金、工会经费和职工教育经费，短期带薪缺勤、短期利润分享计划，非货币性福利以及其他短期薪酬。</w:t>
      </w:r>
    </w:p>
    <w:p>
      <w:pPr>
        <w:pStyle w:val="Style18"/>
        <w:keepNext w:val="0"/>
        <w:keepLines w:val="0"/>
        <w:widowControl w:val="0"/>
        <w:shd w:val="clear" w:color="auto" w:fill="auto"/>
        <w:bidi w:val="0"/>
        <w:spacing w:before="0" w:after="680" w:line="312" w:lineRule="exact"/>
        <w:ind w:left="0" w:right="0"/>
        <w:jc w:val="both"/>
      </w:pPr>
      <w:r>
        <w:rPr>
          <w:color w:val="000000"/>
          <w:spacing w:val="0"/>
          <w:w w:val="100"/>
          <w:position w:val="0"/>
        </w:rPr>
        <w:t>短期薪酬在职工为公司提供服务的会计期间，将实际发生的短期薪酬确认为负债，并计入当期损益或相关资产成本。</w:t>
      </w:r>
    </w:p>
    <w:p>
      <w:pPr>
        <w:pStyle w:val="Style27"/>
        <w:keepNext/>
        <w:keepLines/>
        <w:widowControl w:val="0"/>
        <w:shd w:val="clear" w:color="auto" w:fill="auto"/>
        <w:tabs>
          <w:tab w:pos="514" w:val="left"/>
        </w:tabs>
        <w:bidi w:val="0"/>
        <w:spacing w:before="0" w:after="28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49"/>
      <w:bookmarkEnd w:id="1050"/>
      <w:bookmarkEnd w:id="1052"/>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离职后福利是指公司为获得员工提供的服务而在职工退休或与公司解除劳动关系后，提供的各种形式的报酬和福利，短 期薪酬和辞退福利除外。</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离职后福利计划包括设定提存计划和设定受益计划。其中，设定提存计划，是指向独立的基金缴存固定费用后，公司不 再承担进一步支付义务的离职后福利计划；设定受益计划，是指除设定提存计划以外的离职后福利计划。</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设定提存计划包括基本养老保险、失业保险等。在职工提供服务的会计期间，根据设定提存计划计算的应缴存金额确认 为负债，并计入当期损益或相关资产成本。</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于报告期末，将设定受益计划产生的职工薪酬成本确认为下列组成部分：</w:t>
      </w:r>
    </w:p>
    <w:p>
      <w:pPr>
        <w:pStyle w:val="Style18"/>
        <w:keepNext w:val="0"/>
        <w:keepLines w:val="0"/>
        <w:widowControl w:val="0"/>
        <w:numPr>
          <w:ilvl w:val="0"/>
          <w:numId w:val="59"/>
        </w:numPr>
        <w:shd w:val="clear" w:color="auto" w:fill="auto"/>
        <w:tabs>
          <w:tab w:pos="753" w:val="left"/>
        </w:tabs>
        <w:bidi w:val="0"/>
        <w:spacing w:before="0" w:after="0" w:line="312" w:lineRule="exact"/>
        <w:ind w:left="0" w:right="0"/>
        <w:jc w:val="both"/>
      </w:pPr>
      <w:bookmarkStart w:id="1053" w:name="bookmark1053"/>
      <w:bookmarkEnd w:id="1053"/>
      <w:r>
        <w:rPr>
          <w:color w:val="000000"/>
          <w:spacing w:val="0"/>
          <w:w w:val="100"/>
          <w:position w:val="0"/>
        </w:rPr>
        <w:t>服务成本，包括当期服务成本、过去服务成本和结算利得或损失；</w:t>
      </w:r>
    </w:p>
    <w:p>
      <w:pPr>
        <w:pStyle w:val="Style18"/>
        <w:keepNext w:val="0"/>
        <w:keepLines w:val="0"/>
        <w:widowControl w:val="0"/>
        <w:numPr>
          <w:ilvl w:val="0"/>
          <w:numId w:val="59"/>
        </w:numPr>
        <w:shd w:val="clear" w:color="auto" w:fill="auto"/>
        <w:tabs>
          <w:tab w:pos="723" w:val="left"/>
        </w:tabs>
        <w:bidi w:val="0"/>
        <w:spacing w:before="0" w:after="0" w:line="312" w:lineRule="exact"/>
        <w:ind w:left="0" w:right="0"/>
        <w:jc w:val="both"/>
      </w:pPr>
      <w:bookmarkStart w:id="1054" w:name="bookmark1054"/>
      <w:bookmarkEnd w:id="1054"/>
      <w:r>
        <w:rPr>
          <w:color w:val="000000"/>
          <w:spacing w:val="0"/>
          <w:w w:val="100"/>
          <w:position w:val="0"/>
        </w:rPr>
        <w:t>设定受益计划净负债或净资产的利息净额，包括计划资产的利息收益、设定受益计划义务的利息费用以及资产上限影 响的利息；</w:t>
      </w:r>
    </w:p>
    <w:p>
      <w:pPr>
        <w:pStyle w:val="Style18"/>
        <w:keepNext w:val="0"/>
        <w:keepLines w:val="0"/>
        <w:widowControl w:val="0"/>
        <w:numPr>
          <w:ilvl w:val="0"/>
          <w:numId w:val="59"/>
        </w:numPr>
        <w:shd w:val="clear" w:color="auto" w:fill="auto"/>
        <w:tabs>
          <w:tab w:pos="753" w:val="left"/>
        </w:tabs>
        <w:bidi w:val="0"/>
        <w:spacing w:before="0" w:after="0" w:line="312" w:lineRule="exact"/>
        <w:ind w:left="0" w:right="0"/>
        <w:jc w:val="both"/>
      </w:pPr>
      <w:bookmarkStart w:id="1055" w:name="bookmark1055"/>
      <w:bookmarkEnd w:id="1055"/>
      <w:r>
        <w:rPr>
          <w:color w:val="000000"/>
          <w:spacing w:val="0"/>
          <w:w w:val="100"/>
          <w:position w:val="0"/>
        </w:rPr>
        <w:t>重新计量设定受益计划净负债或净资产所产生的变动。</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除非其他会计准则要求或允许职工福利成本计入资产成本，上述第①项和第②项应计入当期损益；第③项应计入其他综 合收益，并且在后续会计期间不允许转回至损益，但可以在权益范围内转移这些在其他综合收益中确认的金额。</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在设定受益计划下，在下列日期孰早日将过去服务成本确认为当期费用：</w:t>
      </w:r>
    </w:p>
    <w:p>
      <w:pPr>
        <w:pStyle w:val="Style18"/>
        <w:keepNext w:val="0"/>
        <w:keepLines w:val="0"/>
        <w:widowControl w:val="0"/>
        <w:shd w:val="clear" w:color="auto" w:fill="auto"/>
        <w:tabs>
          <w:tab w:pos="729" w:val="left"/>
        </w:tabs>
        <w:bidi w:val="0"/>
        <w:spacing w:before="0" w:after="0" w:line="312" w:lineRule="exact"/>
        <w:ind w:left="0" w:right="0"/>
        <w:jc w:val="left"/>
      </w:pPr>
      <w:bookmarkStart w:id="1056" w:name="bookmark1056"/>
      <w:r>
        <w:rPr>
          <w:color w:val="000000"/>
          <w:spacing w:val="0"/>
          <w:w w:val="100"/>
          <w:position w:val="0"/>
        </w:rPr>
        <w:t>1</w:t>
      </w:r>
      <w:bookmarkEnd w:id="1056"/>
      <w:r>
        <w:rPr>
          <w:color w:val="000000"/>
          <w:spacing w:val="0"/>
          <w:w w:val="100"/>
          <w:position w:val="0"/>
        </w:rPr>
        <w:t>）</w:t>
        <w:tab/>
        <w:t>修改设定受益计划时；</w:t>
      </w:r>
    </w:p>
    <w:p>
      <w:pPr>
        <w:pStyle w:val="Style18"/>
        <w:keepNext w:val="0"/>
        <w:keepLines w:val="0"/>
        <w:widowControl w:val="0"/>
        <w:shd w:val="clear" w:color="auto" w:fill="auto"/>
        <w:tabs>
          <w:tab w:pos="738" w:val="left"/>
        </w:tabs>
        <w:bidi w:val="0"/>
        <w:spacing w:before="0" w:after="0" w:line="312" w:lineRule="exact"/>
        <w:ind w:left="0" w:right="0"/>
        <w:jc w:val="left"/>
      </w:pPr>
      <w:bookmarkStart w:id="1057" w:name="bookmark1057"/>
      <w:r>
        <w:rPr>
          <w:color w:val="000000"/>
          <w:spacing w:val="0"/>
          <w:w w:val="100"/>
          <w:position w:val="0"/>
        </w:rPr>
        <w:t>2</w:t>
      </w:r>
      <w:bookmarkEnd w:id="1057"/>
      <w:r>
        <w:rPr>
          <w:color w:val="000000"/>
          <w:spacing w:val="0"/>
          <w:w w:val="100"/>
          <w:position w:val="0"/>
        </w:rPr>
        <w:t>）</w:t>
        <w:tab/>
        <w:t>企业确认相关重组费用或辞退福利时。</w:t>
      </w:r>
    </w:p>
    <w:p>
      <w:pPr>
        <w:pStyle w:val="Style18"/>
        <w:keepNext w:val="0"/>
        <w:keepLines w:val="0"/>
        <w:widowControl w:val="0"/>
        <w:shd w:val="clear" w:color="auto" w:fill="auto"/>
        <w:bidi w:val="0"/>
        <w:spacing w:before="0" w:after="720" w:line="312" w:lineRule="exact"/>
        <w:ind w:left="0" w:right="0"/>
        <w:jc w:val="left"/>
      </w:pPr>
      <w:r>
        <w:rPr>
          <w:color w:val="000000"/>
          <w:spacing w:val="0"/>
          <w:w w:val="100"/>
          <w:position w:val="0"/>
        </w:rPr>
        <w:t>在设定受益计划结算时，确认一项结算利得或损失。</w:t>
      </w:r>
    </w:p>
    <w:p>
      <w:pPr>
        <w:pStyle w:val="Style27"/>
        <w:keepNext/>
        <w:keepLines/>
        <w:widowControl w:val="0"/>
        <w:shd w:val="clear" w:color="auto" w:fill="auto"/>
        <w:tabs>
          <w:tab w:pos="498" w:val="left"/>
        </w:tabs>
        <w:bidi w:val="0"/>
        <w:spacing w:before="0" w:after="28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58"/>
      <w:bookmarkEnd w:id="1059"/>
      <w:bookmarkEnd w:id="1061"/>
    </w:p>
    <w:p>
      <w:pPr>
        <w:pStyle w:val="Style18"/>
        <w:keepNext w:val="0"/>
        <w:keepLines w:val="0"/>
        <w:widowControl w:val="0"/>
        <w:shd w:val="clear" w:color="auto" w:fill="auto"/>
        <w:bidi w:val="0"/>
        <w:spacing w:before="0" w:after="40" w:line="312" w:lineRule="exact"/>
        <w:ind w:left="0" w:right="0"/>
        <w:jc w:val="left"/>
      </w:pPr>
      <w:r>
        <w:rPr>
          <w:color w:val="000000"/>
          <w:spacing w:val="0"/>
          <w:w w:val="100"/>
          <w:position w:val="0"/>
        </w:rPr>
        <w:t>辞退福利是指公司在职工劳动合同到期之前解除与职工的劳动关系，或者为鼓励职工自愿接受裁减而给予职工的补偿。</w:t>
      </w:r>
    </w:p>
    <w:p>
      <w:pPr>
        <w:pStyle w:val="Style18"/>
        <w:keepNext w:val="0"/>
        <w:keepLines w:val="0"/>
        <w:widowControl w:val="0"/>
        <w:shd w:val="clear" w:color="auto" w:fill="auto"/>
        <w:bidi w:val="0"/>
        <w:spacing w:before="0" w:after="360" w:line="312" w:lineRule="exact"/>
        <w:ind w:left="0" w:right="0"/>
        <w:jc w:val="left"/>
      </w:pPr>
      <w:r>
        <w:rPr>
          <w:color w:val="000000"/>
          <w:spacing w:val="0"/>
          <w:w w:val="100"/>
          <w:position w:val="0"/>
        </w:rPr>
        <w:t>公司向职工提供辞退福利的，在下列两者孰早日确认辞退福利产生的职工薪酬负债，并计入当期损益：公司不能单方面 撤回因解除劳动关系计划或裁减建议所提供的辞退福利时；公司确认与涉及支付辞退福利的重组相关的成本或费用时。</w:t>
      </w:r>
    </w:p>
    <w:p>
      <w:pPr>
        <w:pStyle w:val="Style27"/>
        <w:keepNext/>
        <w:keepLines/>
        <w:widowControl w:val="0"/>
        <w:shd w:val="clear" w:color="auto" w:fill="auto"/>
        <w:tabs>
          <w:tab w:pos="498" w:val="left"/>
        </w:tabs>
        <w:bidi w:val="0"/>
        <w:spacing w:before="0" w:after="28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62"/>
      <w:bookmarkEnd w:id="1063"/>
      <w:bookmarkEnd w:id="1065"/>
    </w:p>
    <w:p>
      <w:pPr>
        <w:pStyle w:val="Style18"/>
        <w:keepNext w:val="0"/>
        <w:keepLines w:val="0"/>
        <w:widowControl w:val="0"/>
        <w:shd w:val="clear" w:color="auto" w:fill="auto"/>
        <w:bidi w:val="0"/>
        <w:spacing w:before="0" w:after="40" w:line="312" w:lineRule="exact"/>
        <w:ind w:left="0" w:right="0"/>
        <w:jc w:val="left"/>
      </w:pPr>
      <w:r>
        <w:rPr>
          <w:color w:val="000000"/>
          <w:spacing w:val="0"/>
          <w:w w:val="100"/>
          <w:position w:val="0"/>
        </w:rPr>
        <w:t>其他长期职工福利是指除短期薪酬、离职后福利、辞退福利之外所有的职工薪酬，包括长期带薪缺勤、长期残疾福利、 长期利润分享计划等。</w:t>
      </w:r>
    </w:p>
    <w:p>
      <w:pPr>
        <w:pStyle w:val="Style18"/>
        <w:keepNext w:val="0"/>
        <w:keepLines w:val="0"/>
        <w:widowControl w:val="0"/>
        <w:shd w:val="clear" w:color="auto" w:fill="auto"/>
        <w:bidi w:val="0"/>
        <w:spacing w:before="0" w:after="40" w:line="312" w:lineRule="exact"/>
        <w:ind w:left="0" w:right="0"/>
        <w:jc w:val="left"/>
      </w:pPr>
      <w:r>
        <w:rPr>
          <w:color w:val="000000"/>
          <w:spacing w:val="0"/>
          <w:w w:val="100"/>
          <w:position w:val="0"/>
        </w:rPr>
        <w:t>企业向职工提供的其他长期职工福利，符合设定提存计划条件的，适用于上述设定提存计划的有关规定进行处理。</w:t>
      </w:r>
    </w:p>
    <w:p>
      <w:pPr>
        <w:pStyle w:val="Style18"/>
        <w:keepNext w:val="0"/>
        <w:keepLines w:val="0"/>
        <w:widowControl w:val="0"/>
        <w:shd w:val="clear" w:color="auto" w:fill="auto"/>
        <w:bidi w:val="0"/>
        <w:spacing w:before="0" w:after="40" w:line="307" w:lineRule="exact"/>
        <w:ind w:left="0" w:right="0"/>
        <w:jc w:val="left"/>
      </w:pPr>
      <w:r>
        <w:rPr>
          <w:color w:val="000000"/>
          <w:spacing w:val="0"/>
          <w:w w:val="100"/>
          <w:position w:val="0"/>
        </w:rPr>
        <w:t>除符合设定提存计划条件的情形外，按照设定受益计划的有关规定，确认和计量其他长期职工福利净负债或净资产。在 报告期末，企业应当将其他长期职工福利产生的职工薪酬成本确认为下列组成部分：</w:t>
      </w:r>
    </w:p>
    <w:p>
      <w:pPr>
        <w:pStyle w:val="Style18"/>
        <w:keepNext w:val="0"/>
        <w:keepLines w:val="0"/>
        <w:widowControl w:val="0"/>
        <w:numPr>
          <w:ilvl w:val="0"/>
          <w:numId w:val="61"/>
        </w:numPr>
        <w:shd w:val="clear" w:color="auto" w:fill="auto"/>
        <w:tabs>
          <w:tab w:pos="753" w:val="left"/>
        </w:tabs>
        <w:bidi w:val="0"/>
        <w:spacing w:before="0" w:after="40" w:line="312" w:lineRule="exact"/>
        <w:ind w:left="0" w:right="0"/>
        <w:jc w:val="left"/>
      </w:pPr>
      <w:bookmarkStart w:id="1066" w:name="bookmark1066"/>
      <w:bookmarkEnd w:id="1066"/>
      <w:r>
        <w:rPr>
          <w:color w:val="000000"/>
          <w:spacing w:val="0"/>
          <w:w w:val="100"/>
          <w:position w:val="0"/>
        </w:rPr>
        <w:t>服务成本；</w:t>
      </w:r>
    </w:p>
    <w:p>
      <w:pPr>
        <w:pStyle w:val="Style18"/>
        <w:keepNext w:val="0"/>
        <w:keepLines w:val="0"/>
        <w:widowControl w:val="0"/>
        <w:numPr>
          <w:ilvl w:val="0"/>
          <w:numId w:val="61"/>
        </w:numPr>
        <w:shd w:val="clear" w:color="auto" w:fill="auto"/>
        <w:tabs>
          <w:tab w:pos="753" w:val="left"/>
        </w:tabs>
        <w:bidi w:val="0"/>
        <w:spacing w:before="0" w:after="40" w:line="312" w:lineRule="exact"/>
        <w:ind w:left="0" w:right="0"/>
        <w:jc w:val="left"/>
      </w:pPr>
      <w:bookmarkStart w:id="1067" w:name="bookmark1067"/>
      <w:bookmarkEnd w:id="1067"/>
      <w:r>
        <w:rPr>
          <w:color w:val="000000"/>
          <w:spacing w:val="0"/>
          <w:w w:val="100"/>
          <w:position w:val="0"/>
        </w:rPr>
        <w:t>其他长期职工福利净负债或净资产的利息净额；</w:t>
      </w:r>
    </w:p>
    <w:p>
      <w:pPr>
        <w:pStyle w:val="Style18"/>
        <w:keepNext w:val="0"/>
        <w:keepLines w:val="0"/>
        <w:widowControl w:val="0"/>
        <w:numPr>
          <w:ilvl w:val="0"/>
          <w:numId w:val="61"/>
        </w:numPr>
        <w:shd w:val="clear" w:color="auto" w:fill="auto"/>
        <w:tabs>
          <w:tab w:pos="753" w:val="left"/>
        </w:tabs>
        <w:bidi w:val="0"/>
        <w:spacing w:before="0" w:after="40" w:line="312" w:lineRule="exact"/>
        <w:ind w:left="0" w:right="0"/>
        <w:jc w:val="left"/>
      </w:pPr>
      <w:bookmarkStart w:id="1068" w:name="bookmark1068"/>
      <w:bookmarkEnd w:id="1068"/>
      <w:r>
        <w:rPr>
          <w:color w:val="000000"/>
          <w:spacing w:val="0"/>
          <w:w w:val="100"/>
          <w:position w:val="0"/>
        </w:rPr>
        <w:t>重新计量其他长期职工福利净负债或净资产所产生的变动。</w:t>
      </w:r>
    </w:p>
    <w:p>
      <w:pPr>
        <w:pStyle w:val="Style18"/>
        <w:keepNext w:val="0"/>
        <w:keepLines w:val="0"/>
        <w:widowControl w:val="0"/>
        <w:shd w:val="clear" w:color="auto" w:fill="auto"/>
        <w:bidi w:val="0"/>
        <w:spacing w:before="0" w:after="1060" w:line="312" w:lineRule="exact"/>
        <w:ind w:left="0" w:right="0"/>
        <w:jc w:val="left"/>
      </w:pPr>
      <w:r>
        <w:rPr>
          <w:color w:val="000000"/>
          <w:spacing w:val="0"/>
          <w:w w:val="100"/>
          <w:position w:val="0"/>
        </w:rPr>
        <w:t>为简化相关会计处理，上述项目的总净额计入当期损益或相关资产成本。</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3</w:t>
      </w:r>
      <w:bookmarkEnd w:id="1071"/>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69"/>
      <w:bookmarkEnd w:id="1070"/>
      <w:bookmarkEnd w:id="1072"/>
    </w:p>
    <w:p>
      <w:pPr>
        <w:pStyle w:val="Style18"/>
        <w:keepNext w:val="0"/>
        <w:keepLines w:val="0"/>
        <w:widowControl w:val="0"/>
        <w:shd w:val="clear" w:color="auto" w:fill="auto"/>
        <w:bidi w:val="0"/>
        <w:spacing w:before="0" w:after="720" w:line="307" w:lineRule="exact"/>
        <w:ind w:left="0" w:right="0"/>
        <w:jc w:val="left"/>
      </w:pPr>
      <w:r>
        <w:rPr>
          <w:color w:val="000000"/>
          <w:spacing w:val="0"/>
          <w:w w:val="100"/>
          <w:position w:val="0"/>
        </w:rPr>
        <w:t>详见重要会计政策及会计估计42、租赁。</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3</w:t>
      </w:r>
      <w:bookmarkEnd w:id="107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73"/>
      <w:bookmarkEnd w:id="1074"/>
      <w:bookmarkEnd w:id="1076"/>
    </w:p>
    <w:p>
      <w:pPr>
        <w:pStyle w:val="Style18"/>
        <w:keepNext w:val="0"/>
        <w:keepLines w:val="0"/>
        <w:widowControl w:val="0"/>
        <w:shd w:val="clear" w:color="auto" w:fill="auto"/>
        <w:bidi w:val="0"/>
        <w:spacing w:before="0" w:after="40" w:line="307" w:lineRule="exact"/>
        <w:ind w:left="0" w:right="0"/>
        <w:jc w:val="left"/>
      </w:pPr>
      <w:r>
        <w:rPr>
          <w:color w:val="000000"/>
          <w:spacing w:val="0"/>
          <w:w w:val="100"/>
          <w:position w:val="0"/>
        </w:rPr>
        <w:t>与或有事项相关的义务同时满足下列条件的，确认为预计负债：</w:t>
      </w:r>
    </w:p>
    <w:p>
      <w:pPr>
        <w:pStyle w:val="Style18"/>
        <w:keepNext w:val="0"/>
        <w:keepLines w:val="0"/>
        <w:widowControl w:val="0"/>
        <w:shd w:val="clear" w:color="auto" w:fill="auto"/>
        <w:tabs>
          <w:tab w:pos="820" w:val="left"/>
        </w:tabs>
        <w:bidi w:val="0"/>
        <w:spacing w:before="0" w:after="40" w:line="307" w:lineRule="exact"/>
        <w:ind w:left="0" w:right="0"/>
        <w:jc w:val="left"/>
      </w:pPr>
      <w:bookmarkStart w:id="1077" w:name="bookmark1077"/>
      <w:r>
        <w:rPr>
          <w:color w:val="000000"/>
          <w:spacing w:val="0"/>
          <w:w w:val="100"/>
          <w:position w:val="0"/>
        </w:rPr>
        <w:t>（</w:t>
      </w:r>
      <w:bookmarkEnd w:id="1077"/>
      <w:r>
        <w:rPr>
          <w:color w:val="000000"/>
          <w:spacing w:val="0"/>
          <w:w w:val="100"/>
          <w:position w:val="0"/>
        </w:rPr>
        <w:t>1）</w:t>
        <w:tab/>
        <w:t>该义务是企业承担的现时义务；</w:t>
      </w:r>
    </w:p>
    <w:p>
      <w:pPr>
        <w:pStyle w:val="Style18"/>
        <w:keepNext w:val="0"/>
        <w:keepLines w:val="0"/>
        <w:widowControl w:val="0"/>
        <w:shd w:val="clear" w:color="auto" w:fill="auto"/>
        <w:tabs>
          <w:tab w:pos="820" w:val="left"/>
        </w:tabs>
        <w:bidi w:val="0"/>
        <w:spacing w:before="0" w:after="40" w:line="307" w:lineRule="exact"/>
        <w:ind w:left="0" w:right="0"/>
        <w:jc w:val="left"/>
      </w:pPr>
      <w:bookmarkStart w:id="1078" w:name="bookmark1078"/>
      <w:r>
        <w:rPr>
          <w:color w:val="000000"/>
          <w:spacing w:val="0"/>
          <w:w w:val="100"/>
          <w:position w:val="0"/>
        </w:rPr>
        <w:t>（</w:t>
      </w:r>
      <w:bookmarkEnd w:id="1078"/>
      <w:r>
        <w:rPr>
          <w:color w:val="000000"/>
          <w:spacing w:val="0"/>
          <w:w w:val="100"/>
          <w:position w:val="0"/>
        </w:rPr>
        <w:t>2）</w:t>
        <w:tab/>
        <w:t>履行该义务很可能导致经济利益流出企业；</w:t>
      </w:r>
    </w:p>
    <w:p>
      <w:pPr>
        <w:pStyle w:val="Style18"/>
        <w:keepNext w:val="0"/>
        <w:keepLines w:val="0"/>
        <w:widowControl w:val="0"/>
        <w:shd w:val="clear" w:color="auto" w:fill="auto"/>
        <w:tabs>
          <w:tab w:pos="820" w:val="left"/>
        </w:tabs>
        <w:bidi w:val="0"/>
        <w:spacing w:before="0" w:after="40" w:line="307" w:lineRule="exact"/>
        <w:ind w:left="0" w:right="0"/>
        <w:jc w:val="left"/>
      </w:pPr>
      <w:bookmarkStart w:id="1079" w:name="bookmark1079"/>
      <w:r>
        <w:rPr>
          <w:color w:val="000000"/>
          <w:spacing w:val="0"/>
          <w:w w:val="100"/>
          <w:position w:val="0"/>
        </w:rPr>
        <w:t>（</w:t>
      </w:r>
      <w:bookmarkEnd w:id="1079"/>
      <w:r>
        <w:rPr>
          <w:color w:val="000000"/>
          <w:spacing w:val="0"/>
          <w:w w:val="100"/>
          <w:position w:val="0"/>
        </w:rPr>
        <w:t>3）</w:t>
        <w:tab/>
        <w:t>该义务的金额能够可靠地计量。</w:t>
      </w:r>
    </w:p>
    <w:p>
      <w:pPr>
        <w:pStyle w:val="Style18"/>
        <w:keepNext w:val="0"/>
        <w:keepLines w:val="0"/>
        <w:widowControl w:val="0"/>
        <w:shd w:val="clear" w:color="auto" w:fill="auto"/>
        <w:bidi w:val="0"/>
        <w:spacing w:before="0" w:after="720" w:line="307" w:lineRule="exact"/>
        <w:ind w:left="0" w:right="0"/>
        <w:jc w:val="left"/>
      </w:pPr>
      <w:r>
        <w:rPr>
          <w:color w:val="000000"/>
          <w:spacing w:val="0"/>
          <w:w w:val="100"/>
          <w:position w:val="0"/>
        </w:rPr>
        <w:t>预计负债应当按照履行相关现时义务所需支出的最佳估计数进行初始计量。</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3</w:t>
      </w:r>
      <w:bookmarkEnd w:id="1082"/>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80"/>
      <w:bookmarkEnd w:id="1081"/>
      <w:bookmarkEnd w:id="1083"/>
    </w:p>
    <w:p>
      <w:pPr>
        <w:pStyle w:val="Style18"/>
        <w:keepNext w:val="0"/>
        <w:keepLines w:val="0"/>
        <w:widowControl w:val="0"/>
        <w:shd w:val="clear" w:color="auto" w:fill="auto"/>
        <w:bidi w:val="0"/>
        <w:spacing w:before="0" w:after="40" w:line="307" w:lineRule="exact"/>
        <w:ind w:left="0" w:right="0"/>
        <w:jc w:val="left"/>
      </w:pPr>
      <w:bookmarkStart w:id="1084" w:name="bookmark1084"/>
      <w:r>
        <w:rPr>
          <w:color w:val="000000"/>
          <w:spacing w:val="0"/>
          <w:w w:val="100"/>
          <w:position w:val="0"/>
        </w:rPr>
        <w:t>（</w:t>
      </w:r>
      <w:bookmarkEnd w:id="1084"/>
      <w:r>
        <w:rPr>
          <w:color w:val="000000"/>
          <w:spacing w:val="0"/>
          <w:w w:val="100"/>
          <w:position w:val="0"/>
        </w:rPr>
        <w:t>1）股份支付的会计处理方法</w:t>
      </w:r>
    </w:p>
    <w:p>
      <w:pPr>
        <w:pStyle w:val="Style18"/>
        <w:keepNext w:val="0"/>
        <w:keepLines w:val="0"/>
        <w:widowControl w:val="0"/>
        <w:shd w:val="clear" w:color="auto" w:fill="auto"/>
        <w:bidi w:val="0"/>
        <w:spacing w:before="0" w:after="40" w:line="307" w:lineRule="exact"/>
        <w:ind w:left="0" w:right="0"/>
        <w:jc w:val="left"/>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18"/>
        <w:keepNext w:val="0"/>
        <w:keepLines w:val="0"/>
        <w:widowControl w:val="0"/>
        <w:numPr>
          <w:ilvl w:val="0"/>
          <w:numId w:val="63"/>
        </w:numPr>
        <w:shd w:val="clear" w:color="auto" w:fill="auto"/>
        <w:tabs>
          <w:tab w:pos="695" w:val="left"/>
        </w:tabs>
        <w:bidi w:val="0"/>
        <w:spacing w:before="0" w:after="0" w:line="314" w:lineRule="exact"/>
        <w:ind w:left="0" w:right="0" w:firstLine="360"/>
        <w:jc w:val="both"/>
      </w:pPr>
      <w:bookmarkStart w:id="1085" w:name="bookmark1085"/>
      <w:bookmarkEnd w:id="1085"/>
      <w:r>
        <w:rPr>
          <w:color w:val="000000"/>
          <w:spacing w:val="0"/>
          <w:w w:val="100"/>
          <w:position w:val="0"/>
        </w:rPr>
        <w:t>以权益结算的股份支付</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线法计算计入相关成本或费用，在授予后立即可行权时，在授予日计入相关成本或费用，相应增加资本公积。</w:t>
      </w:r>
    </w:p>
    <w:p>
      <w:pPr>
        <w:pStyle w:val="Style18"/>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在等待期内每个资产负债表日，本公司根据最新取得的可行权职工人数变动等后续信息做出最佳估计，修正预计可行权 的权益工具数量。上述估计的影响计入当期相关成本或费用，并相应调整资本公积。</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18"/>
        <w:keepNext w:val="0"/>
        <w:keepLines w:val="0"/>
        <w:widowControl w:val="0"/>
        <w:numPr>
          <w:ilvl w:val="0"/>
          <w:numId w:val="63"/>
        </w:numPr>
        <w:shd w:val="clear" w:color="auto" w:fill="auto"/>
        <w:tabs>
          <w:tab w:pos="695" w:val="left"/>
        </w:tabs>
        <w:bidi w:val="0"/>
        <w:spacing w:before="0" w:after="0" w:line="314" w:lineRule="exact"/>
        <w:ind w:left="0" w:right="0" w:firstLine="360"/>
        <w:jc w:val="both"/>
      </w:pPr>
      <w:bookmarkStart w:id="1086" w:name="bookmark1086"/>
      <w:bookmarkEnd w:id="1086"/>
      <w:r>
        <w:rPr>
          <w:color w:val="000000"/>
          <w:spacing w:val="0"/>
          <w:w w:val="100"/>
          <w:position w:val="0"/>
        </w:rPr>
        <w:t>以现金结算的股份支付</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期的每个资产负债表日，以对可行权情况的最佳估计为基础，按照本公司承担负债的公允价值金额，将当期取得的服务计入 成本或费用，相应增加负债。</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在相关负债结算前的每个资产负债表日以及结算日，对负债的公允价值重新计量，其变动计入当期损益。</w:t>
      </w:r>
    </w:p>
    <w:p>
      <w:pPr>
        <w:pStyle w:val="Style18"/>
        <w:keepNext w:val="0"/>
        <w:keepLines w:val="0"/>
        <w:widowControl w:val="0"/>
        <w:shd w:val="clear" w:color="auto" w:fill="auto"/>
        <w:tabs>
          <w:tab w:pos="763" w:val="left"/>
        </w:tabs>
        <w:bidi w:val="0"/>
        <w:spacing w:before="0" w:after="0" w:line="314" w:lineRule="exact"/>
        <w:ind w:left="0" w:right="0" w:firstLine="360"/>
        <w:jc w:val="both"/>
      </w:pPr>
      <w:bookmarkStart w:id="1087" w:name="bookmark1087"/>
      <w:r>
        <w:rPr>
          <w:color w:val="000000"/>
          <w:spacing w:val="0"/>
          <w:w w:val="100"/>
          <w:position w:val="0"/>
        </w:rPr>
        <w:t>（</w:t>
      </w:r>
      <w:bookmarkEnd w:id="1087"/>
      <w:r>
        <w:rPr>
          <w:color w:val="000000"/>
          <w:spacing w:val="0"/>
          <w:w w:val="100"/>
          <w:position w:val="0"/>
        </w:rPr>
        <w:t>2）</w:t>
        <w:tab/>
        <w:t>修改、终止股份支付计划的相关会计处理</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18"/>
        <w:keepNext w:val="0"/>
        <w:keepLines w:val="0"/>
        <w:widowControl w:val="0"/>
        <w:shd w:val="clear" w:color="auto" w:fill="auto"/>
        <w:tabs>
          <w:tab w:pos="763" w:val="left"/>
        </w:tabs>
        <w:bidi w:val="0"/>
        <w:spacing w:before="0" w:after="0" w:line="341" w:lineRule="exact"/>
        <w:ind w:left="0" w:right="0" w:firstLine="360"/>
        <w:jc w:val="both"/>
      </w:pPr>
      <w:bookmarkStart w:id="1088" w:name="bookmark1088"/>
      <w:r>
        <w:rPr>
          <w:color w:val="000000"/>
          <w:spacing w:val="0"/>
          <w:w w:val="100"/>
          <w:position w:val="0"/>
        </w:rPr>
        <w:t>（</w:t>
      </w:r>
      <w:bookmarkEnd w:id="1088"/>
      <w:r>
        <w:rPr>
          <w:color w:val="000000"/>
          <w:spacing w:val="0"/>
          <w:w w:val="100"/>
          <w:position w:val="0"/>
        </w:rPr>
        <w:t>3）</w:t>
        <w:tab/>
        <w:t>涉及本公司与本公司股东或实际控制人的股份支付交易的会计处理</w:t>
      </w:r>
    </w:p>
    <w:p>
      <w:pPr>
        <w:pStyle w:val="Style18"/>
        <w:keepNext w:val="0"/>
        <w:keepLines w:val="0"/>
        <w:widowControl w:val="0"/>
        <w:shd w:val="clear" w:color="auto" w:fill="auto"/>
        <w:bidi w:val="0"/>
        <w:spacing w:before="0" w:after="0" w:line="341" w:lineRule="exact"/>
        <w:ind w:left="0" w:right="0" w:firstLine="360"/>
        <w:jc w:val="both"/>
      </w:pPr>
      <w:r>
        <w:rPr>
          <w:color w:val="000000"/>
          <w:spacing w:val="0"/>
          <w:w w:val="100"/>
          <w:position w:val="0"/>
        </w:rPr>
        <w:t>涉及本公司与本公司股东或实际控制人的股份支付交易，结算企业与接受服务企业中其一在本公司合并范围内，另一在 本公司合并范围外的，在本公司合并财务报表中按照以下规定进行会计处理：</w:t>
      </w:r>
    </w:p>
    <w:p>
      <w:pPr>
        <w:pStyle w:val="Style18"/>
        <w:keepNext w:val="0"/>
        <w:keepLines w:val="0"/>
        <w:widowControl w:val="0"/>
        <w:numPr>
          <w:ilvl w:val="0"/>
          <w:numId w:val="65"/>
        </w:numPr>
        <w:shd w:val="clear" w:color="auto" w:fill="auto"/>
        <w:tabs>
          <w:tab w:pos="691" w:val="left"/>
        </w:tabs>
        <w:bidi w:val="0"/>
        <w:spacing w:before="0" w:after="0" w:line="317" w:lineRule="exact"/>
        <w:ind w:left="0" w:right="0" w:firstLine="360"/>
        <w:jc w:val="both"/>
      </w:pPr>
      <w:bookmarkStart w:id="1089" w:name="bookmark1089"/>
      <w:bookmarkEnd w:id="1089"/>
      <w:r>
        <w:rPr>
          <w:color w:val="000000"/>
          <w:spacing w:val="0"/>
          <w:w w:val="100"/>
          <w:position w:val="0"/>
        </w:rPr>
        <w:t>结算企业以其本身权益工具结算的，将该股份支付交易作为权益结算的股份支付处理；除此之外，作为现金结算的 股份支付处理。</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18"/>
        <w:keepNext w:val="0"/>
        <w:keepLines w:val="0"/>
        <w:widowControl w:val="0"/>
        <w:numPr>
          <w:ilvl w:val="0"/>
          <w:numId w:val="65"/>
        </w:numPr>
        <w:shd w:val="clear" w:color="auto" w:fill="auto"/>
        <w:tabs>
          <w:tab w:pos="691" w:val="left"/>
        </w:tabs>
        <w:bidi w:val="0"/>
        <w:spacing w:before="0" w:after="0" w:line="310" w:lineRule="exact"/>
        <w:ind w:left="0" w:right="0" w:firstLine="360"/>
        <w:jc w:val="both"/>
      </w:pPr>
      <w:bookmarkStart w:id="1090" w:name="bookmark1090"/>
      <w:bookmarkEnd w:id="1090"/>
      <w:r>
        <w:rPr>
          <w:color w:val="000000"/>
          <w:spacing w:val="0"/>
          <w:w w:val="100"/>
          <w:position w:val="0"/>
        </w:rPr>
        <w:t>接受服务企业没有结算义务或授予本企业职工的是其本身权益工具的，将该股份支付交易作为权益结算的股份支付 处理；接受服务企业具有结算义务且授予本企业职工的并非其本身权益工具的，将该股份支付交易作为现金结算的股份支付 处理。</w:t>
      </w:r>
    </w:p>
    <w:p>
      <w:pPr>
        <w:pStyle w:val="Style18"/>
        <w:keepNext w:val="0"/>
        <w:keepLines w:val="0"/>
        <w:widowControl w:val="0"/>
        <w:shd w:val="clear" w:color="auto" w:fill="auto"/>
        <w:bidi w:val="0"/>
        <w:spacing w:before="0" w:after="720" w:line="317" w:lineRule="exact"/>
        <w:ind w:left="0" w:right="0" w:firstLine="360"/>
        <w:jc w:val="both"/>
      </w:pPr>
      <w:r>
        <w:rPr>
          <w:color w:val="000000"/>
          <w:spacing w:val="0"/>
          <w:w w:val="100"/>
          <w:position w:val="0"/>
        </w:rPr>
        <w:t>本公司合并范围内各企业之间发生的股份支付交易，接受服务企业和结算企业不是同一企业的，在接受服务企业和结算 企业各自的个别财务报表中对该股份支付交易的确认和计量，比照上述原则处理。</w:t>
      </w:r>
    </w:p>
    <w:p>
      <w:pPr>
        <w:pStyle w:val="Style27"/>
        <w:keepNext/>
        <w:keepLines/>
        <w:widowControl w:val="0"/>
        <w:shd w:val="clear" w:color="auto" w:fill="auto"/>
        <w:bidi w:val="0"/>
        <w:spacing w:before="0" w:after="380" w:line="240" w:lineRule="auto"/>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3</w:t>
      </w:r>
      <w:bookmarkEnd w:id="1093"/>
      <w:r>
        <w:rPr>
          <w:rFonts w:ascii="Times New Roman" w:eastAsia="Times New Roman" w:hAnsi="Times New Roman" w:cs="Times New Roman"/>
          <w:color w:val="000000"/>
          <w:spacing w:val="0"/>
          <w:w w:val="100"/>
          <w:position w:val="0"/>
        </w:rPr>
        <w:t>8</w:t>
      </w:r>
      <w:r>
        <w:rPr>
          <w:color w:val="000000"/>
          <w:spacing w:val="0"/>
          <w:w w:val="100"/>
          <w:position w:val="0"/>
        </w:rPr>
        <w:t>、优先股、永续债等其他金融工具</w:t>
      </w:r>
      <w:bookmarkEnd w:id="1091"/>
      <w:bookmarkEnd w:id="1092"/>
      <w:bookmarkEnd w:id="1094"/>
    </w:p>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无</w:t>
      </w:r>
    </w:p>
    <w:p>
      <w:pPr>
        <w:pStyle w:val="Style27"/>
        <w:keepNext/>
        <w:keepLines/>
        <w:widowControl w:val="0"/>
        <w:shd w:val="clear" w:color="auto" w:fill="auto"/>
        <w:bidi w:val="0"/>
        <w:spacing w:before="0" w:after="28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3</w:t>
      </w:r>
      <w:bookmarkEnd w:id="1097"/>
      <w:r>
        <w:rPr>
          <w:rFonts w:ascii="Times New Roman" w:eastAsia="Times New Roman" w:hAnsi="Times New Roman" w:cs="Times New Roman"/>
          <w:color w:val="000000"/>
          <w:spacing w:val="0"/>
          <w:w w:val="100"/>
          <w:position w:val="0"/>
        </w:rPr>
        <w:t>9</w:t>
      </w:r>
      <w:r>
        <w:rPr>
          <w:color w:val="000000"/>
          <w:spacing w:val="0"/>
          <w:w w:val="100"/>
          <w:position w:val="0"/>
        </w:rPr>
        <w:t>、收入</w:t>
      </w:r>
      <w:bookmarkEnd w:id="1095"/>
      <w:bookmarkEnd w:id="1096"/>
      <w:bookmarkEnd w:id="1098"/>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18"/>
        <w:keepNext w:val="0"/>
        <w:keepLines w:val="0"/>
        <w:widowControl w:val="0"/>
        <w:shd w:val="clear" w:color="auto" w:fill="auto"/>
        <w:bidi w:val="0"/>
        <w:spacing w:before="0" w:after="0" w:line="312" w:lineRule="exact"/>
        <w:ind w:left="0" w:right="0"/>
        <w:jc w:val="both"/>
      </w:pPr>
      <w:bookmarkStart w:id="1099" w:name="bookmark1099"/>
      <w:r>
        <w:rPr>
          <w:color w:val="000000"/>
          <w:spacing w:val="0"/>
          <w:w w:val="100"/>
          <w:position w:val="0"/>
        </w:rPr>
        <w:t>（</w:t>
      </w:r>
      <w:bookmarkEnd w:id="1099"/>
      <w:r>
        <w:rPr>
          <w:color w:val="000000"/>
          <w:spacing w:val="0"/>
          <w:w w:val="100"/>
          <w:position w:val="0"/>
        </w:rPr>
        <w:t>1）收入确认一般原则</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本公司与客户之间的合同同时满足下列条件时，在客户取得相关商品控制权时确认收入：合同各方已批准该合同并承诺 将履行各自义务；合同明确了合同各方与所转让商品或提供劳务相关的权利和义务；合同有明确的与所转让商品相关的支付 条款；合同具有商业实质，即履行该合同将改变本公司未来现金流量的风险、时间分布或金额；本公司因向客户转让商品而 有权取得的对价很可能收回。</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在合同开始日，本公司识别合同中存在的各单项履约义务，并将交易价格按照各单项履约义务所承诺商品的单独售价的 相对比例分摊至各单项履约义务。在确定交易价格时考虑了可变对价、合同中存在的重大融资成分、非现金对价、应付客户 对价等因素的影响。</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对于合同中的每个单项履约义务，如果满足下列条件之一的，本公司在相关履约时段内按照履约进度将分摊至该单项履 约义务的交易价格确认为收入：客户在本公司履约的同时即取得并消耗本公司履约所带来的经济利益；客户能够控制本公司 履约过程中在建的商品；本公司履约过程中所产出的商品具有不可替代用途，且本公司在整个合同期间内有权就累计至今已 完成的履约部分收取款项。履约进度根据所转让商品的性质采用投入法或产出法确定，当履约进度不能合理确定时，本公司 已经发生的成本预计能够得到补偿的，按照已经发生的成本金额确认收入，直到履约进度能够合理确定为止。</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如果不满足上述条件之一，则本公司在客户取得相关商品控制权的时点将分摊至该单项履约义务的交易价格确认收入。 在判断客户是否已取得商品控制权时，本公司考虑下列迹象：企业就该商品享有现时收款权利，即客户就该商品负有现时付 款义务；企业已将该商品的法定所有权转移给客户，即客户已拥有该商品的法定所有权；企业已将该商品实物转移给客户， 即客户已实物占有该商品；企业已将该商品所有权上的主要风险和报酬转移给客户，即客户已取得该商品所有权上的主要风 险和报酬；客户已接受该商品；其他表明客户已取得商品控制权的迹象。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基于以上原则，本公司收入确认的具体政策如下：</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公司国内商品销售收入确认的具体原则为：公司已根据合同约定将产品交付给客户且客户已接受，该商品的法定所有权 已转移，实物已转移，商品所有权上的主要风险已转移，已经收回货款或取得收款权利凭证且相关的经济利益很可能流入。</w:t>
      </w:r>
    </w:p>
    <w:p>
      <w:pPr>
        <w:pStyle w:val="Style18"/>
        <w:keepNext w:val="0"/>
        <w:keepLines w:val="0"/>
        <w:widowControl w:val="0"/>
        <w:shd w:val="clear" w:color="auto" w:fill="auto"/>
        <w:bidi w:val="0"/>
        <w:spacing w:before="0" w:after="740" w:line="312" w:lineRule="exact"/>
        <w:ind w:left="0" w:right="0"/>
        <w:jc w:val="both"/>
      </w:pPr>
      <w:r>
        <w:rPr>
          <w:color w:val="000000"/>
          <w:spacing w:val="0"/>
          <w:w w:val="100"/>
          <w:position w:val="0"/>
        </w:rPr>
        <w:t>公司出口商品销售收入确认的具体原则为：公司已根据合同约定将产品报关，经商检、报关确认通关后，该商品的法定 所有权已转移，实物已转移，商品所有权上的主要风险已转移，本公司就该商品享有现时收款权利。</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同类业务采用不同经营模式导致收入确认会计政策存在差异的情况</w:t>
      </w:r>
    </w:p>
    <w:p>
      <w:pPr>
        <w:pStyle w:val="Style27"/>
        <w:keepNext/>
        <w:keepLines/>
        <w:widowControl w:val="0"/>
        <w:shd w:val="clear" w:color="auto" w:fill="auto"/>
        <w:bidi w:val="0"/>
        <w:spacing w:before="0" w:after="28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4</w:t>
      </w:r>
      <w:bookmarkEnd w:id="1102"/>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00"/>
      <w:bookmarkEnd w:id="1101"/>
      <w:bookmarkEnd w:id="1103"/>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政府补助，是公司从政府无偿取得的货币性资产或非货币性资产。分为与资产相关的政府补助和与收益相关的政府补助。</w:t>
      </w:r>
    </w:p>
    <w:p>
      <w:pPr>
        <w:pStyle w:val="Style18"/>
        <w:keepNext w:val="0"/>
        <w:keepLines w:val="0"/>
        <w:widowControl w:val="0"/>
        <w:shd w:val="clear" w:color="auto" w:fill="auto"/>
        <w:tabs>
          <w:tab w:pos="796" w:val="left"/>
        </w:tabs>
        <w:bidi w:val="0"/>
        <w:spacing w:before="0" w:after="0" w:line="312" w:lineRule="exact"/>
        <w:ind w:left="0" w:right="0"/>
        <w:jc w:val="both"/>
      </w:pPr>
      <w:bookmarkStart w:id="1104" w:name="bookmark1104"/>
      <w:r>
        <w:rPr>
          <w:color w:val="000000"/>
          <w:spacing w:val="0"/>
          <w:w w:val="100"/>
          <w:position w:val="0"/>
        </w:rPr>
        <w:t>（</w:t>
      </w:r>
      <w:bookmarkEnd w:id="1104"/>
      <w:r>
        <w:rPr>
          <w:color w:val="000000"/>
          <w:spacing w:val="0"/>
          <w:w w:val="100"/>
          <w:position w:val="0"/>
        </w:rPr>
        <w:t>1）</w:t>
        <w:tab/>
        <w:t>与资产相关的政府补助判断依据及会计处理方法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与资产相关的政府补助，是指企业取得的、用于购建或以其他方式形成长期资产的政府补助。</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与资产相关的政府补助，应当确认为递延收益。与资产相关的政府补助确认为递延收益的，应当在相关资产使用寿命内 按照合理、系统的方法分期计入损益。按照名义金额计量的政府补助，直接计入当期损益。</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相关资产在使用寿命结束前被出售、转让、报废或发生毁损的，应当将尚未分配的相关递延收益余额转入资产处置当期 的损益。</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与公司日常活动相关的政府补助，应当按照经济业务实质，计入其他收益。与公司日常活动无关的政府补助，应当计入 营业外收支。</w:t>
      </w:r>
    </w:p>
    <w:p>
      <w:pPr>
        <w:pStyle w:val="Style18"/>
        <w:keepNext w:val="0"/>
        <w:keepLines w:val="0"/>
        <w:widowControl w:val="0"/>
        <w:shd w:val="clear" w:color="auto" w:fill="auto"/>
        <w:tabs>
          <w:tab w:pos="796" w:val="left"/>
        </w:tabs>
        <w:bidi w:val="0"/>
        <w:spacing w:before="0" w:after="0" w:line="312" w:lineRule="exact"/>
        <w:ind w:left="0" w:right="0"/>
        <w:jc w:val="both"/>
      </w:pPr>
      <w:bookmarkStart w:id="1105" w:name="bookmark1105"/>
      <w:r>
        <w:rPr>
          <w:color w:val="000000"/>
          <w:spacing w:val="0"/>
          <w:w w:val="100"/>
          <w:position w:val="0"/>
        </w:rPr>
        <w:t>（</w:t>
      </w:r>
      <w:bookmarkEnd w:id="1105"/>
      <w:r>
        <w:rPr>
          <w:color w:val="000000"/>
          <w:spacing w:val="0"/>
          <w:w w:val="100"/>
          <w:position w:val="0"/>
        </w:rPr>
        <w:t>2）</w:t>
        <w:tab/>
        <w:t>与收益相关的政府补助判断依据及会计处理方法</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与收益相关的政府补助，是指除与资产相关的政府补助之外的政府补助。</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企业对于综合性项目的政府补助，需要将其分解为与资产相关的部分和与收益相关的部分，分别进行会计处理；难以区 分的，应当整体归类为与收益相关的政府补助。</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与收益相关的政府补助，用于补偿企业以后期间的相关费用或损失的，取得时确认为递延收益，并在确认相关成本费用 或损失的期间计入当期损益；用于补偿企业已发生的相关费用或损失的，直接计入当期损益。</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与公司日常活动相关的政府补助，应当按照经济业务实质计入其他收益。与公司日常活动无关的政府补助，应当计入营 业外收支。</w:t>
      </w:r>
    </w:p>
    <w:p>
      <w:pPr>
        <w:pStyle w:val="Style18"/>
        <w:keepNext w:val="0"/>
        <w:keepLines w:val="0"/>
        <w:widowControl w:val="0"/>
        <w:shd w:val="clear" w:color="auto" w:fill="auto"/>
        <w:bidi w:val="0"/>
        <w:spacing w:before="0" w:after="0" w:line="322" w:lineRule="exact"/>
        <w:ind w:left="0" w:right="0"/>
        <w:jc w:val="both"/>
      </w:pPr>
      <w:bookmarkStart w:id="1106" w:name="bookmark1106"/>
      <w:r>
        <w:rPr>
          <w:color w:val="000000"/>
          <w:spacing w:val="0"/>
          <w:w w:val="100"/>
          <w:position w:val="0"/>
        </w:rPr>
        <w:t>（</w:t>
      </w:r>
      <w:bookmarkEnd w:id="1106"/>
      <w:r>
        <w:rPr>
          <w:color w:val="000000"/>
          <w:spacing w:val="0"/>
          <w:w w:val="100"/>
          <w:position w:val="0"/>
        </w:rPr>
        <w:t>3）政府补助的确认时点</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政府补助为货币性资产的，应当按照收到的金额计量。按照应收金额计量的政府补助，在期末有确凿证据表明能够符合 财政扶持政策规定的相关条件且预计能够收到财政扶持资金时予以确认；政府补助为非货币性资产的，应当按照取得非货币 性资产所有权风险和报酬转移时确认政府补助实现。其中非货币性资产按公允价值计量；公允价值不能可靠取得的，按照名 义金额计量。</w:t>
      </w:r>
    </w:p>
    <w:p>
      <w:pPr>
        <w:pStyle w:val="Style18"/>
        <w:keepNext w:val="0"/>
        <w:keepLines w:val="0"/>
        <w:widowControl w:val="0"/>
        <w:shd w:val="clear" w:color="auto" w:fill="auto"/>
        <w:bidi w:val="0"/>
        <w:spacing w:before="0" w:after="720" w:line="317" w:lineRule="exact"/>
        <w:ind w:left="0" w:right="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27"/>
        <w:keepNext/>
        <w:keepLines/>
        <w:widowControl w:val="0"/>
        <w:shd w:val="clear" w:color="auto" w:fill="auto"/>
        <w:bidi w:val="0"/>
        <w:spacing w:before="0" w:after="26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4</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07"/>
      <w:bookmarkEnd w:id="1108"/>
      <w:bookmarkEnd w:id="1110"/>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企业所得税采用资产负债表债务法进行核算。于资产负债表日，分析比较资产、负债的账面价值与其计税基础，两者之 间存在差异的，确认递延所得税资产、递延所得税负债及相应的递延所得税费用（或收益）。在计算确定当期所得税（即当 期应交所得税）以及递延所得税费用（或收益）的基础上，将两者之和确认为利润表中的所得税费用（或收益），但不包括 直接计入所有者权益的交易或事项的所得税影响。</w:t>
      </w:r>
    </w:p>
    <w:p>
      <w:pPr>
        <w:pStyle w:val="Style18"/>
        <w:keepNext w:val="0"/>
        <w:keepLines w:val="0"/>
        <w:widowControl w:val="0"/>
        <w:shd w:val="clear" w:color="auto" w:fill="auto"/>
        <w:bidi w:val="0"/>
        <w:spacing w:before="0" w:after="720" w:line="312" w:lineRule="exact"/>
        <w:ind w:left="0" w:right="0"/>
        <w:jc w:val="both"/>
      </w:pPr>
      <w:r>
        <w:rPr>
          <w:color w:val="000000"/>
          <w:spacing w:val="0"/>
          <w:w w:val="100"/>
          <w:position w:val="0"/>
        </w:rPr>
        <w:t>资产负债表日，对递延所得税资产的账面价值进行复核。如果未来期间很可能无法获得足够的应纳税所得额用以抵扣递 延所得税资产的利益，应当减记递延所得税资产的账面价值。</w:t>
      </w:r>
    </w:p>
    <w:p>
      <w:pPr>
        <w:pStyle w:val="Style27"/>
        <w:keepNext/>
        <w:keepLines/>
        <w:widowControl w:val="0"/>
        <w:shd w:val="clear" w:color="auto" w:fill="auto"/>
        <w:bidi w:val="0"/>
        <w:spacing w:before="0" w:after="34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4</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111"/>
      <w:bookmarkEnd w:id="1112"/>
      <w:bookmarkEnd w:id="1114"/>
    </w:p>
    <w:p>
      <w:pPr>
        <w:pStyle w:val="Style27"/>
        <w:keepNext/>
        <w:keepLines/>
        <w:widowControl w:val="0"/>
        <w:shd w:val="clear" w:color="auto" w:fill="auto"/>
        <w:bidi w:val="0"/>
        <w:spacing w:before="0" w:after="260" w:line="240" w:lineRule="auto"/>
        <w:ind w:left="0" w:right="0" w:firstLine="0"/>
        <w:jc w:val="left"/>
      </w:pPr>
      <w:bookmarkStart w:id="1111" w:name="bookmark1111"/>
      <w:bookmarkStart w:id="1112" w:name="bookmark1112"/>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11"/>
      <w:bookmarkEnd w:id="1112"/>
      <w:bookmarkEnd w:id="1116"/>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以下租赁会计政策适用于2021年度及以后：</w:t>
      </w:r>
    </w:p>
    <w:p>
      <w:pPr>
        <w:pStyle w:val="Style18"/>
        <w:keepNext w:val="0"/>
        <w:keepLines w:val="0"/>
        <w:widowControl w:val="0"/>
        <w:shd w:val="clear" w:color="auto" w:fill="auto"/>
        <w:bidi w:val="0"/>
        <w:spacing w:before="0" w:after="0" w:line="302" w:lineRule="exact"/>
        <w:ind w:left="0" w:right="0"/>
        <w:jc w:val="both"/>
      </w:pPr>
      <w:r>
        <w:rPr>
          <w:color w:val="000000"/>
          <w:spacing w:val="0"/>
          <w:w w:val="100"/>
          <w:position w:val="0"/>
        </w:rPr>
        <w:t>租赁是指本公司让渡或取得了在一定期间内控制一项或多项已识别资产使用的权利以换取或支付对价的合同。在一项合 同开始日，本公司评估合同是否为租赁或包含租赁。</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本公司租赁资产的类别主要为房屋及建筑物。</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（1）本公司作为承租人</w:t>
      </w:r>
    </w:p>
    <w:p>
      <w:pPr>
        <w:pStyle w:val="Style18"/>
        <w:keepNext w:val="0"/>
        <w:keepLines w:val="0"/>
        <w:widowControl w:val="0"/>
        <w:numPr>
          <w:ilvl w:val="0"/>
          <w:numId w:val="67"/>
        </w:numPr>
        <w:shd w:val="clear" w:color="auto" w:fill="auto"/>
        <w:tabs>
          <w:tab w:pos="751" w:val="left"/>
        </w:tabs>
        <w:bidi w:val="0"/>
        <w:spacing w:before="0" w:after="0" w:line="312" w:lineRule="exact"/>
        <w:ind w:left="0" w:right="0"/>
        <w:jc w:val="both"/>
      </w:pPr>
      <w:bookmarkStart w:id="1117" w:name="bookmark1117"/>
      <w:bookmarkEnd w:id="1117"/>
      <w:r>
        <w:rPr>
          <w:color w:val="000000"/>
          <w:spacing w:val="0"/>
          <w:w w:val="100"/>
          <w:position w:val="0"/>
        </w:rPr>
        <w:t>初始计量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在租赁期开始日，本公司将可在租赁期内使用租赁资产的权利确认为使用权资产，将尚未支付的租赁付款额的现值确认 为租赁负债（短期租赁和低价值资产租赁除外）。在计算租赁付款额的现值时，本公司采用租赁内含利率作为折现率；无法 确定租赁内含利率的，采用承租人增量借款利率作为折现率。</w:t>
      </w:r>
    </w:p>
    <w:p>
      <w:pPr>
        <w:pStyle w:val="Style18"/>
        <w:keepNext w:val="0"/>
        <w:keepLines w:val="0"/>
        <w:widowControl w:val="0"/>
        <w:numPr>
          <w:ilvl w:val="0"/>
          <w:numId w:val="67"/>
        </w:numPr>
        <w:shd w:val="clear" w:color="auto" w:fill="auto"/>
        <w:tabs>
          <w:tab w:pos="751" w:val="left"/>
        </w:tabs>
        <w:bidi w:val="0"/>
        <w:spacing w:before="0" w:after="0" w:line="312" w:lineRule="exact"/>
        <w:ind w:left="0" w:right="0"/>
        <w:jc w:val="both"/>
      </w:pPr>
      <w:bookmarkStart w:id="1118" w:name="bookmark1118"/>
      <w:bookmarkEnd w:id="1118"/>
      <w:r>
        <w:rPr>
          <w:color w:val="000000"/>
          <w:spacing w:val="0"/>
          <w:w w:val="100"/>
          <w:position w:val="0"/>
        </w:rPr>
        <w:t>后续计量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本公司自租赁期开始的当月对使用权资产计提折旧，能够合理确定租赁期届满时取得租赁资产所有权的，本公司在租赁 资产剩余使用寿命内计提折旧。无法合理确定租赁期届满时能够取得租赁资产所有权的，本公司在租赁期与租赁资产剩余使 </w:t>
      </w:r>
      <w:r>
        <w:rPr>
          <w:color w:val="000000"/>
          <w:spacing w:val="0"/>
          <w:w w:val="100"/>
          <w:position w:val="0"/>
        </w:rPr>
        <w:t>用寿命两者孰短的期间内计提折旧。</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对于租赁负债，本公司按照固定的周期性利率计算其在租赁期内各期间的利息费用，计入当期损益或计入相关资产成本。 未纳入租赁负债计量的可变租赁付款额在实际发生时计入当期损益或相关资产成本。</w:t>
      </w:r>
    </w:p>
    <w:p>
      <w:pPr>
        <w:pStyle w:val="Style18"/>
        <w:keepNext w:val="0"/>
        <w:keepLines w:val="0"/>
        <w:widowControl w:val="0"/>
        <w:shd w:val="clear" w:color="auto" w:fill="auto"/>
        <w:bidi w:val="0"/>
        <w:spacing w:before="0" w:after="0" w:line="301" w:lineRule="exact"/>
        <w:ind w:left="0" w:right="0"/>
        <w:jc w:val="both"/>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发生变动、购买选择权、续租选择权或终止选择权的评估结果或实际行权情况发生变化时，本公司按照变动后的租赁付款额 的现值重新计量租赁负债，并相应调整使用权资产的账面价值。使用权资产账面价值已调减至零，但租赁负债仍需进一步调 减的，本公司将剩余金额计入当期损益。</w:t>
      </w:r>
    </w:p>
    <w:p>
      <w:pPr>
        <w:pStyle w:val="Style18"/>
        <w:keepNext w:val="0"/>
        <w:keepLines w:val="0"/>
        <w:widowControl w:val="0"/>
        <w:numPr>
          <w:ilvl w:val="0"/>
          <w:numId w:val="67"/>
        </w:numPr>
        <w:shd w:val="clear" w:color="auto" w:fill="auto"/>
        <w:tabs>
          <w:tab w:pos="753" w:val="left"/>
        </w:tabs>
        <w:bidi w:val="0"/>
        <w:spacing w:before="0" w:after="0" w:line="322" w:lineRule="exact"/>
        <w:ind w:left="0" w:right="0"/>
        <w:jc w:val="both"/>
      </w:pPr>
      <w:bookmarkStart w:id="1119" w:name="bookmark1119"/>
      <w:bookmarkEnd w:id="1119"/>
      <w:r>
        <w:rPr>
          <w:color w:val="000000"/>
          <w:spacing w:val="0"/>
          <w:w w:val="100"/>
          <w:position w:val="0"/>
        </w:rPr>
        <w:t>短期租赁和低价值资产租赁</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对于短期租赁（在租赁开始日租赁期不超过12个月的租赁）和低价值资产租赁，本公司采取简化处理方法，不确认使用 权资产和租赁负债，而在租赁期内各个期间按照直线法或其他系统合理的方法将租赁付款额计入相关资产成本或当期损益。</w:t>
      </w:r>
    </w:p>
    <w:p>
      <w:pPr>
        <w:pStyle w:val="Style18"/>
        <w:keepNext w:val="0"/>
        <w:keepLines w:val="0"/>
        <w:widowControl w:val="0"/>
        <w:numPr>
          <w:ilvl w:val="0"/>
          <w:numId w:val="67"/>
        </w:numPr>
        <w:shd w:val="clear" w:color="auto" w:fill="auto"/>
        <w:tabs>
          <w:tab w:pos="753" w:val="left"/>
        </w:tabs>
        <w:bidi w:val="0"/>
        <w:spacing w:before="0" w:after="0" w:line="312" w:lineRule="exact"/>
        <w:ind w:left="0" w:right="0"/>
        <w:jc w:val="both"/>
      </w:pPr>
      <w:bookmarkStart w:id="1120" w:name="bookmark1120"/>
      <w:bookmarkEnd w:id="1120"/>
      <w:r>
        <w:rPr>
          <w:color w:val="000000"/>
          <w:spacing w:val="0"/>
          <w:w w:val="100"/>
          <w:position w:val="0"/>
        </w:rPr>
        <w:t>租赁变更</w:t>
      </w:r>
    </w:p>
    <w:p>
      <w:pPr>
        <w:pStyle w:val="Style18"/>
        <w:keepNext w:val="0"/>
        <w:keepLines w:val="0"/>
        <w:widowControl w:val="0"/>
        <w:shd w:val="clear" w:color="auto" w:fill="auto"/>
        <w:bidi w:val="0"/>
        <w:spacing w:before="0" w:after="120" w:line="312" w:lineRule="exact"/>
        <w:ind w:left="0" w:right="0"/>
        <w:jc w:val="left"/>
      </w:pPr>
      <w:r>
        <w:rPr>
          <w:color w:val="000000"/>
          <w:spacing w:val="0"/>
          <w:w w:val="100"/>
          <w:position w:val="0"/>
        </w:rPr>
        <w:t>租赁发生变更且同时符合下列条件的，本公司将该租赁变更作为一项单独租赁进行会计处理：</w:t>
      </w:r>
    </w:p>
    <w:p>
      <w:pPr>
        <w:pStyle w:val="Style18"/>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该租赁变更通过增加一项或多项租赁资产的使用权而扩大了租赁范围；</w:t>
      </w:r>
    </w:p>
    <w:p>
      <w:pPr>
        <w:pStyle w:val="Style18"/>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增加的对价与租赁范围扩大部分的单独价格按该合同情况调整后的金额相当。</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租赁变更未作为一项单独租赁进行会计处理的，（除新冠肺炎疫情直接引发的合同变更采用简化方法外，）在租赁变更生 效日，本公司重新分摊变更后合同的对价，重新确定租赁期，并按照变更后租赁付款额和修订后的折现率计算的现值重新计 量租赁负债。</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租赁变更导致租赁范围缩小或租赁期缩短的，本公司相应调减使用权资产的账面价值，并将部分终止或完全终止租赁的 相关利得或损失计入当期损益。其他租赁变更导致租赁负债重新计量的，本公司相应调整使用权资产的账面价值。</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（2）本公司作为出租人</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本公司在租赁开始日，基于交易的实质，将租赁分为融资租赁和经营租赁。融资租赁是指实质上转移了与租赁资产所有 权有关的几乎全部风险和报酬的租赁。经营租赁是指除融资租赁以外的其他租赁。</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经营租赁</w:t>
      </w:r>
    </w:p>
    <w:p>
      <w:pPr>
        <w:pStyle w:val="Style18"/>
        <w:keepNext w:val="0"/>
        <w:keepLines w:val="0"/>
        <w:widowControl w:val="0"/>
        <w:shd w:val="clear" w:color="auto" w:fill="auto"/>
        <w:bidi w:val="0"/>
        <w:spacing w:before="0" w:after="0" w:line="317" w:lineRule="exact"/>
        <w:ind w:left="380" w:right="0" w:firstLine="360"/>
        <w:jc w:val="both"/>
      </w:pPr>
      <w:r>
        <w:rPr>
          <w:color w:val="000000"/>
          <w:spacing w:val="0"/>
          <w:w w:val="100"/>
          <w:position w:val="0"/>
        </w:rPr>
        <w:t>本公司采用直线法将经营租赁的租赁收款额确认为租赁期内各期间的租金收入。与经营租赁有关的未计入租赁收款 额的可变租赁付款额，于实际发生时计入当期损益。</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融资租赁</w:t>
      </w:r>
    </w:p>
    <w:p>
      <w:pPr>
        <w:pStyle w:val="Style18"/>
        <w:keepNext w:val="0"/>
        <w:keepLines w:val="0"/>
        <w:widowControl w:val="0"/>
        <w:shd w:val="clear" w:color="auto" w:fill="auto"/>
        <w:bidi w:val="0"/>
        <w:spacing w:before="0" w:after="0" w:line="309" w:lineRule="exact"/>
        <w:ind w:left="380" w:right="0" w:firstLine="360"/>
        <w:jc w:val="both"/>
      </w:pPr>
      <w:r>
        <w:rPr>
          <w:color w:val="000000"/>
          <w:spacing w:val="0"/>
          <w:w w:val="100"/>
          <w:position w:val="0"/>
        </w:rPr>
        <w:t>于租赁期开始日，本公司确认应收融资租赁款，并终止确认融资租赁资产。应收融资租赁款以租赁投资净额（未担 保余值和租赁期开始日尚未收到的租赁收款额按照租赁内含利率折现的现值之和）进行初始计量，并按照固定的周期性 利率计算确认租赁期内的利息收入。本公司取得的未纳入租赁投资净额计量的可变租赁付款额在实际发生时计入当期损 益。</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租赁变更</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经营租赁发生变更的，本公司自变更生效日起将其作为一项新租赁进行会计处理，与变更前租赁有关的预收或应收租赁 收款额视为新租赁的收款额。</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融资租赁发生变更且同时符合下列条件的，本公司将该变更作为一项单独租赁进行会计处理：</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该变更通过增加一项或多项租赁资产的使用权而扩大了租赁范围；</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增加的对价与租赁范围扩大部分的单独价格按该合同情况调整后的金额相当。</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融资租赁的变更未作为一项单独租赁进行会计处理的，本公司分下列情形对变更后的租赁进行处理：</w:t>
      </w:r>
    </w:p>
    <w:p>
      <w:pPr>
        <w:pStyle w:val="Style18"/>
        <w:keepNext w:val="0"/>
        <w:keepLines w:val="0"/>
        <w:widowControl w:val="0"/>
        <w:shd w:val="clear" w:color="auto" w:fill="auto"/>
        <w:bidi w:val="0"/>
        <w:spacing w:before="0" w:after="0" w:line="307"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假如变更在租赁开始日生效，该租赁会被分类为经营租赁的，本公司自租赁变更生效日开始将其作为一项新租赁进行 会计处理，并以租赁变更生效日前的租赁投资净额作为租赁资产的账面价值；</w:t>
      </w:r>
    </w:p>
    <w:p>
      <w:pPr>
        <w:pStyle w:val="Style18"/>
        <w:keepNext w:val="0"/>
        <w:keepLines w:val="0"/>
        <w:widowControl w:val="0"/>
        <w:shd w:val="clear" w:color="auto" w:fill="auto"/>
        <w:bidi w:val="0"/>
        <w:spacing w:before="0" w:after="0" w:line="331"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假如变更在租赁开始日生效，该租赁会被分类为融资租赁的，本公司按照《企业会计准则第22号——金融工具确认 和计量》关于修改或重新议定合同的规定进行会计处理。</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以下租赁会计政策适用于2020年度及以前：</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融资租赁为实质上转移了与资产所有权有关的全部风险和报酬的租赁，其所有权最终可能转移，也可能不转移。融资租 赁以外的其他租赁为经营租赁。</w:t>
      </w:r>
    </w:p>
    <w:p>
      <w:pPr>
        <w:pStyle w:val="Style18"/>
        <w:keepNext w:val="0"/>
        <w:keepLines w:val="0"/>
        <w:widowControl w:val="0"/>
        <w:shd w:val="clear" w:color="auto" w:fill="auto"/>
        <w:tabs>
          <w:tab w:pos="820" w:val="left"/>
        </w:tabs>
        <w:bidi w:val="0"/>
        <w:spacing w:before="0" w:after="0" w:line="314" w:lineRule="exact"/>
        <w:ind w:left="0" w:right="0"/>
        <w:jc w:val="left"/>
      </w:pPr>
      <w:bookmarkStart w:id="1121" w:name="bookmark1121"/>
      <w:r>
        <w:rPr>
          <w:color w:val="000000"/>
          <w:spacing w:val="0"/>
          <w:w w:val="100"/>
          <w:position w:val="0"/>
        </w:rPr>
        <w:t>（</w:t>
      </w:r>
      <w:bookmarkEnd w:id="1121"/>
      <w:r>
        <w:rPr>
          <w:color w:val="000000"/>
          <w:spacing w:val="0"/>
          <w:w w:val="100"/>
          <w:position w:val="0"/>
        </w:rPr>
        <w:t>1）</w:t>
        <w:tab/>
        <w:t>本公司作为承租人记录经营租赁业务</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18"/>
        <w:keepNext w:val="0"/>
        <w:keepLines w:val="0"/>
        <w:widowControl w:val="0"/>
        <w:shd w:val="clear" w:color="auto" w:fill="auto"/>
        <w:tabs>
          <w:tab w:pos="820" w:val="left"/>
        </w:tabs>
        <w:bidi w:val="0"/>
        <w:spacing w:before="0" w:after="0" w:line="317" w:lineRule="exact"/>
        <w:ind w:left="0" w:right="0"/>
        <w:jc w:val="left"/>
      </w:pPr>
      <w:bookmarkStart w:id="1122" w:name="bookmark1122"/>
      <w:r>
        <w:rPr>
          <w:color w:val="000000"/>
          <w:spacing w:val="0"/>
          <w:w w:val="100"/>
          <w:position w:val="0"/>
        </w:rPr>
        <w:t>（</w:t>
      </w:r>
      <w:bookmarkEnd w:id="1122"/>
      <w:r>
        <w:rPr>
          <w:color w:val="000000"/>
          <w:spacing w:val="0"/>
          <w:w w:val="100"/>
          <w:position w:val="0"/>
        </w:rPr>
        <w:t>2）</w:t>
        <w:tab/>
        <w:t>本公司作为出租人记录经营租赁业务</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18"/>
        <w:keepNext w:val="0"/>
        <w:keepLines w:val="0"/>
        <w:widowControl w:val="0"/>
        <w:shd w:val="clear" w:color="auto" w:fill="auto"/>
        <w:tabs>
          <w:tab w:pos="820" w:val="left"/>
        </w:tabs>
        <w:bidi w:val="0"/>
        <w:spacing w:before="0" w:after="0" w:line="314" w:lineRule="exact"/>
        <w:ind w:left="0" w:right="0"/>
        <w:jc w:val="left"/>
      </w:pPr>
      <w:bookmarkStart w:id="1123" w:name="bookmark1123"/>
      <w:r>
        <w:rPr>
          <w:color w:val="000000"/>
          <w:spacing w:val="0"/>
          <w:w w:val="100"/>
          <w:position w:val="0"/>
        </w:rPr>
        <w:t>（</w:t>
      </w:r>
      <w:bookmarkEnd w:id="1123"/>
      <w:r>
        <w:rPr>
          <w:color w:val="000000"/>
          <w:spacing w:val="0"/>
          <w:w w:val="100"/>
          <w:position w:val="0"/>
        </w:rPr>
        <w:t>3）</w:t>
        <w:tab/>
        <w:t>本公司作为承租人记录融资租赁业务</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未确认融资费用在租赁期内采用实际利率法计算确认当期的融资费用。或有租金于实际发生时计入当期损益。</w:t>
      </w:r>
    </w:p>
    <w:p>
      <w:pPr>
        <w:pStyle w:val="Style18"/>
        <w:keepNext w:val="0"/>
        <w:keepLines w:val="0"/>
        <w:widowControl w:val="0"/>
        <w:shd w:val="clear" w:color="auto" w:fill="auto"/>
        <w:tabs>
          <w:tab w:pos="820" w:val="left"/>
        </w:tabs>
        <w:bidi w:val="0"/>
        <w:spacing w:before="0" w:after="0" w:line="314" w:lineRule="exact"/>
        <w:ind w:left="0" w:right="0"/>
        <w:jc w:val="left"/>
      </w:pPr>
      <w:bookmarkStart w:id="1124" w:name="bookmark1124"/>
      <w:r>
        <w:rPr>
          <w:color w:val="000000"/>
          <w:spacing w:val="0"/>
          <w:w w:val="100"/>
          <w:position w:val="0"/>
        </w:rPr>
        <w:t>（</w:t>
      </w:r>
      <w:bookmarkEnd w:id="1124"/>
      <w:r>
        <w:rPr>
          <w:color w:val="000000"/>
          <w:spacing w:val="0"/>
          <w:w w:val="100"/>
          <w:position w:val="0"/>
        </w:rPr>
        <w:t>4）</w:t>
        <w:tab/>
        <w:t>本公司作为出租人记录融资租赁业务</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18"/>
        <w:keepNext w:val="0"/>
        <w:keepLines w:val="0"/>
        <w:widowControl w:val="0"/>
        <w:shd w:val="clear" w:color="auto" w:fill="auto"/>
        <w:bidi w:val="0"/>
        <w:spacing w:before="0" w:after="360" w:line="314" w:lineRule="exact"/>
        <w:ind w:left="0" w:right="0"/>
        <w:jc w:val="left"/>
      </w:pPr>
      <w:r>
        <w:rPr>
          <w:color w:val="000000"/>
          <w:spacing w:val="0"/>
          <w:w w:val="100"/>
          <w:position w:val="0"/>
        </w:rPr>
        <w:t>未实现融资收益在租赁期内采用实际利率法计算确认当期的融资收入。或有租金于实际发生时计入当期损益。</w:t>
      </w:r>
    </w:p>
    <w:p>
      <w:pPr>
        <w:pStyle w:val="Style27"/>
        <w:keepNext/>
        <w:keepLines/>
        <w:widowControl w:val="0"/>
        <w:shd w:val="clear" w:color="auto" w:fill="auto"/>
        <w:bidi w:val="0"/>
        <w:spacing w:before="0" w:after="28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25"/>
      <w:bookmarkEnd w:id="1126"/>
      <w:bookmarkEnd w:id="1128"/>
    </w:p>
    <w:p>
      <w:pPr>
        <w:pStyle w:val="Style18"/>
        <w:keepNext w:val="0"/>
        <w:keepLines w:val="0"/>
        <w:widowControl w:val="0"/>
        <w:shd w:val="clear" w:color="auto" w:fill="auto"/>
        <w:bidi w:val="0"/>
        <w:spacing w:before="0" w:after="360" w:line="314" w:lineRule="exact"/>
        <w:ind w:left="0" w:right="0"/>
        <w:jc w:val="both"/>
      </w:pPr>
      <w:r>
        <w:rPr>
          <w:color w:val="000000"/>
          <w:spacing w:val="0"/>
          <w:w w:val="100"/>
          <w:position w:val="0"/>
        </w:rPr>
        <w:t>于租赁期开始日，本公司确认应收融资租赁款，并终止确认融资租赁资产。应收融资租赁款以租赁投资净额（未担保余 值和租赁期开始日尚未收到的租赁收款额按照租赁内含利率折现的现值之和）进行初始计量，并按照固定的周期性利率计算 确认租赁期内的利息收入。本公司取得的未纳入租赁投资净额计量的可变租赁付款额在实际发生时计入当期损益。</w:t>
      </w:r>
    </w:p>
    <w:p>
      <w:pPr>
        <w:pStyle w:val="Style27"/>
        <w:keepNext/>
        <w:keepLines/>
        <w:widowControl w:val="0"/>
        <w:shd w:val="clear" w:color="auto" w:fill="auto"/>
        <w:bidi w:val="0"/>
        <w:spacing w:before="0" w:after="28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4</w:t>
      </w:r>
      <w:bookmarkEnd w:id="1131"/>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129"/>
      <w:bookmarkEnd w:id="1130"/>
      <w:bookmarkEnd w:id="1132"/>
    </w:p>
    <w:p>
      <w:pPr>
        <w:pStyle w:val="Style18"/>
        <w:keepNext w:val="0"/>
        <w:keepLines w:val="0"/>
        <w:widowControl w:val="0"/>
        <w:shd w:val="clear" w:color="auto" w:fill="auto"/>
        <w:tabs>
          <w:tab w:pos="820" w:val="left"/>
        </w:tabs>
        <w:bidi w:val="0"/>
        <w:spacing w:before="0" w:after="0" w:line="314" w:lineRule="exact"/>
        <w:ind w:left="0" w:right="0"/>
        <w:jc w:val="both"/>
      </w:pPr>
      <w:bookmarkStart w:id="1133" w:name="bookmark1133"/>
      <w:r>
        <w:rPr>
          <w:color w:val="000000"/>
          <w:spacing w:val="0"/>
          <w:w w:val="100"/>
          <w:position w:val="0"/>
        </w:rPr>
        <w:t>（</w:t>
      </w:r>
      <w:bookmarkEnd w:id="1133"/>
      <w:r>
        <w:rPr>
          <w:color w:val="000000"/>
          <w:spacing w:val="0"/>
          <w:w w:val="100"/>
          <w:position w:val="0"/>
        </w:rPr>
        <w:t>1）</w:t>
        <w:tab/>
        <w:t>分部报告</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公司以内部组织结构、管理要求、内部报告制度为依据确定经营分部，以经营分部为基础确定报告分部。并在财务报表 附注中披露各报告分部的财务信息，包括营业收入，营业成本，资产总额，负债总额等。</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经营分部，是指公司内同时满足下列条件的组成部分：</w:t>
      </w:r>
    </w:p>
    <w:p>
      <w:pPr>
        <w:pStyle w:val="Style18"/>
        <w:keepNext w:val="0"/>
        <w:keepLines w:val="0"/>
        <w:widowControl w:val="0"/>
        <w:numPr>
          <w:ilvl w:val="0"/>
          <w:numId w:val="69"/>
        </w:numPr>
        <w:shd w:val="clear" w:color="auto" w:fill="auto"/>
        <w:tabs>
          <w:tab w:pos="753" w:val="left"/>
        </w:tabs>
        <w:bidi w:val="0"/>
        <w:spacing w:before="0" w:after="0" w:line="314" w:lineRule="exact"/>
        <w:ind w:left="0" w:right="0"/>
        <w:jc w:val="both"/>
      </w:pPr>
      <w:bookmarkStart w:id="1134" w:name="bookmark1134"/>
      <w:bookmarkEnd w:id="1134"/>
      <w:r>
        <w:rPr>
          <w:color w:val="000000"/>
          <w:spacing w:val="0"/>
          <w:w w:val="100"/>
          <w:position w:val="0"/>
        </w:rPr>
        <w:t>该组成部分能够在日常活动中产生收入、发生费用；</w:t>
      </w:r>
    </w:p>
    <w:p>
      <w:pPr>
        <w:pStyle w:val="Style18"/>
        <w:keepNext w:val="0"/>
        <w:keepLines w:val="0"/>
        <w:widowControl w:val="0"/>
        <w:numPr>
          <w:ilvl w:val="0"/>
          <w:numId w:val="69"/>
        </w:numPr>
        <w:shd w:val="clear" w:color="auto" w:fill="auto"/>
        <w:tabs>
          <w:tab w:pos="753" w:val="left"/>
        </w:tabs>
        <w:bidi w:val="0"/>
        <w:spacing w:before="0" w:after="0" w:line="314" w:lineRule="exact"/>
        <w:ind w:left="0" w:right="0"/>
        <w:jc w:val="left"/>
      </w:pPr>
      <w:bookmarkStart w:id="1135" w:name="bookmark1135"/>
      <w:bookmarkEnd w:id="1135"/>
      <w:r>
        <w:rPr>
          <w:color w:val="000000"/>
          <w:spacing w:val="0"/>
          <w:w w:val="100"/>
          <w:position w:val="0"/>
        </w:rPr>
        <w:t>企业管理层能够定期评价该组成部分的经营成果，以决定向其配置资源、评价其业绩；</w:t>
      </w:r>
    </w:p>
    <w:p>
      <w:pPr>
        <w:pStyle w:val="Style18"/>
        <w:keepNext w:val="0"/>
        <w:keepLines w:val="0"/>
        <w:widowControl w:val="0"/>
        <w:numPr>
          <w:ilvl w:val="0"/>
          <w:numId w:val="69"/>
        </w:numPr>
        <w:shd w:val="clear" w:color="auto" w:fill="auto"/>
        <w:tabs>
          <w:tab w:pos="753" w:val="left"/>
        </w:tabs>
        <w:bidi w:val="0"/>
        <w:spacing w:before="0" w:after="0" w:line="314" w:lineRule="exact"/>
        <w:ind w:left="0" w:right="0"/>
        <w:jc w:val="left"/>
      </w:pPr>
      <w:bookmarkStart w:id="1136" w:name="bookmark1136"/>
      <w:bookmarkEnd w:id="1136"/>
      <w:r>
        <w:rPr>
          <w:color w:val="000000"/>
          <w:spacing w:val="0"/>
          <w:w w:val="100"/>
          <w:position w:val="0"/>
        </w:rPr>
        <w:t>企业能够取得该组成部分的财务状况、经营成果和现金流量等有关会计信息。</w:t>
      </w:r>
    </w:p>
    <w:p>
      <w:pPr>
        <w:pStyle w:val="Style18"/>
        <w:keepNext w:val="0"/>
        <w:keepLines w:val="0"/>
        <w:widowControl w:val="0"/>
        <w:shd w:val="clear" w:color="auto" w:fill="auto"/>
        <w:tabs>
          <w:tab w:pos="820" w:val="left"/>
        </w:tabs>
        <w:bidi w:val="0"/>
        <w:spacing w:before="0" w:after="0" w:line="314" w:lineRule="exact"/>
        <w:ind w:left="0" w:right="0"/>
        <w:jc w:val="left"/>
      </w:pPr>
      <w:bookmarkStart w:id="1137" w:name="bookmark1137"/>
      <w:r>
        <w:rPr>
          <w:color w:val="000000"/>
          <w:spacing w:val="0"/>
          <w:w w:val="100"/>
          <w:position w:val="0"/>
        </w:rPr>
        <w:t>（</w:t>
      </w:r>
      <w:bookmarkEnd w:id="1137"/>
      <w:r>
        <w:rPr>
          <w:color w:val="000000"/>
          <w:spacing w:val="0"/>
          <w:w w:val="100"/>
          <w:position w:val="0"/>
        </w:rPr>
        <w:t>2）</w:t>
        <w:tab/>
        <w:t>股份回购</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公司回购的股份在注销或者转让之前，作为库存股管理，回购股份的全部支出转作库存股成本。股份回购中支付的对价 和交易费用减少所有者权益，回购、转让或注销本公司股份时，不确认利得或损失。</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转让库存股，按实际收到的金额与库存股账面金额的差额，冲减资本公积，资本公积不足冲减的，冲减盈余公积和未分 配利润。注销库存股，按股票面值和注销股数减少股本，按注销库存股的账面余额与面值的差额，冲减资本公积，资本公积</w:t>
      </w:r>
      <w:r>
        <w:br w:type="page"/>
      </w:r>
    </w:p>
    <w:p>
      <w:pPr>
        <w:pStyle w:val="Style18"/>
        <w:keepNext w:val="0"/>
        <w:keepLines w:val="0"/>
        <w:widowControl w:val="0"/>
        <w:shd w:val="clear" w:color="auto" w:fill="auto"/>
        <w:bidi w:val="0"/>
        <w:spacing w:before="0" w:after="720" w:line="240" w:lineRule="auto"/>
        <w:ind w:left="0" w:right="0" w:firstLine="0"/>
        <w:jc w:val="left"/>
      </w:pPr>
      <w:r>
        <w:rPr>
          <w:color w:val="000000"/>
          <w:spacing w:val="0"/>
          <w:w w:val="100"/>
          <w:position w:val="0"/>
        </w:rPr>
        <w:t>不足冲减的，冲减盈余公积和未分配利润。</w:t>
      </w:r>
    </w:p>
    <w:p>
      <w:pPr>
        <w:pStyle w:val="Style27"/>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4</w:t>
      </w:r>
      <w:bookmarkEnd w:id="1140"/>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138"/>
      <w:bookmarkEnd w:id="1139"/>
      <w:bookmarkEnd w:id="1141"/>
    </w:p>
    <w:p>
      <w:pPr>
        <w:pStyle w:val="Style27"/>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38"/>
      <w:bookmarkEnd w:id="1139"/>
      <w:bookmarkEnd w:id="1143"/>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财政部于</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月颁布了修订后的 《企业会计准则第</w:t>
            </w:r>
            <w:r>
              <w:rPr>
                <w:color w:val="000000"/>
                <w:spacing w:val="0"/>
                <w:w w:val="100"/>
                <w:position w:val="0"/>
              </w:rPr>
              <w:t>21</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一一</w:t>
            </w:r>
            <w:r>
              <w:rPr>
                <w:rFonts w:ascii="SimSun" w:eastAsia="SimSun" w:hAnsi="SimSun" w:cs="SimSun"/>
                <w:color w:val="000000"/>
                <w:spacing w:val="0"/>
                <w:w w:val="100"/>
                <w:position w:val="0"/>
              </w:rPr>
              <w:t>租赁》（财 会</w:t>
            </w:r>
            <w:r>
              <w:rPr>
                <w:color w:val="000000"/>
                <w:spacing w:val="0"/>
                <w:w w:val="100"/>
                <w:position w:val="0"/>
              </w:rPr>
              <w:t>[2018]35</w:t>
            </w:r>
            <w:r>
              <w:rPr>
                <w:rFonts w:ascii="SimSun" w:eastAsia="SimSun" w:hAnsi="SimSun" w:cs="SimSun"/>
                <w:color w:val="000000"/>
                <w:spacing w:val="0"/>
                <w:w w:val="100"/>
                <w:position w:val="0"/>
              </w:rPr>
              <w:t>号）（以下简称“新租赁准 则『'）,要求在境内外同时上市的企业以 及在境外上市并采用国际财务报告准 则或企业会计准则编制财务报表的企 业，自</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日起施行；其他 执行企业会计准则的企业自</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日起施行。根据新租赁准则的要 求，公司决定自</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日起执 行新的租赁准则，对原采用的相关会计 政策进行相应变更。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日召开第七届董 事会第十四次临时会议和第七届监事 会第十一次临时会议，审议通过了《关 于公司会计政策变更的议案》。</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财政部于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日发布了《企 业会计准则解释第</w:t>
            </w:r>
            <w:r>
              <w:rPr>
                <w:color w:val="000000"/>
                <w:spacing w:val="0"/>
                <w:w w:val="100"/>
                <w:position w:val="0"/>
              </w:rPr>
              <w:t>15</w:t>
            </w:r>
            <w:r>
              <w:rPr>
                <w:rFonts w:ascii="SimSun" w:eastAsia="SimSun" w:hAnsi="SimSun" w:cs="SimSun"/>
                <w:color w:val="000000"/>
                <w:spacing w:val="0"/>
                <w:w w:val="100"/>
                <w:position w:val="0"/>
              </w:rPr>
              <w:t>号》（财会</w:t>
            </w:r>
            <w:r>
              <w:rPr>
                <w:color w:val="000000"/>
                <w:spacing w:val="0"/>
                <w:w w:val="100"/>
                <w:position w:val="0"/>
              </w:rPr>
              <w:t>（2021</w:t>
            </w:r>
            <w:r>
              <w:rPr>
                <w:rFonts w:ascii="SimSun" w:eastAsia="SimSun" w:hAnsi="SimSun" w:cs="SimSun"/>
                <w:color w:val="000000"/>
                <w:spacing w:val="0"/>
                <w:w w:val="100"/>
                <w:position w:val="0"/>
              </w:rPr>
              <w:t xml:space="preserve">） </w:t>
            </w:r>
            <w:r>
              <w:rPr>
                <w:color w:val="000000"/>
                <w:spacing w:val="0"/>
                <w:w w:val="100"/>
                <w:position w:val="0"/>
              </w:rPr>
              <w:t>35</w:t>
            </w:r>
            <w:r>
              <w:rPr>
                <w:rFonts w:ascii="SimSun" w:eastAsia="SimSun" w:hAnsi="SimSun" w:cs="SimSun"/>
                <w:color w:val="000000"/>
                <w:spacing w:val="0"/>
                <w:w w:val="100"/>
                <w:position w:val="0"/>
              </w:rPr>
              <w:t>号，以下简称“解释第</w:t>
            </w:r>
            <w:r>
              <w:rPr>
                <w:color w:val="000000"/>
                <w:spacing w:val="0"/>
                <w:w w:val="100"/>
                <w:position w:val="0"/>
              </w:rPr>
              <w:t>15</w:t>
            </w:r>
            <w:r>
              <w:rPr>
                <w:rFonts w:ascii="SimSun" w:eastAsia="SimSun" w:hAnsi="SimSun" w:cs="SimSun"/>
                <w:color w:val="000000"/>
                <w:spacing w:val="0"/>
                <w:w w:val="100"/>
                <w:position w:val="0"/>
              </w:rPr>
              <w:t>号”），“关 于资金集中管理相关列报”内容自公布 之日起施行，可比期间的财务报表数据 相应调整。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公司于</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日召开第七届董 事会第六次会议和第七届监事会第六 次会议，审议通过了《关于公司会计政 策变更的议案》。</w:t>
            </w:r>
          </w:p>
        </w:tc>
        <w:tc>
          <w:tcPr>
            <w:tcBorders>
              <w:top w:val="single" w:sz="4"/>
              <w:left w:val="single" w:sz="4"/>
              <w:right w:val="single" w:sz="4"/>
            </w:tcBorders>
            <w:shd w:val="clear" w:color="auto" w:fill="FFFFFF"/>
            <w:vAlign w:val="top"/>
          </w:tcPr>
          <w:p>
            <w:pPr>
              <w:widowControl w:val="0"/>
              <w:rPr>
                <w:sz w:val="10"/>
                <w:szCs w:val="10"/>
              </w:rPr>
            </w:pPr>
          </w:p>
        </w:tc>
      </w:tr>
      <w:tr>
        <w:trPr>
          <w:trHeight w:val="50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财政部于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日发布了《新 冠肺炎疫情相关租金减让会计处理规 定》（财会〔</w:t>
            </w:r>
            <w:r>
              <w:rPr>
                <w:color w:val="000000"/>
                <w:spacing w:val="0"/>
                <w:w w:val="100"/>
                <w:position w:val="0"/>
              </w:rPr>
              <w:t>2020</w:t>
            </w:r>
            <w:r>
              <w:rPr>
                <w:rFonts w:ascii="SimSun" w:eastAsia="SimSun" w:hAnsi="SimSun" w:cs="SimSun"/>
                <w:color w:val="000000"/>
                <w:spacing w:val="0"/>
                <w:w w:val="100"/>
                <w:position w:val="0"/>
              </w:rPr>
              <w:t xml:space="preserve">〕 </w:t>
            </w:r>
            <w:r>
              <w:rPr>
                <w:color w:val="000000"/>
                <w:spacing w:val="0"/>
                <w:w w:val="100"/>
                <w:position w:val="0"/>
              </w:rPr>
              <w:t>10</w:t>
            </w:r>
            <w:r>
              <w:rPr>
                <w:rFonts w:ascii="SimSun" w:eastAsia="SimSun" w:hAnsi="SimSun" w:cs="SimSun"/>
                <w:color w:val="000000"/>
                <w:spacing w:val="0"/>
                <w:w w:val="100"/>
                <w:position w:val="0"/>
              </w:rPr>
              <w:t>号），对于满足 条件的由新冠肺炎疫情直接引发的租 金减免、延期支付租金等租金减让，企 业可以选择采用简化方法进行会计处 理。财政部于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日发布了</w:t>
            </w:r>
          </w:p>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《关于调整</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新冠肺炎疫情相关租金 减让会计处理规定</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适用范围的通知》</w:t>
            </w:r>
          </w:p>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（财会〔</w:t>
            </w:r>
            <w:r>
              <w:rPr>
                <w:color w:val="000000"/>
                <w:spacing w:val="0"/>
                <w:w w:val="100"/>
                <w:position w:val="0"/>
              </w:rPr>
              <w:t>2021</w:t>
            </w:r>
            <w:r>
              <w:rPr>
                <w:rFonts w:ascii="SimSun" w:eastAsia="SimSun" w:hAnsi="SimSun" w:cs="SimSun"/>
                <w:color w:val="000000"/>
                <w:spacing w:val="0"/>
                <w:w w:val="100"/>
                <w:position w:val="0"/>
              </w:rPr>
              <w:t>〕</w:t>
            </w:r>
            <w:r>
              <w:rPr>
                <w:color w:val="000000"/>
                <w:spacing w:val="0"/>
                <w:w w:val="100"/>
                <w:position w:val="0"/>
              </w:rPr>
              <w:t>9</w:t>
            </w:r>
            <w:r>
              <w:rPr>
                <w:rFonts w:ascii="SimSun" w:eastAsia="SimSun" w:hAnsi="SimSun" w:cs="SimSun"/>
                <w:color w:val="000000"/>
                <w:spacing w:val="0"/>
                <w:w w:val="100"/>
                <w:position w:val="0"/>
              </w:rPr>
              <w:t>号），自</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 xml:space="preserve">月 </w:t>
            </w:r>
            <w:r>
              <w:rPr>
                <w:color w:val="000000"/>
                <w:spacing w:val="0"/>
                <w:w w:val="100"/>
                <w:position w:val="0"/>
              </w:rPr>
              <w:t>26</w:t>
            </w:r>
            <w:r>
              <w:rPr>
                <w:rFonts w:ascii="SimSun" w:eastAsia="SimSun" w:hAnsi="SimSun" w:cs="SimSun"/>
                <w:color w:val="000000"/>
                <w:spacing w:val="0"/>
                <w:w w:val="100"/>
                <w:position w:val="0"/>
              </w:rPr>
              <w:t>日起施行，将《新冠肺炎疫情相关 租金减让会计处理规定》允许采用简化 方法的新冠肺炎疫情相关租金减让的 适用范围由“减让仅针对</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 xml:space="preserve">月 </w:t>
            </w:r>
            <w:r>
              <w:rPr>
                <w:color w:val="000000"/>
                <w:spacing w:val="0"/>
                <w:w w:val="100"/>
                <w:position w:val="0"/>
              </w:rPr>
              <w:t>30</w:t>
            </w:r>
            <w:r>
              <w:rPr>
                <w:rFonts w:ascii="SimSun" w:eastAsia="SimSun" w:hAnsi="SimSun" w:cs="SimSun"/>
                <w:color w:val="000000"/>
                <w:spacing w:val="0"/>
                <w:w w:val="100"/>
                <w:position w:val="0"/>
              </w:rPr>
              <w:t>日前的应付租赁付款额”调整为“减 让仅针对</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日前的应付租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公司于</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日召开第七届董 事会第六次会议和第七届监事会第六 次会议，审议通过了《关于公司会计政 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2"/>
        <w:gridCol w:w="3192"/>
        <w:gridCol w:w="3197"/>
      </w:tblGrid>
      <w:tr>
        <w:trPr>
          <w:trHeight w:val="3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赁付款额”，其他适用条件不变。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财政部于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日发布了《企 业会计准则解释第</w:t>
            </w:r>
            <w:r>
              <w:rPr>
                <w:color w:val="000000"/>
                <w:spacing w:val="0"/>
                <w:w w:val="100"/>
                <w:position w:val="0"/>
              </w:rPr>
              <w:t>14</w:t>
            </w:r>
            <w:r>
              <w:rPr>
                <w:rFonts w:ascii="SimSun" w:eastAsia="SimSun" w:hAnsi="SimSun" w:cs="SimSun"/>
                <w:color w:val="000000"/>
                <w:spacing w:val="0"/>
                <w:w w:val="100"/>
                <w:position w:val="0"/>
              </w:rPr>
              <w:t>号》（财会〔</w:t>
            </w:r>
            <w:r>
              <w:rPr>
                <w:color w:val="000000"/>
                <w:spacing w:val="0"/>
                <w:w w:val="100"/>
                <w:position w:val="0"/>
              </w:rPr>
              <w:t>2021</w:t>
            </w:r>
            <w:r>
              <w:rPr>
                <w:rFonts w:ascii="SimSun" w:eastAsia="SimSun" w:hAnsi="SimSun" w:cs="SimSun"/>
                <w:color w:val="000000"/>
                <w:spacing w:val="0"/>
                <w:w w:val="100"/>
                <w:position w:val="0"/>
              </w:rPr>
              <w:t xml:space="preserve">〕 </w:t>
            </w:r>
            <w:r>
              <w:rPr>
                <w:color w:val="000000"/>
                <w:spacing w:val="0"/>
                <w:w w:val="100"/>
                <w:position w:val="0"/>
              </w:rPr>
              <w:t>1</w:t>
            </w:r>
            <w:r>
              <w:rPr>
                <w:rFonts w:ascii="SimSun" w:eastAsia="SimSun" w:hAnsi="SimSun" w:cs="SimSun"/>
                <w:color w:val="000000"/>
                <w:spacing w:val="0"/>
                <w:w w:val="100"/>
                <w:position w:val="0"/>
              </w:rPr>
              <w:t>号，以下简称“解释第</w:t>
            </w:r>
            <w:r>
              <w:rPr>
                <w:color w:val="000000"/>
                <w:spacing w:val="0"/>
                <w:w w:val="100"/>
                <w:position w:val="0"/>
              </w:rPr>
              <w:t>14</w:t>
            </w:r>
            <w:r>
              <w:rPr>
                <w:rFonts w:ascii="SimSun" w:eastAsia="SimSun" w:hAnsi="SimSun" w:cs="SimSun"/>
                <w:color w:val="000000"/>
                <w:spacing w:val="0"/>
                <w:w w:val="100"/>
                <w:position w:val="0"/>
              </w:rPr>
              <w:t>号”），自 公布之日起施行。</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 xml:space="preserve">日至 施行日新增的有关业务，根据解释第 </w:t>
            </w:r>
            <w:r>
              <w:rPr>
                <w:color w:val="000000"/>
                <w:spacing w:val="0"/>
                <w:w w:val="100"/>
                <w:position w:val="0"/>
              </w:rPr>
              <w:t>14</w:t>
            </w:r>
            <w:r>
              <w:rPr>
                <w:rFonts w:ascii="SimSun" w:eastAsia="SimSun" w:hAnsi="SimSun" w:cs="SimSun"/>
                <w:color w:val="000000"/>
                <w:spacing w:val="0"/>
                <w:w w:val="100"/>
                <w:position w:val="0"/>
              </w:rPr>
              <w:t>号进行调整。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pPr>
            <w:r>
              <w:rPr>
                <w:rFonts w:ascii="SimSun" w:eastAsia="SimSun" w:hAnsi="SimSun" w:cs="SimSun"/>
                <w:color w:val="000000"/>
                <w:spacing w:val="0"/>
                <w:w w:val="100"/>
                <w:position w:val="0"/>
              </w:rPr>
              <w:t>公司于</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日召开第七届董 事会第六次会议和第七届监事会第六 次会议，审议通过了《关于公司会计政 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341" w:right="0" w:firstLine="0"/>
        <w:jc w:val="left"/>
      </w:pPr>
      <w:r>
        <w:rPr>
          <w:color w:val="000000"/>
          <w:spacing w:val="0"/>
          <w:w w:val="100"/>
          <w:position w:val="0"/>
        </w:rPr>
        <w:t>①</w:t>
      </w:r>
      <w:r>
        <w:rPr>
          <w:b/>
          <w:bCs/>
          <w:color w:val="000000"/>
          <w:spacing w:val="0"/>
          <w:w w:val="100"/>
          <w:position w:val="0"/>
        </w:rPr>
        <w:t>执行新租赁准则导致的会计政策变更</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财政部于2018年12月7日颁布了《关于修订印发的通知》（财会〔2018〕35号）（以下简称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），要求在境内外 同时上市的企业以及在境外上市并采用国际财务报告准则或企业会计准则编制财务报表的企业，自2019年1月1日起施行； 其他执行企业会计准则的企业自2021年1月1日起施行。</w:t>
      </w:r>
    </w:p>
    <w:p>
      <w:pPr>
        <w:pStyle w:val="Style18"/>
        <w:keepNext w:val="0"/>
        <w:keepLines w:val="0"/>
        <w:widowControl w:val="0"/>
        <w:shd w:val="clear" w:color="auto" w:fill="auto"/>
        <w:bidi w:val="0"/>
        <w:spacing w:before="0" w:after="0" w:line="307" w:lineRule="exact"/>
        <w:ind w:left="0" w:right="0"/>
        <w:jc w:val="left"/>
      </w:pPr>
      <w:r>
        <w:rPr>
          <w:color w:val="000000"/>
          <w:spacing w:val="0"/>
          <w:w w:val="100"/>
          <w:position w:val="0"/>
        </w:rPr>
        <w:t>在首次执行日，本公司选择不重新评估此前已存在的合同是否为租赁或是否包含租赁，并将此方法一致应用于所有合同， 因此仅对上述在原租赁准则下识别为租赁的合同采用本准则衔接规定。</w:t>
      </w:r>
    </w:p>
    <w:p>
      <w:pPr>
        <w:pStyle w:val="Style18"/>
        <w:keepNext w:val="0"/>
        <w:keepLines w:val="0"/>
        <w:widowControl w:val="0"/>
        <w:shd w:val="clear" w:color="auto" w:fill="auto"/>
        <w:bidi w:val="0"/>
        <w:spacing w:before="0" w:after="0" w:line="319" w:lineRule="exact"/>
        <w:ind w:left="0" w:right="0"/>
        <w:jc w:val="left"/>
      </w:pPr>
      <w:r>
        <w:rPr>
          <w:color w:val="000000"/>
          <w:spacing w:val="0"/>
          <w:w w:val="100"/>
          <w:position w:val="0"/>
        </w:rPr>
        <w:t>此外，本公司对上述租赁合同采用简化的追溯调整法进行衔接会计处理，即调整首次执行本准则当年年初留存收益及财 务报表其他相关项目金额，不调整可比期间信息，并对其中的经营租赁根据每项租赁选择使用权资产计量方法和采用相关简 化处理，具体如下：</w:t>
      </w:r>
    </w:p>
    <w:p>
      <w:pPr>
        <w:pStyle w:val="Style18"/>
        <w:keepNext w:val="0"/>
        <w:keepLines w:val="0"/>
        <w:widowControl w:val="0"/>
        <w:shd w:val="clear" w:color="auto" w:fill="auto"/>
        <w:bidi w:val="0"/>
        <w:spacing w:before="0" w:after="120" w:line="317" w:lineRule="exact"/>
        <w:ind w:left="0" w:right="0"/>
        <w:jc w:val="left"/>
      </w:pPr>
      <w:r>
        <w:rPr>
          <w:color w:val="000000"/>
          <w:spacing w:val="0"/>
          <w:w w:val="100"/>
          <w:position w:val="0"/>
        </w:rPr>
        <w:t>本公司对低价值资产租赁的会计政策为不确认使用权资产和租赁负债。根据新租赁准则的衔接规定，本公司在首次执行 日前的低价值资产租赁，自首次执行日起按照新租赁准则进行会计处理，不对低价值资产租赁进行追溯调整。</w:t>
      </w:r>
    </w:p>
    <w:p>
      <w:pPr>
        <w:pStyle w:val="Style25"/>
        <w:keepNext w:val="0"/>
        <w:keepLines w:val="0"/>
        <w:widowControl w:val="0"/>
        <w:shd w:val="clear" w:color="auto" w:fill="auto"/>
        <w:bidi w:val="0"/>
        <w:spacing w:before="0" w:after="0" w:line="240" w:lineRule="auto"/>
        <w:ind w:left="139" w:right="0" w:firstLine="0"/>
        <w:jc w:val="left"/>
      </w:pPr>
      <w:r>
        <w:rPr>
          <w:color w:val="000000"/>
          <w:spacing w:val="0"/>
          <w:w w:val="100"/>
          <w:position w:val="0"/>
        </w:rPr>
        <w:t>执行新租赁准则对2021年1月1日财务报表的影响如下:</w:t>
      </w:r>
    </w:p>
    <w:tbl>
      <w:tblPr>
        <w:tblOverlap w:val="never"/>
        <w:jc w:val="center"/>
        <w:tblLayout w:type="fixed"/>
      </w:tblPr>
      <w:tblGrid>
        <w:gridCol w:w="2102"/>
        <w:gridCol w:w="1843"/>
        <w:gridCol w:w="1704"/>
        <w:gridCol w:w="1838"/>
        <w:gridCol w:w="1747"/>
      </w:tblGrid>
      <w:tr>
        <w:trPr>
          <w:trHeight w:val="437"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报表项目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年12月31日（变更前）金额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年1月1日（变更后）金额</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合并报表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母公司报表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合并报表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母公司报表</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5,437,061.05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1,247,882.25</w:t>
            </w:r>
          </w:p>
        </w:tc>
      </w:tr>
      <w:tr>
        <w:trPr>
          <w:trHeight w:val="42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10,792,283.86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9,067,533.73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10,650,387.84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8,925,637.71</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3,905,571.58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941</w:t>
            </w:r>
            <w:r>
              <w:rPr>
                <w:color w:val="000000"/>
                <w:spacing w:val="0"/>
                <w:w w:val="100"/>
                <w:position w:val="0"/>
                <w:sz w:val="20"/>
                <w:szCs w:val="20"/>
              </w:rPr>
              <w:t>,</w:t>
            </w:r>
            <w:r>
              <w:rPr>
                <w:rFonts w:ascii="SimSun" w:eastAsia="SimSun" w:hAnsi="SimSun" w:cs="SimSun"/>
                <w:color w:val="000000"/>
                <w:spacing w:val="0"/>
                <w:w w:val="100"/>
                <w:position w:val="0"/>
                <w:sz w:val="20"/>
                <w:szCs w:val="20"/>
              </w:rPr>
              <w:t>802</w:t>
            </w:r>
            <w:r>
              <w:rPr>
                <w:color w:val="000000"/>
                <w:spacing w:val="0"/>
                <w:w w:val="100"/>
                <w:position w:val="0"/>
                <w:sz w:val="20"/>
                <w:szCs w:val="20"/>
              </w:rPr>
              <w:t>.</w:t>
            </w:r>
            <w:r>
              <w:rPr>
                <w:rFonts w:ascii="SimSun" w:eastAsia="SimSun" w:hAnsi="SimSun" w:cs="SimSun"/>
                <w:color w:val="000000"/>
                <w:spacing w:val="0"/>
                <w:w w:val="100"/>
                <w:position w:val="0"/>
                <w:sz w:val="20"/>
                <w:szCs w:val="20"/>
              </w:rPr>
              <w:t>89</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20,419,681.25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21,809,274.70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164,183.34</w:t>
            </w:r>
          </w:p>
        </w:tc>
      </w:tr>
    </w:tbl>
    <w:p>
      <w:pPr>
        <w:widowControl w:val="0"/>
        <w:spacing w:after="319" w:line="1" w:lineRule="exact"/>
      </w:pP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本公司于2</w:t>
      </w:r>
      <w:r>
        <w:rPr>
          <w:rFonts w:ascii="Times New Roman" w:eastAsia="Times New Roman" w:hAnsi="Times New Roman" w:cs="Times New Roman"/>
          <w:color w:val="000000"/>
          <w:spacing w:val="0"/>
          <w:w w:val="100"/>
          <w:position w:val="0"/>
        </w:rPr>
        <w:t>021</w:t>
      </w:r>
      <w:r>
        <w:rPr>
          <w:color w:val="000000"/>
          <w:spacing w:val="0"/>
          <w:w w:val="100"/>
          <w:position w:val="0"/>
        </w:rPr>
        <w:t>年1月1日计入资产负债表的租赁负债所采用的增量借款利率的加权平均值为4.65%。</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本公司下属子公司恒宝国际于2021年1月1日计入资产负债表的租赁负债所采用的增量借款利率的加权平均值为5.25%。</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本公司下属孙公司</w:t>
      </w:r>
      <w:r>
        <w:rPr>
          <w:color w:val="000000"/>
          <w:spacing w:val="0"/>
          <w:w w:val="100"/>
          <w:position w:val="0"/>
        </w:rPr>
        <w:t>Modularsoft Sdn.Bhd</w:t>
      </w:r>
      <w:r>
        <w:rPr>
          <w:color w:val="000000"/>
          <w:spacing w:val="0"/>
          <w:w w:val="100"/>
          <w:position w:val="0"/>
        </w:rPr>
        <w:t>于2021年1月1日计入资产负债表的租赁负债所采用的增量借款利率的加权平均 值为6.72%。</w:t>
      </w:r>
    </w:p>
    <w:p>
      <w:pPr>
        <w:pStyle w:val="Style18"/>
        <w:keepNext w:val="0"/>
        <w:keepLines w:val="0"/>
        <w:widowControl w:val="0"/>
        <w:shd w:val="clear" w:color="auto" w:fill="auto"/>
        <w:bidi w:val="0"/>
        <w:spacing w:before="0" w:after="380" w:line="317" w:lineRule="exact"/>
        <w:ind w:left="0" w:right="0" w:firstLine="560"/>
        <w:jc w:val="both"/>
      </w:pPr>
      <w:r>
        <w:rPr>
          <w:color w:val="000000"/>
          <w:spacing w:val="0"/>
          <w:w w:val="100"/>
          <w:position w:val="0"/>
        </w:rPr>
        <w:t>本公司下属孙公司</w:t>
      </w:r>
      <w:r>
        <w:rPr>
          <w:color w:val="000000"/>
          <w:spacing w:val="0"/>
          <w:w w:val="100"/>
          <w:position w:val="0"/>
        </w:rPr>
        <w:t>Asia Smart Cards Centre（M）Sdn.Bhd</w:t>
      </w: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日计入资产负债表的租赁负债所采用的增量借 款利率的加权平均值为6.81%。</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本公司之联营企业首次执行新金融工具准则调整执行当年年初财务报表相关项目情况</w:t>
      </w:r>
    </w:p>
    <w:p>
      <w:pPr>
        <w:pStyle w:val="Style18"/>
        <w:keepNext w:val="0"/>
        <w:keepLines w:val="0"/>
        <w:widowControl w:val="0"/>
        <w:shd w:val="clear" w:color="auto" w:fill="auto"/>
        <w:bidi w:val="0"/>
        <w:spacing w:before="0" w:after="0" w:line="307" w:lineRule="exact"/>
        <w:ind w:left="0" w:right="0"/>
        <w:jc w:val="left"/>
      </w:pPr>
      <w:r>
        <w:rPr>
          <w:color w:val="000000"/>
          <w:spacing w:val="0"/>
          <w:w w:val="100"/>
          <w:position w:val="0"/>
        </w:rPr>
        <w:t>根据财政部发布的关于印发修订《企业会计准则第22号——金融工具确认和计量》的通知，执行企业会计准则的非上 市企业应当自2021年1月1日起执行新金融工具相关会计准则。</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本公司之联营企业上海恒毓投资中心（有限合伙）自2021年1月1日起执行新金融工具准则。根据新金融工具准则衔接规 定相关要求，公司对可比期间信息不予调整，联营企业首次执行日执行新准则与原准则的差异追溯调整本报告期期初（即 2021年1月1日）财务报表相关项目金额。</w:t>
      </w:r>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本公司之联营企业首次执行新金融工具准则对2021年1月1日财务报表的影响如下:</w:t>
      </w:r>
    </w:p>
    <w:tbl>
      <w:tblPr>
        <w:tblOverlap w:val="never"/>
        <w:jc w:val="center"/>
        <w:tblLayout w:type="fixed"/>
      </w:tblPr>
      <w:tblGrid>
        <w:gridCol w:w="2102"/>
        <w:gridCol w:w="1843"/>
        <w:gridCol w:w="1699"/>
        <w:gridCol w:w="1843"/>
        <w:gridCol w:w="1742"/>
      </w:tblGrid>
      <w:tr>
        <w:trPr>
          <w:trHeight w:val="437"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报表项目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2020年12月31日（变更前）金额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2021年1月1日（变更后）金额</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合并报表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母公司报表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合并报表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母公司报表</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 xml:space="preserve">756,218. </w:t>
            </w:r>
            <w:r>
              <w:rPr>
                <w:rFonts w:ascii="SimSun" w:eastAsia="SimSun" w:hAnsi="SimSun" w:cs="SimSun"/>
                <w:color w:val="000000"/>
                <w:spacing w:val="0"/>
                <w:w w:val="100"/>
                <w:position w:val="0"/>
                <w:sz w:val="20"/>
                <w:szCs w:val="20"/>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2,526,837.18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-1,770,618.42</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 xml:space="preserve">1, 023, </w:t>
            </w:r>
            <w:r>
              <w:rPr>
                <w:rFonts w:ascii="SimSun" w:eastAsia="SimSun" w:hAnsi="SimSun" w:cs="SimSun"/>
                <w:color w:val="000000"/>
                <w:spacing w:val="0"/>
                <w:w w:val="100"/>
                <w:position w:val="0"/>
                <w:sz w:val="20"/>
                <w:szCs w:val="20"/>
              </w:rPr>
              <w:t>779,759.10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1,004,351,567. </w:t>
            </w:r>
            <w:r>
              <w:rPr>
                <w:rFonts w:ascii="SimSun" w:eastAsia="SimSun" w:hAnsi="SimSun" w:cs="SimSun"/>
                <w:color w:val="000000"/>
                <w:spacing w:val="0"/>
                <w:w w:val="100"/>
                <w:position w:val="0"/>
                <w:sz w:val="20"/>
                <w:szCs w:val="20"/>
              </w:rPr>
              <w:t>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1,026,306,596.28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1,006,878,404.97</w:t>
            </w:r>
          </w:p>
        </w:tc>
      </w:tr>
    </w:tbl>
    <w:p>
      <w:pPr>
        <w:widowControl w:val="0"/>
        <w:spacing w:after="279" w:line="1" w:lineRule="exact"/>
      </w:pPr>
    </w:p>
    <w:p>
      <w:pPr>
        <w:pStyle w:val="Style18"/>
        <w:keepNext w:val="0"/>
        <w:keepLines w:val="0"/>
        <w:widowControl w:val="0"/>
        <w:numPr>
          <w:ilvl w:val="0"/>
          <w:numId w:val="71"/>
        </w:numPr>
        <w:shd w:val="clear" w:color="auto" w:fill="auto"/>
        <w:tabs>
          <w:tab w:pos="758" w:val="left"/>
        </w:tabs>
        <w:bidi w:val="0"/>
        <w:spacing w:before="0" w:after="0" w:line="316" w:lineRule="exact"/>
        <w:ind w:left="0" w:right="0"/>
        <w:jc w:val="both"/>
      </w:pPr>
      <w:bookmarkStart w:id="1144" w:name="bookmark1144"/>
      <w:bookmarkEnd w:id="1144"/>
      <w:r>
        <w:rPr>
          <w:b/>
          <w:bCs/>
          <w:color w:val="000000"/>
          <w:spacing w:val="0"/>
          <w:w w:val="100"/>
          <w:position w:val="0"/>
        </w:rPr>
        <w:t>执行《企业会计准则解释第15号》关于资金集中管理相关列报</w:t>
      </w:r>
    </w:p>
    <w:p>
      <w:pPr>
        <w:pStyle w:val="Style18"/>
        <w:keepNext w:val="0"/>
        <w:keepLines w:val="0"/>
        <w:widowControl w:val="0"/>
        <w:shd w:val="clear" w:color="auto" w:fill="auto"/>
        <w:bidi w:val="0"/>
        <w:spacing w:before="0" w:after="360" w:line="322" w:lineRule="exact"/>
        <w:ind w:left="0" w:right="0"/>
        <w:jc w:val="both"/>
      </w:pPr>
      <w:r>
        <w:rPr>
          <w:color w:val="000000"/>
          <w:spacing w:val="0"/>
          <w:w w:val="100"/>
          <w:position w:val="0"/>
        </w:rPr>
        <w:t>2021年12月30日，财政部发布了《企业会计准则解释第15号》（财会（2021〕 35号，以下简称</w:t>
      </w:r>
      <w:r>
        <w:rPr>
          <w:rFonts w:ascii="Times New Roman" w:eastAsia="Times New Roman" w:hAnsi="Times New Roman" w:cs="Times New Roman"/>
          <w:color w:val="000000"/>
          <w:spacing w:val="0"/>
          <w:w w:val="100"/>
          <w:position w:val="0"/>
        </w:rPr>
        <w:t>“</w:t>
      </w:r>
      <w:r>
        <w:rPr>
          <w:color w:val="000000"/>
          <w:spacing w:val="0"/>
          <w:w w:val="100"/>
          <w:position w:val="0"/>
        </w:rPr>
        <w:t>解释15号</w:t>
      </w:r>
      <w:r>
        <w:rPr>
          <w:rFonts w:ascii="Times New Roman" w:eastAsia="Times New Roman" w:hAnsi="Times New Roman" w:cs="Times New Roman"/>
          <w:color w:val="000000"/>
          <w:spacing w:val="0"/>
          <w:w w:val="100"/>
          <w:position w:val="0"/>
        </w:rPr>
        <w:t>”</w:t>
      </w:r>
      <w:r>
        <w:rPr>
          <w:color w:val="000000"/>
          <w:spacing w:val="0"/>
          <w:w w:val="100"/>
          <w:position w:val="0"/>
        </w:rPr>
        <w:t xml:space="preserve">），解释15号中 </w:t>
      </w:r>
      <w:r>
        <w:rPr>
          <w:rFonts w:ascii="Times New Roman" w:eastAsia="Times New Roman" w:hAnsi="Times New Roman" w:cs="Times New Roman"/>
          <w:color w:val="000000"/>
          <w:spacing w:val="0"/>
          <w:w w:val="100"/>
          <w:position w:val="0"/>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相关规定，自公布之日起实施。本公司自施行日起执行解释15号，执行解释15号未对本公司的 财务状况及经营成果产生重大影响。</w:t>
      </w:r>
    </w:p>
    <w:p>
      <w:pPr>
        <w:pStyle w:val="Style18"/>
        <w:keepNext w:val="0"/>
        <w:keepLines w:val="0"/>
        <w:widowControl w:val="0"/>
        <w:numPr>
          <w:ilvl w:val="0"/>
          <w:numId w:val="71"/>
        </w:numPr>
        <w:shd w:val="clear" w:color="auto" w:fill="auto"/>
        <w:tabs>
          <w:tab w:pos="758" w:val="left"/>
        </w:tabs>
        <w:bidi w:val="0"/>
        <w:spacing w:before="0" w:after="0" w:line="316" w:lineRule="exact"/>
        <w:ind w:left="0" w:right="0"/>
        <w:jc w:val="both"/>
      </w:pPr>
      <w:bookmarkStart w:id="1145" w:name="bookmark1145"/>
      <w:bookmarkEnd w:id="1145"/>
      <w:r>
        <w:rPr>
          <w:b/>
          <w:bCs/>
          <w:color w:val="000000"/>
          <w:spacing w:val="0"/>
          <w:w w:val="100"/>
          <w:position w:val="0"/>
        </w:rPr>
        <w:t>执行《关于调整〈新冠肺炎疫情相关租金减让会计处理规定〉适用范围的通知》</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《新冠肺炎疫情相关租金减让会计处理规定》（财会</w:t>
      </w:r>
      <w:r>
        <w:rPr>
          <w:color w:val="000000"/>
          <w:spacing w:val="0"/>
          <w:w w:val="100"/>
          <w:position w:val="0"/>
        </w:rPr>
        <w:t xml:space="preserve">[2020] </w:t>
      </w:r>
      <w:r>
        <w:rPr>
          <w:color w:val="000000"/>
          <w:spacing w:val="0"/>
          <w:w w:val="100"/>
          <w:position w:val="0"/>
        </w:rPr>
        <w:t>10号）对于满足一定条件的，由新冠肺炎疫情直接引发的租 金减让提供了简化方法。如果企业选择采用简化方法，则不需要评估是否发生租赁变更，也不需要重新评估租赁分类。结合 财会[2021]9号的规定，该简化方法的租金减让期间为针对2022年6月30日前的应付租赁付款额。</w:t>
      </w:r>
    </w:p>
    <w:p>
      <w:pPr>
        <w:pStyle w:val="Style18"/>
        <w:keepNext w:val="0"/>
        <w:keepLines w:val="0"/>
        <w:widowControl w:val="0"/>
        <w:shd w:val="clear" w:color="auto" w:fill="auto"/>
        <w:bidi w:val="0"/>
        <w:spacing w:before="0" w:after="360" w:line="316" w:lineRule="exact"/>
        <w:ind w:left="0" w:right="0"/>
        <w:jc w:val="both"/>
      </w:pPr>
      <w:r>
        <w:rPr>
          <w:color w:val="000000"/>
          <w:spacing w:val="0"/>
          <w:w w:val="100"/>
          <w:position w:val="0"/>
        </w:rPr>
        <w:t>采用上述规定未对本公司的财务状况和经营成果产生重大影响。</w:t>
      </w:r>
    </w:p>
    <w:p>
      <w:pPr>
        <w:pStyle w:val="Style18"/>
        <w:keepNext w:val="0"/>
        <w:keepLines w:val="0"/>
        <w:widowControl w:val="0"/>
        <w:numPr>
          <w:ilvl w:val="0"/>
          <w:numId w:val="71"/>
        </w:numPr>
        <w:shd w:val="clear" w:color="auto" w:fill="auto"/>
        <w:tabs>
          <w:tab w:pos="758" w:val="left"/>
        </w:tabs>
        <w:bidi w:val="0"/>
        <w:spacing w:before="0" w:after="0" w:line="316" w:lineRule="exact"/>
        <w:ind w:left="0" w:right="0"/>
        <w:jc w:val="both"/>
      </w:pPr>
      <w:bookmarkStart w:id="1146" w:name="bookmark1146"/>
      <w:bookmarkEnd w:id="1146"/>
      <w:r>
        <w:rPr>
          <w:b/>
          <w:bCs/>
          <w:color w:val="000000"/>
          <w:spacing w:val="0"/>
          <w:w w:val="100"/>
          <w:position w:val="0"/>
        </w:rPr>
        <w:t>执行《企业会计准则解释第14号》</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解释第14号适用于同时符合该解释所述</w:t>
      </w:r>
      <w:r>
        <w:rPr>
          <w:rFonts w:ascii="Times New Roman" w:eastAsia="Times New Roman" w:hAnsi="Times New Roman" w:cs="Times New Roman"/>
          <w:color w:val="000000"/>
          <w:spacing w:val="0"/>
          <w:w w:val="100"/>
          <w:position w:val="0"/>
        </w:rPr>
        <w:t>“</w:t>
      </w:r>
      <w:r>
        <w:rPr>
          <w:color w:val="000000"/>
          <w:spacing w:val="0"/>
          <w:w w:val="100"/>
          <w:position w:val="0"/>
        </w:rPr>
        <w:t>双特征</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双控制</w:t>
      </w:r>
      <w:r>
        <w:rPr>
          <w:rFonts w:ascii="Times New Roman" w:eastAsia="Times New Roman" w:hAnsi="Times New Roman" w:cs="Times New Roman"/>
          <w:color w:val="000000"/>
          <w:spacing w:val="0"/>
          <w:w w:val="100"/>
          <w:position w:val="0"/>
        </w:rPr>
        <w:t>”</w:t>
      </w:r>
      <w:r>
        <w:rPr>
          <w:color w:val="000000"/>
          <w:spacing w:val="0"/>
          <w:w w:val="100"/>
          <w:position w:val="0"/>
        </w:rPr>
        <w:t>的</w:t>
      </w:r>
      <w:r>
        <w:rPr>
          <w:color w:val="000000"/>
          <w:spacing w:val="0"/>
          <w:w w:val="100"/>
          <w:position w:val="0"/>
        </w:rPr>
        <w:t>PPP</w:t>
      </w:r>
      <w:r>
        <w:rPr>
          <w:color w:val="000000"/>
          <w:spacing w:val="0"/>
          <w:w w:val="100"/>
          <w:position w:val="0"/>
        </w:rPr>
        <w:t>项目合同，对于2020年12月31日前开始实施且至施行 日尚未完成的有关</w:t>
      </w:r>
      <w:r>
        <w:rPr>
          <w:color w:val="000000"/>
          <w:spacing w:val="0"/>
          <w:w w:val="100"/>
          <w:position w:val="0"/>
        </w:rPr>
        <w:t>PPP</w:t>
      </w:r>
      <w:r>
        <w:rPr>
          <w:color w:val="000000"/>
          <w:spacing w:val="0"/>
          <w:w w:val="100"/>
          <w:position w:val="0"/>
        </w:rPr>
        <w:t>项目合同应进行追溯调整，追溯调整不切实可行的，从可追溯调整的最早期间期初开始应用，累计影 响数调整施行日当年年年初留存收益以及财务报表其他相关项目，对可比期间信息不予调整。执行该规定未对本公司财务状 况和经营成果产生重大影响。</w:t>
      </w:r>
    </w:p>
    <w:p>
      <w:pPr>
        <w:pStyle w:val="Style18"/>
        <w:keepNext w:val="0"/>
        <w:keepLines w:val="0"/>
        <w:widowControl w:val="0"/>
        <w:shd w:val="clear" w:color="auto" w:fill="auto"/>
        <w:bidi w:val="0"/>
        <w:spacing w:before="0" w:after="360" w:line="316" w:lineRule="exact"/>
        <w:ind w:left="0" w:right="0"/>
        <w:jc w:val="both"/>
      </w:pPr>
      <w:r>
        <w:rPr>
          <w:color w:val="000000"/>
          <w:spacing w:val="0"/>
          <w:w w:val="100"/>
          <w:position w:val="0"/>
        </w:rPr>
        <w:t>解释第14号对基准利率改革导致金融工具合同和租赁合同相关现金流量的确定基础发生变更的情形作出了简化会计处 理规定。根据该解释的规定，2020年12月31日前发生的基准利率改革相关业务，应当进行追溯调整，追溯调整不切实可行的 除外，无需调整前期比较财务报表数据。在该解释施行日，金融资产、金融负债等原账面价值与新账面价值之间的差额，计 入该解释施行日所在年度报告期间的期初留存收益或其他综合收益。执行该规定未对本公司财务状况和经营成果产生重大影 响。</w:t>
      </w:r>
    </w:p>
    <w:p>
      <w:pPr>
        <w:pStyle w:val="Style27"/>
        <w:keepNext/>
        <w:keepLines/>
        <w:widowControl w:val="0"/>
        <w:shd w:val="clear" w:color="auto" w:fill="auto"/>
        <w:tabs>
          <w:tab w:pos="504" w:val="left"/>
        </w:tabs>
        <w:bidi w:val="0"/>
        <w:spacing w:before="0" w:after="28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47"/>
      <w:bookmarkEnd w:id="1148"/>
      <w:bookmarkEnd w:id="1150"/>
    </w:p>
    <w:p>
      <w:pPr>
        <w:pStyle w:val="Style18"/>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口适用”不适用</w:t>
      </w:r>
    </w:p>
    <w:p>
      <w:pPr>
        <w:pStyle w:val="Style27"/>
        <w:keepNext/>
        <w:keepLines/>
        <w:widowControl w:val="0"/>
        <w:shd w:val="clear" w:color="auto" w:fill="auto"/>
        <w:tabs>
          <w:tab w:pos="504" w:val="left"/>
        </w:tabs>
        <w:bidi w:val="0"/>
        <w:spacing w:before="0" w:after="28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51"/>
      <w:bookmarkEnd w:id="1152"/>
      <w:bookmarkEnd w:id="1154"/>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”是□否</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合并资产负债表</w:t>
      </w:r>
    </w:p>
    <w:p>
      <w:pPr>
        <w:pStyle w:val="Style18"/>
        <w:keepNext w:val="0"/>
        <w:keepLines w:val="0"/>
        <w:widowControl w:val="0"/>
        <w:shd w:val="clear" w:color="auto" w:fill="auto"/>
        <w:bidi w:val="0"/>
        <w:spacing w:before="0" w:after="80" w:line="316" w:lineRule="exact"/>
        <w:ind w:left="0" w:right="0" w:firstLine="0"/>
        <w:jc w:val="right"/>
      </w:pPr>
      <w:r>
        <w:rPr>
          <w:color w:val="000000"/>
          <w:spacing w:val="0"/>
          <w:w w:val="100"/>
          <w:position w:val="0"/>
        </w:rPr>
        <w:t>单位：元</w:t>
      </w:r>
    </w:p>
    <w:tbl>
      <w:tblPr>
        <w:tblOverlap w:val="never"/>
        <w:jc w:val="center"/>
        <w:tblLayout w:type="fixed"/>
      </w:tblPr>
      <w:tblGrid>
        <w:gridCol w:w="2208"/>
        <w:gridCol w:w="2453"/>
        <w:gridCol w:w="2453"/>
        <w:gridCol w:w="2467"/>
      </w:tblGrid>
      <w:tr>
        <w:trPr>
          <w:trHeight w:val="413"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调整数</w:t>
            </w:r>
          </w:p>
        </w:tc>
      </w:tr>
    </w:tbl>
    <w:p>
      <w:pPr>
        <w:widowControl w:val="0"/>
        <w:spacing w:line="1" w:lineRule="exact"/>
      </w:pPr>
      <w:r>
        <w:br w:type="page"/>
      </w:r>
    </w:p>
    <w:tbl>
      <w:tblPr>
        <w:tblOverlap w:val="never"/>
        <w:jc w:val="center"/>
        <w:tblLayout w:type="fixed"/>
      </w:tblPr>
      <w:tblGrid>
        <w:gridCol w:w="2208"/>
        <w:gridCol w:w="2453"/>
        <w:gridCol w:w="2453"/>
        <w:gridCol w:w="246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466,594,220.10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466,594,220.10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863,892,886.64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863,892,886.64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149,066,277.62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149,066,277.62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47,636.80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7,388,008.89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7,388,008.89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6,989,764.44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6,989,764.44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244,435,874.23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244,435,874.23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13,964,446.39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13,964,446.39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1,752,379,115.11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1,752,379,115.11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216,686,984.39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216,686,984.39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6,030,000.00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6,030,000.00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313,581,913.10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313,581,913.10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3"/>
        <w:gridCol w:w="2467"/>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3,837,623.75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3,837,623.75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5,437,061.05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5,437,061.05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47,767,184.37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47,767,184.37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4,425,017.47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4,425,017.47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10,792,283.86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10,650,387.84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-141,896.02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5,837,778.65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5,837,778.65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1,169,561.90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1,169,561.90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610,128,347.49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615,423,512.52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5,295,165.03</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2,362,507,462.60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2,367,802,627.63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5,295,165.03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190,277,997.66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190,277,997.66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75,481,072.03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75,481,072.03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3,709,637.83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3,709,637.83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8,161,297.22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8,161,297.22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15,107,199.16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15,107,199.16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3"/>
        <w:gridCol w:w="2467"/>
      </w:tblGrid>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20,419,681.25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21,809,274.70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1,389,593.45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8,461,491.75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8,461,491.75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322,768,376.90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324,157,970.35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1,389,593.45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40,660,000.00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40,660,000.00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3,905,571.58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3,905,571.58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6,055,828.29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6,055,828.29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2,938,563.62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2,938,563.62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49,654,391.91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53,559,963.49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3,905,571.58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372,422,768.81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377,717,933.84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5,295,165.03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696,921,354.00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696,921,354.00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833,192.07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833,192.07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756,218.76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-1,770,618.42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-2,526,837.18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207,011,309.90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207,011,309.90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1,023,779,759.10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1,026,306,596.28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2,526,837.18</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1,929,301,833.83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1,929,301,833.83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60,782,859.96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60,782,859.96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1,990,084,693.79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1,990,084,693.79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3"/>
        <w:gridCol w:w="2467"/>
      </w:tblGrid>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2,362,507,462.60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2,367,802,627.63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5,295,165.03</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3"/>
        <w:gridCol w:w="2467"/>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203,505,999.51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203,505,999.51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491,689,713.10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491,689,713.10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148,198,198.96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148,198,198.96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47,636.80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47,636.80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3,725,255.84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3,725,255.84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95,178,248.76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95,178,248.76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235,444,348.17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235,444,348.17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1,177,789,401.14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1,177,789,401.14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866,151,080.20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866,151,080.20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156,406,421.84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156,406,421.84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3,837,623.75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3,837,623.75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3"/>
        <w:gridCol w:w="2467"/>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1,247,882.25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1,247,882.25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43,665,484.37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43,665,484.37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9,067,533.73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8,925,637.71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-141,896.02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4,599,651.91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4,599,651.91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1,169,561.90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1,169,561.90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1,090,897,357.70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1,092,003,343.93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1,105,986.23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2,268,686,758.84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2,269,792,745.07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1,105,986.23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175,891,233.35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175,891,233.35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63,154,008.35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63,154,008.35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46,181.34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46,181.34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7,660,004.18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7,660,004.18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78,058,431.39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78,058,431.39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164,183.34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164,183.34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8,107,475.60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8,107,475.60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334,067,334.21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334,231,517.55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164,183.34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941,802.89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941,802.89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3"/>
        <w:gridCol w:w="246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6,055,828.29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6,055,828.29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2,116,414.65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2,116,414.65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8,172,242.94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9,114,045.83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941,802.89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342,239,577.15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343,345,563.38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1,105,986.23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696,921,354.00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696,921,354.00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15,636,112.82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15,636,112.82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2,526,837.18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-2,526,837.18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207,011,309.90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207,011,309.90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1,004,351,567.79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1,006,878,404.97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2,526,837.18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1,926,447,181.69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1,926,447,181.69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2,268,686,758.84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2,269,792,745.07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1,105,986.23</w:t>
            </w:r>
          </w:p>
        </w:tc>
      </w:tr>
    </w:tbl>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调整情况说明</w:t>
      </w:r>
    </w:p>
    <w:p>
      <w:pPr>
        <w:pStyle w:val="Style27"/>
        <w:keepNext/>
        <w:keepLines/>
        <w:widowControl w:val="0"/>
        <w:shd w:val="clear" w:color="auto" w:fill="auto"/>
        <w:tabs>
          <w:tab w:pos="498" w:val="left"/>
        </w:tabs>
        <w:bidi w:val="0"/>
        <w:spacing w:before="0" w:after="28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shd w:val="clear" w:color="auto" w:fill="FFFFFF"/>
        </w:rPr>
        <w:t>（</w:t>
      </w:r>
      <w:bookmarkEnd w:id="1157"/>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55"/>
      <w:bookmarkEnd w:id="1156"/>
      <w:bookmarkEnd w:id="1158"/>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口适用”不适用</w:t>
      </w:r>
    </w:p>
    <w:p>
      <w:pPr>
        <w:pStyle w:val="Style27"/>
        <w:keepNext/>
        <w:keepLines/>
        <w:widowControl w:val="0"/>
        <w:shd w:val="clear" w:color="auto" w:fill="auto"/>
        <w:bidi w:val="0"/>
        <w:spacing w:before="0" w:after="28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4</w:t>
      </w:r>
      <w:bookmarkEnd w:id="1161"/>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59"/>
      <w:bookmarkEnd w:id="1160"/>
      <w:bookmarkEnd w:id="1162"/>
    </w:p>
    <w:p>
      <w:pPr>
        <w:pStyle w:val="Style18"/>
        <w:keepNext w:val="0"/>
        <w:keepLines w:val="0"/>
        <w:widowControl w:val="0"/>
        <w:shd w:val="clear" w:color="auto" w:fill="auto"/>
        <w:bidi w:val="0"/>
        <w:spacing w:before="0" w:after="0" w:line="314" w:lineRule="exact"/>
        <w:ind w:left="0" w:right="0"/>
        <w:jc w:val="both"/>
      </w:pPr>
      <w:r>
        <w:rPr>
          <w:b/>
          <w:bCs/>
          <w:color w:val="000000"/>
          <w:spacing w:val="0"/>
          <w:w w:val="100"/>
          <w:position w:val="0"/>
        </w:rPr>
        <w:t>重大会计判断和估计</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公司在运用会计政策过程中，由于经营活动内在的不确定性，公司需要对无法准确计量的报表项目的账面价值进行判断、 估计和假设。这些判断、估计和假设是基于公司管理层过去的历史经验，并在考虑其他相关因素的基础上做出的。这些判断、 估计和假设会影响收入、费用、资产和负债的报告金额以及资产负债表日或有负债的披露。然而，这些估计的不确定性所导 致的实际结果可能与公司管理层当前的估计存在差异，进而造成对未来受影响的资产或负债的账面金额进行重大调整。</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公司对前述判断、估计和假设在持续经营的基础上进行定期复核，会计估计的变更仅影响变更当期的，其影响数在变更 当期予以确认；既影响变更当期又影响未来期间的，其影响数在变更当期和未来期间予以确认。</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于资产负债表日，公司需对财务报表项目金额进行判断、估计和假设的重要领域如下：</w:t>
      </w:r>
    </w:p>
    <w:p>
      <w:pPr>
        <w:pStyle w:val="Style18"/>
        <w:keepNext w:val="0"/>
        <w:keepLines w:val="0"/>
        <w:widowControl w:val="0"/>
        <w:shd w:val="clear" w:color="auto" w:fill="auto"/>
        <w:bidi w:val="0"/>
        <w:spacing w:before="0" w:after="0" w:line="314" w:lineRule="exact"/>
        <w:ind w:left="0" w:right="0"/>
        <w:jc w:val="both"/>
      </w:pPr>
      <w:bookmarkStart w:id="1163" w:name="bookmark1163"/>
      <w:r>
        <w:rPr>
          <w:color w:val="000000"/>
          <w:spacing w:val="0"/>
          <w:w w:val="100"/>
          <w:position w:val="0"/>
        </w:rPr>
        <w:t>（</w:t>
      </w:r>
      <w:bookmarkEnd w:id="1163"/>
      <w:r>
        <w:rPr>
          <w:color w:val="000000"/>
          <w:spacing w:val="0"/>
          <w:w w:val="100"/>
          <w:position w:val="0"/>
        </w:rPr>
        <w:t>1）收入确认</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如本附注五、</w:t>
      </w:r>
      <w:r>
        <w:rPr>
          <w:rFonts w:ascii="Times New Roman" w:eastAsia="Times New Roman" w:hAnsi="Times New Roman" w:cs="Times New Roman"/>
          <w:color w:val="000000"/>
          <w:spacing w:val="0"/>
          <w:w w:val="100"/>
          <w:position w:val="0"/>
        </w:rPr>
        <w:t>39</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 xml:space="preserve">所述，本公司在收入确认方面涉及到如下重大的会计判断和估计：识别客户合同；估计因向客 </w:t>
      </w:r>
      <w:r>
        <w:rPr>
          <w:color w:val="000000"/>
          <w:spacing w:val="0"/>
          <w:w w:val="100"/>
          <w:position w:val="0"/>
        </w:rPr>
        <w:t>户转让商品而有权取得的对价的可收回性；识别合同中的履约义务；估计合同中存在的可变对价以及在相关不确定性消除时 累计已确认收入极可能不会发生重大转回的金额；合同中是否存在重大融资成分；估计合同中单项履约义务的单独售价；确 定履约义务是在某一时段内履行还是在某一时点履行；履约进度的确定，等等。</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本公司主要依靠过去的经验和工作作出判断，这些重大判断和估计变更都可能对变更当期或以后期间的营业收入、营业 成本，以及期间损益产生影响，且可能构成重大影响。</w:t>
      </w:r>
    </w:p>
    <w:p>
      <w:pPr>
        <w:pStyle w:val="Style18"/>
        <w:keepNext w:val="0"/>
        <w:keepLines w:val="0"/>
        <w:widowControl w:val="0"/>
        <w:shd w:val="clear" w:color="auto" w:fill="auto"/>
        <w:tabs>
          <w:tab w:pos="782" w:val="left"/>
        </w:tabs>
        <w:bidi w:val="0"/>
        <w:spacing w:before="0" w:after="0" w:line="312" w:lineRule="exact"/>
        <w:ind w:left="0" w:right="0"/>
        <w:jc w:val="both"/>
      </w:pPr>
      <w:bookmarkStart w:id="1164" w:name="bookmark1164"/>
      <w:r>
        <w:rPr>
          <w:color w:val="000000"/>
          <w:spacing w:val="0"/>
          <w:w w:val="100"/>
          <w:position w:val="0"/>
        </w:rPr>
        <w:t>（</w:t>
      </w:r>
      <w:bookmarkEnd w:id="1164"/>
      <w:r>
        <w:rPr>
          <w:color w:val="000000"/>
          <w:spacing w:val="0"/>
          <w:w w:val="100"/>
          <w:position w:val="0"/>
        </w:rPr>
        <w:t>2）</w:t>
        <w:tab/>
        <w:t>金融工具减值</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公司采用预期信用损失模型对金融工具的减值进行评估，应用预期信用损失模型需要做出重大判断和估计，需考虑所有 合理且有依据的信息，包括前瞻性信息。在做出该等判断和估计时，公司根据历史还款数据结合经济政策、宏观经济指标、 行业风险等因素推断债务人信用风险的预期变动。</w:t>
      </w:r>
    </w:p>
    <w:p>
      <w:pPr>
        <w:pStyle w:val="Style18"/>
        <w:keepNext w:val="0"/>
        <w:keepLines w:val="0"/>
        <w:widowControl w:val="0"/>
        <w:shd w:val="clear" w:color="auto" w:fill="auto"/>
        <w:tabs>
          <w:tab w:pos="782" w:val="left"/>
        </w:tabs>
        <w:bidi w:val="0"/>
        <w:spacing w:before="0" w:after="0" w:line="312" w:lineRule="exact"/>
        <w:ind w:left="0" w:right="0"/>
        <w:jc w:val="both"/>
      </w:pPr>
      <w:bookmarkStart w:id="1165" w:name="bookmark1165"/>
      <w:r>
        <w:rPr>
          <w:color w:val="000000"/>
          <w:spacing w:val="0"/>
          <w:w w:val="100"/>
          <w:position w:val="0"/>
        </w:rPr>
        <w:t>（</w:t>
      </w:r>
      <w:bookmarkEnd w:id="1165"/>
      <w:r>
        <w:rPr>
          <w:color w:val="000000"/>
          <w:spacing w:val="0"/>
          <w:w w:val="100"/>
          <w:position w:val="0"/>
        </w:rPr>
        <w:t>3）</w:t>
        <w:tab/>
        <w:t>存货跌价准备</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公司根据存货会计政策，按照成本与可变现净值孰低计量，对成本高于可变现净值及陈旧和滞销的存货，计提存货跌价 准备。存货减值至可变现净值是基于评估存货的可售性及其可变现净值。鉴定存货减值要求管理层在取得确凿证据，并且考 虑持有存货的目的、资产负债表日后事项的影响等因素的基础上作出判断和估计。实际的结果与原先估计的差异将在估计被 改变的期间影响存货的账面价值及存货跌价准备的计提或转回。</w:t>
      </w:r>
    </w:p>
    <w:p>
      <w:pPr>
        <w:pStyle w:val="Style18"/>
        <w:keepNext w:val="0"/>
        <w:keepLines w:val="0"/>
        <w:widowControl w:val="0"/>
        <w:shd w:val="clear" w:color="auto" w:fill="auto"/>
        <w:tabs>
          <w:tab w:pos="782" w:val="left"/>
        </w:tabs>
        <w:bidi w:val="0"/>
        <w:spacing w:before="0" w:after="0" w:line="312" w:lineRule="exact"/>
        <w:ind w:left="0" w:right="0"/>
        <w:jc w:val="both"/>
      </w:pPr>
      <w:bookmarkStart w:id="1166" w:name="bookmark1166"/>
      <w:r>
        <w:rPr>
          <w:color w:val="000000"/>
          <w:spacing w:val="0"/>
          <w:w w:val="100"/>
          <w:position w:val="0"/>
        </w:rPr>
        <w:t>（</w:t>
      </w:r>
      <w:bookmarkEnd w:id="1166"/>
      <w:r>
        <w:rPr>
          <w:color w:val="000000"/>
          <w:spacing w:val="0"/>
          <w:w w:val="100"/>
          <w:position w:val="0"/>
        </w:rPr>
        <w:t>4）</w:t>
        <w:tab/>
        <w:t>租赁的归类</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以下与租赁相关的重大会计判断和估计适用于2021年度。</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租赁的识别</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本公司在识别一项合同是否为租赁或包含租赁时，需要评估是否存在一项已识别资产，且客户控制了该资产在一定期间 内的使用权。在评估时，需要考虑资产的性质、实质性替换权、以及客户是否有权获得因在该期间使用该资产所产生的几乎 全部经济利益，并能够主导该资产的使用。</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租赁的分类</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本公司作为出租人时，将租赁分类为经营租赁和融资租赁。在进行分类时，管理层需要对是否已将与租出资产所有权有 关的全部风险和报酬实质上转移给承租人作出分析和判断。</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租赁负债</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本公司作为承租人时，租赁负债按照租赁期开始日尚未支付的租赁付款额的现值进行初始计量。在计量租赁付款额的现 值时，本公司对使用的折现率以及存在续租选择权或终止选择权的租赁合同的租赁期进行估计。在评估租赁期时，本公司 综合考虑与本公司行使选择权带来经济利益的所有相关事实和情况，包括自租赁期开始日至选择权行使日之间的事实和情 况的预期变化等。不同的判断及估计可能会影响租赁负债和使用权资产的确认，并将影响后续期间的损益。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以下与租赁相关的重大会计判断和估计适用于2020年度。</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本公司根据《企业会计准则第21号一租赁》的规定，将租赁归类为经营租赁和融资租赁，在进行归类时，管理层需要对 是否已将与租出资产所有权有关的全部风险和报酬实质上转移给承租人，或者本公司是否已经实质上承担与租入资产所有权 有关的全部风险和报酬，作出分析和判断。</w:t>
      </w:r>
    </w:p>
    <w:p>
      <w:pPr>
        <w:pStyle w:val="Style18"/>
        <w:keepNext w:val="0"/>
        <w:keepLines w:val="0"/>
        <w:widowControl w:val="0"/>
        <w:shd w:val="clear" w:color="auto" w:fill="auto"/>
        <w:tabs>
          <w:tab w:pos="782" w:val="left"/>
        </w:tabs>
        <w:bidi w:val="0"/>
        <w:spacing w:before="0" w:after="0" w:line="319" w:lineRule="exact"/>
        <w:ind w:left="0" w:right="0"/>
        <w:jc w:val="both"/>
      </w:pPr>
      <w:bookmarkStart w:id="1167" w:name="bookmark1167"/>
      <w:r>
        <w:rPr>
          <w:color w:val="000000"/>
          <w:spacing w:val="0"/>
          <w:w w:val="100"/>
          <w:position w:val="0"/>
        </w:rPr>
        <w:t>（</w:t>
      </w:r>
      <w:bookmarkEnd w:id="1167"/>
      <w:r>
        <w:rPr>
          <w:color w:val="000000"/>
          <w:spacing w:val="0"/>
          <w:w w:val="100"/>
          <w:position w:val="0"/>
        </w:rPr>
        <w:t>5）</w:t>
        <w:tab/>
        <w:t>长期资产减值准备</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 xml:space="preserve">在预计未来现金流量现值时，需要对该资产（或资产组）的产量、售价、相关经营成本以及计算现值时使用的折现率等 作出重大判断。公司在估计可收回金额时会采用所有能够获得的相关资料，包括根据合理和可支持的假设所作出有关产量、 </w:t>
      </w:r>
      <w:r>
        <w:rPr>
          <w:color w:val="000000"/>
          <w:spacing w:val="0"/>
          <w:w w:val="100"/>
          <w:position w:val="0"/>
        </w:rPr>
        <w:t>售价和相关经营成本的预测。</w:t>
      </w:r>
    </w:p>
    <w:p>
      <w:pPr>
        <w:pStyle w:val="Style18"/>
        <w:keepNext w:val="0"/>
        <w:keepLines w:val="0"/>
        <w:widowControl w:val="0"/>
        <w:shd w:val="clear" w:color="auto" w:fill="auto"/>
        <w:tabs>
          <w:tab w:pos="820" w:val="left"/>
        </w:tabs>
        <w:bidi w:val="0"/>
        <w:spacing w:before="0" w:after="40" w:line="312" w:lineRule="exact"/>
        <w:ind w:left="0" w:right="0"/>
        <w:jc w:val="both"/>
      </w:pPr>
      <w:bookmarkStart w:id="1168" w:name="bookmark1168"/>
      <w:r>
        <w:rPr>
          <w:color w:val="000000"/>
          <w:spacing w:val="0"/>
          <w:w w:val="100"/>
          <w:position w:val="0"/>
        </w:rPr>
        <w:t>（</w:t>
      </w:r>
      <w:bookmarkEnd w:id="1168"/>
      <w:r>
        <w:rPr>
          <w:color w:val="000000"/>
          <w:spacing w:val="0"/>
          <w:w w:val="100"/>
          <w:position w:val="0"/>
        </w:rPr>
        <w:t>6）</w:t>
        <w:tab/>
        <w:t>商誉减值准备</w:t>
      </w:r>
    </w:p>
    <w:p>
      <w:pPr>
        <w:pStyle w:val="Style18"/>
        <w:keepNext w:val="0"/>
        <w:keepLines w:val="0"/>
        <w:widowControl w:val="0"/>
        <w:shd w:val="clear" w:color="auto" w:fill="auto"/>
        <w:bidi w:val="0"/>
        <w:spacing w:before="0" w:after="40" w:line="307" w:lineRule="exact"/>
        <w:ind w:left="0" w:right="0"/>
        <w:jc w:val="both"/>
      </w:pPr>
      <w:r>
        <w:rPr>
          <w:color w:val="000000"/>
          <w:spacing w:val="0"/>
          <w:w w:val="100"/>
          <w:position w:val="0"/>
        </w:rPr>
        <w:t>在对商誉进行减值测试时，需对包含商誉的相关资产组或资产组组合的可收回金额进行估计，该金额根据其公允价值减 去处置费用后的净额与预计未来现金净流量的现值两者孰高确定。在计算未来现金流量现值时，需要对包含商誉的资产组或 资产组组合的未来现金流量进行预计，同时确定一个适当地反映当前市场货币时间价值和资产特定风险的税前折现率。</w:t>
      </w:r>
    </w:p>
    <w:p>
      <w:pPr>
        <w:pStyle w:val="Style18"/>
        <w:keepNext w:val="0"/>
        <w:keepLines w:val="0"/>
        <w:widowControl w:val="0"/>
        <w:shd w:val="clear" w:color="auto" w:fill="auto"/>
        <w:tabs>
          <w:tab w:pos="820" w:val="left"/>
        </w:tabs>
        <w:bidi w:val="0"/>
        <w:spacing w:before="0" w:after="40" w:line="312" w:lineRule="exact"/>
        <w:ind w:left="0" w:right="0"/>
        <w:jc w:val="both"/>
      </w:pPr>
      <w:bookmarkStart w:id="1169" w:name="bookmark1169"/>
      <w:r>
        <w:rPr>
          <w:color w:val="000000"/>
          <w:spacing w:val="0"/>
          <w:w w:val="100"/>
          <w:position w:val="0"/>
        </w:rPr>
        <w:t>（</w:t>
      </w:r>
      <w:bookmarkEnd w:id="1169"/>
      <w:r>
        <w:rPr>
          <w:color w:val="000000"/>
          <w:spacing w:val="0"/>
          <w:w w:val="100"/>
          <w:position w:val="0"/>
        </w:rPr>
        <w:t>7）</w:t>
        <w:tab/>
        <w:t>折旧和摊销</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公司对投资性房地产、固定资产和无形资产在考虑其残值后，在使用寿命内按直线法计提折旧和摊销。公司定期复核使 用寿命，以决定将计入每个报告期的折旧和摊销费用数额。使用寿命是公司根据对同类资产的以往经验并结合预期的技术更 新而确定的。如果以前的估计发生重大变化，则会在未来期间对折旧和摊销费用进行调整。</w:t>
      </w:r>
    </w:p>
    <w:p>
      <w:pPr>
        <w:pStyle w:val="Style18"/>
        <w:keepNext w:val="0"/>
        <w:keepLines w:val="0"/>
        <w:widowControl w:val="0"/>
        <w:shd w:val="clear" w:color="auto" w:fill="auto"/>
        <w:tabs>
          <w:tab w:pos="820" w:val="left"/>
        </w:tabs>
        <w:bidi w:val="0"/>
        <w:spacing w:before="0" w:after="40" w:line="312" w:lineRule="exact"/>
        <w:ind w:left="0" w:right="0"/>
        <w:jc w:val="both"/>
      </w:pPr>
      <w:bookmarkStart w:id="1170" w:name="bookmark1170"/>
      <w:r>
        <w:rPr>
          <w:color w:val="000000"/>
          <w:spacing w:val="0"/>
          <w:w w:val="100"/>
          <w:position w:val="0"/>
        </w:rPr>
        <w:t>（</w:t>
      </w:r>
      <w:bookmarkEnd w:id="1170"/>
      <w:r>
        <w:rPr>
          <w:color w:val="000000"/>
          <w:spacing w:val="0"/>
          <w:w w:val="100"/>
          <w:position w:val="0"/>
        </w:rPr>
        <w:t>8）</w:t>
        <w:tab/>
        <w:t>递延所得税资产</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在很有可能有足够的应纳税利润来抵扣亏损的限度内，公司就所有未利用的税务亏损确认递延所得税资产。这需要公司 管理层运用大量的判断来估计未来应纳税利润发生的时间和金额，结合纳税筹划策略，以决定应确认的递延所得税资产的金 额。</w:t>
      </w:r>
    </w:p>
    <w:p>
      <w:pPr>
        <w:pStyle w:val="Style18"/>
        <w:keepNext w:val="0"/>
        <w:keepLines w:val="0"/>
        <w:widowControl w:val="0"/>
        <w:shd w:val="clear" w:color="auto" w:fill="auto"/>
        <w:tabs>
          <w:tab w:pos="820" w:val="left"/>
        </w:tabs>
        <w:bidi w:val="0"/>
        <w:spacing w:before="0" w:after="40" w:line="312" w:lineRule="exact"/>
        <w:ind w:left="0" w:right="0"/>
        <w:jc w:val="both"/>
      </w:pPr>
      <w:bookmarkStart w:id="1171" w:name="bookmark1171"/>
      <w:r>
        <w:rPr>
          <w:color w:val="000000"/>
          <w:spacing w:val="0"/>
          <w:w w:val="100"/>
          <w:position w:val="0"/>
        </w:rPr>
        <w:t>（</w:t>
      </w:r>
      <w:bookmarkEnd w:id="1171"/>
      <w:r>
        <w:rPr>
          <w:color w:val="000000"/>
          <w:spacing w:val="0"/>
          <w:w w:val="100"/>
          <w:position w:val="0"/>
        </w:rPr>
        <w:t>9）</w:t>
        <w:tab/>
        <w:t>所得税</w:t>
      </w:r>
    </w:p>
    <w:p>
      <w:pPr>
        <w:pStyle w:val="Style18"/>
        <w:keepNext w:val="0"/>
        <w:keepLines w:val="0"/>
        <w:widowControl w:val="0"/>
        <w:shd w:val="clear" w:color="auto" w:fill="auto"/>
        <w:bidi w:val="0"/>
        <w:spacing w:before="0" w:after="720" w:line="314" w:lineRule="exact"/>
        <w:ind w:left="0" w:right="0"/>
        <w:jc w:val="both"/>
      </w:pPr>
      <w:r>
        <w:rPr>
          <w:color w:val="000000"/>
          <w:spacing w:val="0"/>
          <w:w w:val="100"/>
          <w:position w:val="0"/>
        </w:rPr>
        <w:t>公司在正常的经营活动中，有部分交易其最终的税务处理和计算存在一定的不确定性。部分项目是否能够在税前列支需 要税收主管机关的审批。如果这些税务事项的最终认定结果同最初估计的金额存在差异，则该差异将对其最终认定期间的当 期所得税和递延所得税产生影响。</w:t>
      </w:r>
    </w:p>
    <w:p>
      <w:pPr>
        <w:pStyle w:val="Style23"/>
        <w:keepNext/>
        <w:keepLines/>
        <w:widowControl w:val="0"/>
        <w:shd w:val="clear" w:color="auto" w:fill="auto"/>
        <w:bidi w:val="0"/>
        <w:spacing w:before="0" w:after="32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sz w:val="24"/>
          <w:szCs w:val="24"/>
        </w:rPr>
        <w:t>六</w:t>
      </w:r>
      <w:bookmarkEnd w:id="1174"/>
      <w:r>
        <w:rPr>
          <w:color w:val="000000"/>
          <w:spacing w:val="0"/>
          <w:w w:val="100"/>
          <w:position w:val="0"/>
          <w:sz w:val="24"/>
          <w:szCs w:val="24"/>
        </w:rPr>
        <w:t>、税项</w:t>
      </w:r>
      <w:bookmarkEnd w:id="1172"/>
      <w:bookmarkEnd w:id="1173"/>
      <w:bookmarkEnd w:id="1175"/>
    </w:p>
    <w:p>
      <w:pPr>
        <w:pStyle w:val="Style27"/>
        <w:keepNext/>
        <w:keepLines/>
        <w:widowControl w:val="0"/>
        <w:shd w:val="clear" w:color="auto" w:fill="auto"/>
        <w:bidi w:val="0"/>
        <w:spacing w:before="0" w:after="32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color w:val="000000"/>
          <w:spacing w:val="0"/>
          <w:w w:val="100"/>
          <w:position w:val="0"/>
        </w:rPr>
        <w:t>、主要税种及税率</w:t>
      </w:r>
      <w:bookmarkEnd w:id="1176"/>
      <w:bookmarkEnd w:id="1177"/>
      <w:bookmarkEnd w:id="1179"/>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按销项税额扣除可抵扣进项税额后的 差额部分计缴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w:t>
            </w: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按应交增值税计缴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应纳税所得额按税率计算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详见下表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按应交增值税计缴。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按应交增值税计缴。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恒宝股份有限公司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江苏恒宝智能系统技术有限公司（简称“恒宝智能”）</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北京东方英卡数字信息技术有限公司（简称“东方英卡”）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恒宝国际有限责任公司（简称“恒宝国际”）</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17%</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恒宝科技（印度）私人有限公司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25.17%</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ModularsoftSdn.Bhd </w:t>
            </w:r>
            <w:r>
              <w:rPr>
                <w:rFonts w:ascii="SimSun" w:eastAsia="SimSun" w:hAnsi="SimSun" w:cs="SimSun"/>
                <w:color w:val="000000"/>
                <w:spacing w:val="0"/>
                <w:w w:val="100"/>
                <w:position w:val="0"/>
              </w:rPr>
              <w:t>（简称“</w:t>
            </w:r>
            <w:r>
              <w:rPr>
                <w:color w:val="000000"/>
                <w:spacing w:val="0"/>
                <w:w w:val="100"/>
                <w:position w:val="0"/>
              </w:rPr>
              <w:t>MOD</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r>
      <w:tr>
        <w:trPr>
          <w:trHeight w:val="41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Asia Smart Cards Centre（M）Sdn.Bhd.</w:t>
            </w:r>
            <w:r>
              <w:rPr>
                <w:rFonts w:ascii="SimSun" w:eastAsia="SimSun" w:hAnsi="SimSun" w:cs="SimSun"/>
                <w:color w:val="000000"/>
                <w:spacing w:val="0"/>
                <w:w w:val="100"/>
                <w:position w:val="0"/>
              </w:rPr>
              <w:t>（简称“</w:t>
            </w:r>
            <w:r>
              <w:rPr>
                <w:color w:val="000000"/>
                <w:spacing w:val="0"/>
                <w:w w:val="100"/>
                <w:position w:val="0"/>
              </w:rPr>
              <w:t xml:space="preserve">ASCC </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24%</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Chipstone Technologies Pte Ltd</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Keyfort Pte.Ltd</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云宝金服（北京）科技有限公司（简称“云宝金服”）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云玥科技（上海）有限公司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恒宝（中东非洲）有限责任公司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PT.Chipstone Technologies Indonesia</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海南省恒宝数字科技有限公司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恒宝物联网有限公司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恒宝润芯数字科技有限公司（简称“恒宝润芯”）</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25%</w:t>
            </w:r>
          </w:p>
        </w:tc>
      </w:tr>
    </w:tbl>
    <w:p>
      <w:pPr>
        <w:widowControl w:val="0"/>
        <w:spacing w:after="299" w:line="1" w:lineRule="exact"/>
      </w:pPr>
    </w:p>
    <w:p>
      <w:pPr>
        <w:pStyle w:val="Style27"/>
        <w:keepNext/>
        <w:keepLines/>
        <w:widowControl w:val="0"/>
        <w:shd w:val="clear" w:color="auto" w:fill="auto"/>
        <w:tabs>
          <w:tab w:pos="378" w:val="left"/>
        </w:tabs>
        <w:bidi w:val="0"/>
        <w:spacing w:before="0" w:after="30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color w:val="000000"/>
          <w:spacing w:val="0"/>
          <w:w w:val="100"/>
          <w:position w:val="0"/>
        </w:rPr>
        <w:t>、</w:t>
        <w:tab/>
        <w:t>税收优惠</w:t>
      </w:r>
      <w:bookmarkEnd w:id="1180"/>
      <w:bookmarkEnd w:id="1181"/>
      <w:bookmarkEnd w:id="1183"/>
    </w:p>
    <w:p>
      <w:pPr>
        <w:pStyle w:val="Style18"/>
        <w:keepNext w:val="0"/>
        <w:keepLines w:val="0"/>
        <w:widowControl w:val="0"/>
        <w:shd w:val="clear" w:color="auto" w:fill="auto"/>
        <w:tabs>
          <w:tab w:pos="886" w:val="left"/>
        </w:tabs>
        <w:bidi w:val="0"/>
        <w:spacing w:before="0" w:after="0" w:line="312" w:lineRule="exact"/>
        <w:ind w:left="0" w:right="0"/>
        <w:jc w:val="left"/>
      </w:pPr>
      <w:bookmarkStart w:id="1184" w:name="bookmark1184"/>
      <w:r>
        <w:rPr>
          <w:color w:val="000000"/>
          <w:spacing w:val="0"/>
          <w:w w:val="100"/>
          <w:position w:val="0"/>
        </w:rPr>
        <w:t>（</w:t>
      </w:r>
      <w:bookmarkEnd w:id="1184"/>
      <w:r>
        <w:rPr>
          <w:color w:val="000000"/>
          <w:spacing w:val="0"/>
          <w:w w:val="100"/>
          <w:position w:val="0"/>
        </w:rPr>
        <w:t>1）</w:t>
        <w:tab/>
        <w:t>公司根据财政部、国家税务总局关于软件产品增值税政策的通知（财税[2011]100号）的相关规定，软件产品按法 定税率征收增值税后，对其增值税实际税负超过3%的部分享受即征即退政策。</w:t>
      </w:r>
    </w:p>
    <w:p>
      <w:pPr>
        <w:pStyle w:val="Style18"/>
        <w:keepNext w:val="0"/>
        <w:keepLines w:val="0"/>
        <w:widowControl w:val="0"/>
        <w:shd w:val="clear" w:color="auto" w:fill="auto"/>
        <w:tabs>
          <w:tab w:pos="891" w:val="left"/>
        </w:tabs>
        <w:bidi w:val="0"/>
        <w:spacing w:before="0" w:after="720" w:line="312" w:lineRule="exact"/>
        <w:ind w:left="0" w:right="0"/>
        <w:jc w:val="left"/>
      </w:pPr>
      <w:bookmarkStart w:id="1185" w:name="bookmark1185"/>
      <w:r>
        <w:rPr>
          <w:color w:val="000000"/>
          <w:spacing w:val="0"/>
          <w:w w:val="100"/>
          <w:position w:val="0"/>
        </w:rPr>
        <w:t>（</w:t>
      </w:r>
      <w:bookmarkEnd w:id="1185"/>
      <w:r>
        <w:rPr>
          <w:color w:val="000000"/>
          <w:spacing w:val="0"/>
          <w:w w:val="100"/>
          <w:position w:val="0"/>
        </w:rPr>
        <w:t>2）</w:t>
        <w:tab/>
        <w:t>2020年12月2日，恒宝股份有限公司取得由江苏省科学技术厅、江苏省财政厅、国家税务总局江苏省税务局批准的 高新技术企业证书，证书编号为：</w:t>
      </w:r>
      <w:r>
        <w:rPr>
          <w:color w:val="000000"/>
          <w:spacing w:val="0"/>
          <w:w w:val="100"/>
          <w:position w:val="0"/>
        </w:rPr>
        <w:t>GR202032009197</w:t>
      </w:r>
      <w:r>
        <w:rPr>
          <w:color w:val="000000"/>
          <w:spacing w:val="0"/>
          <w:w w:val="100"/>
          <w:position w:val="0"/>
        </w:rPr>
        <w:t>，有效期三年。2021年度公司适用15%的企业所得税税率。</w:t>
      </w:r>
    </w:p>
    <w:p>
      <w:pPr>
        <w:pStyle w:val="Style27"/>
        <w:keepNext/>
        <w:keepLines/>
        <w:widowControl w:val="0"/>
        <w:shd w:val="clear" w:color="auto" w:fill="auto"/>
        <w:tabs>
          <w:tab w:pos="378" w:val="left"/>
        </w:tabs>
        <w:bidi w:val="0"/>
        <w:spacing w:before="0" w:after="30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3</w:t>
      </w:r>
      <w:bookmarkEnd w:id="1188"/>
      <w:r>
        <w:rPr>
          <w:color w:val="000000"/>
          <w:spacing w:val="0"/>
          <w:w w:val="100"/>
          <w:position w:val="0"/>
        </w:rPr>
        <w:t>、</w:t>
        <w:tab/>
        <w:t>其他</w:t>
      </w:r>
      <w:bookmarkEnd w:id="1186"/>
      <w:bookmarkEnd w:id="1187"/>
      <w:bookmarkEnd w:id="1189"/>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0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sz w:val="24"/>
          <w:szCs w:val="24"/>
        </w:rPr>
        <w:t>七</w:t>
      </w:r>
      <w:bookmarkEnd w:id="1192"/>
      <w:r>
        <w:rPr>
          <w:color w:val="000000"/>
          <w:spacing w:val="0"/>
          <w:w w:val="100"/>
          <w:position w:val="0"/>
          <w:sz w:val="24"/>
          <w:szCs w:val="24"/>
        </w:rPr>
        <w:t>、合并财务报表项目注释</w:t>
      </w:r>
      <w:bookmarkEnd w:id="1190"/>
      <w:bookmarkEnd w:id="1191"/>
      <w:bookmarkEnd w:id="1193"/>
    </w:p>
    <w:p>
      <w:pPr>
        <w:pStyle w:val="Style27"/>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color w:val="000000"/>
          <w:spacing w:val="0"/>
          <w:w w:val="100"/>
          <w:position w:val="0"/>
        </w:rPr>
        <w:t>、货币资金</w:t>
      </w:r>
      <w:bookmarkEnd w:id="1194"/>
      <w:bookmarkEnd w:id="1195"/>
      <w:bookmarkEnd w:id="11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142,506.96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113,411.98</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193,992,322.95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459,545,199.48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7,353,475.12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6,935,608.64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201,488,305.03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466,594,220.10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其中：存放在境外的款项总额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33,406,880.26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41,190,563.29</w:t>
            </w:r>
          </w:p>
        </w:tc>
      </w:tr>
      <w:tr>
        <w:trPr>
          <w:trHeight w:val="720"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7,353,325.32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6,935,608.64</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期末资金使用受到限制的款项如下:</w:t>
      </w:r>
    </w:p>
    <w:tbl>
      <w:tblPr>
        <w:tblOverlap w:val="never"/>
        <w:jc w:val="center"/>
        <w:tblLayout w:type="fixed"/>
      </w:tblPr>
      <w:tblGrid>
        <w:gridCol w:w="4862"/>
        <w:gridCol w:w="4258"/>
      </w:tblGrid>
      <w:tr>
        <w:trPr>
          <w:trHeight w:val="4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4862"/>
        <w:gridCol w:w="4258"/>
      </w:tblGrid>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保函及履约保证金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7,353,325.32</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7,353,325.32</w:t>
            </w:r>
          </w:p>
        </w:tc>
      </w:tr>
    </w:tbl>
    <w:p>
      <w:pPr>
        <w:widowControl w:val="0"/>
        <w:spacing w:after="619" w:line="1" w:lineRule="exact"/>
      </w:pPr>
    </w:p>
    <w:p>
      <w:pPr>
        <w:pStyle w:val="Style27"/>
        <w:keepNext/>
        <w:keepLines/>
        <w:widowControl w:val="0"/>
        <w:shd w:val="clear" w:color="auto" w:fill="auto"/>
        <w:bidi w:val="0"/>
        <w:spacing w:before="0" w:line="240" w:lineRule="auto"/>
        <w:ind w:left="0" w:right="0" w:firstLine="0"/>
        <w:jc w:val="both"/>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color w:val="000000"/>
          <w:spacing w:val="0"/>
          <w:w w:val="100"/>
          <w:position w:val="0"/>
        </w:rPr>
        <w:t>、交易性金融资产</w:t>
      </w:r>
      <w:bookmarkEnd w:id="1198"/>
      <w:bookmarkEnd w:id="1199"/>
      <w:bookmarkEnd w:id="12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978,790,638.37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863,892,886.64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775,480,097.81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863,892,886.64</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证券投资理财产品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203,310,540.56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978,790,638.37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863,892,886.64</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color w:val="000000"/>
          <w:spacing w:val="0"/>
          <w:w w:val="100"/>
          <w:position w:val="0"/>
        </w:rPr>
        <w:t>、衍生金融资产</w:t>
      </w:r>
      <w:bookmarkEnd w:id="1202"/>
      <w:bookmarkEnd w:id="1203"/>
      <w:bookmarkEnd w:id="12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4</w:t>
      </w:r>
      <w:bookmarkEnd w:id="1208"/>
      <w:r>
        <w:rPr>
          <w:color w:val="000000"/>
          <w:spacing w:val="0"/>
          <w:w w:val="100"/>
          <w:position w:val="0"/>
        </w:rPr>
        <w:t>、应收票据</w:t>
      </w:r>
      <w:bookmarkEnd w:id="1206"/>
      <w:bookmarkEnd w:id="1207"/>
      <w:bookmarkEnd w:id="1209"/>
    </w:p>
    <w:p>
      <w:pPr>
        <w:pStyle w:val="Style27"/>
        <w:keepNext/>
        <w:keepLines/>
        <w:widowControl w:val="0"/>
        <w:shd w:val="clear" w:color="auto" w:fill="auto"/>
        <w:bidi w:val="0"/>
        <w:spacing w:before="0" w:line="240" w:lineRule="auto"/>
        <w:ind w:left="0" w:right="0" w:firstLine="0"/>
        <w:jc w:val="both"/>
      </w:pPr>
      <w:bookmarkStart w:id="1206" w:name="bookmark1206"/>
      <w:bookmarkStart w:id="1207" w:name="bookmark1207"/>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06"/>
      <w:bookmarkEnd w:id="1207"/>
      <w:bookmarkEnd w:id="121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637"/>
        <w:gridCol w:w="763"/>
        <w:gridCol w:w="763"/>
        <w:gridCol w:w="763"/>
        <w:gridCol w:w="763"/>
        <w:gridCol w:w="787"/>
        <w:gridCol w:w="778"/>
        <w:gridCol w:w="797"/>
        <w:gridCol w:w="926"/>
        <w:gridCol w:w="802"/>
        <w:gridCol w:w="8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18"/>
        <w:keepNext w:val="0"/>
        <w:keepLines w:val="0"/>
        <w:widowControl w:val="0"/>
        <w:shd w:val="clear" w:color="auto" w:fill="auto"/>
        <w:bidi w:val="0"/>
        <w:spacing w:before="0" w:after="335" w:line="240" w:lineRule="auto"/>
        <w:ind w:left="0" w:right="0" w:firstLine="0"/>
        <w:jc w:val="right"/>
      </w:pPr>
      <w:r>
        <w:rPr>
          <w:color w:val="000000"/>
          <w:spacing w:val="0"/>
          <w:w w:val="100"/>
          <w:position w:val="0"/>
        </w:rPr>
        <w:t>单位：元</w:t>
      </w:r>
    </w:p>
    <w:p>
      <w:pPr>
        <w:pStyle w:val="Style18"/>
        <w:keepNext w:val="0"/>
        <w:keepLines w:val="0"/>
        <w:widowControl w:val="0"/>
        <w:pBdr>
          <w:top w:val="single" w:sz="4" w:space="1" w:color="D3D3D3"/>
          <w:left w:val="single" w:sz="4" w:space="0" w:color="D3D3D3"/>
          <w:bottom w:val="single" w:sz="4" w:space="0" w:color="D3D3D3"/>
          <w:right w:val="single" w:sz="4" w:space="0" w:color="D3D3D3"/>
        </w:pBdr>
        <w:shd w:val="clear" w:color="auto" w:fill="D3D3D3"/>
        <w:bidi w:val="0"/>
        <w:spacing w:before="0" w:after="0" w:line="240" w:lineRule="auto"/>
        <w:ind w:left="0" w:right="0" w:firstLine="0"/>
        <w:jc w:val="center"/>
      </w:pPr>
      <w:r>
        <w:rPr>
          <w:color w:val="000000"/>
          <w:spacing w:val="0"/>
          <w:w w:val="100"/>
          <w:position w:val="0"/>
        </w:rPr>
        <w:t>期末余额</w:t>
      </w:r>
    </w:p>
    <w:p>
      <w:pPr>
        <w:pStyle w:val="Style18"/>
        <w:keepNext w:val="0"/>
        <w:keepLines w:val="0"/>
        <w:widowControl w:val="0"/>
        <w:pBdr>
          <w:top w:val="single" w:sz="4" w:space="1" w:color="D3D3D3"/>
          <w:left w:val="single" w:sz="4" w:space="0" w:color="D3D3D3"/>
          <w:bottom w:val="single" w:sz="4" w:space="7" w:color="D3D3D3"/>
          <w:right w:val="single" w:sz="4" w:space="0" w:color="D3D3D3"/>
        </w:pBdr>
        <w:shd w:val="clear" w:color="auto" w:fill="D3D3D3"/>
        <w:tabs>
          <w:tab w:pos="1918" w:val="left"/>
          <w:tab w:leader="hyphen" w:pos="3814" w:val="left"/>
          <w:tab w:leader="hyphen" w:pos="5729" w:val="left"/>
          <w:tab w:leader="hyphen" w:pos="7644" w:val="left"/>
          <w:tab w:leader="hyphen" w:pos="9545" w:val="left"/>
        </w:tabs>
        <w:bidi w:val="0"/>
        <w:spacing w:before="0" w:after="0" w:line="240" w:lineRule="auto"/>
        <w:ind w:left="0" w:right="0" w:firstLine="780"/>
        <w:jc w:val="left"/>
      </w:pPr>
      <w:r>
        <w:rPr>
          <w:color w:val="000000"/>
          <w:spacing w:val="0"/>
          <w:w w:val="100"/>
          <w:position w:val="0"/>
        </w:rPr>
        <w:t>名称</w:t>
        <w:tab/>
        <w:tab/>
        <w:tab/>
        <w:tab/>
        <w:tab/>
      </w:r>
    </w:p>
    <w:p>
      <w:pPr>
        <w:pStyle w:val="Style18"/>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4397" w:val="left"/>
          <w:tab w:pos="6317" w:val="left"/>
          <w:tab w:pos="8170" w:val="left"/>
        </w:tabs>
        <w:bidi w:val="0"/>
        <w:spacing w:before="0" w:after="26" w:line="240" w:lineRule="auto"/>
        <w:ind w:left="2520" w:right="0" w:firstLine="0"/>
        <w:jc w:val="left"/>
      </w:pPr>
      <w:r>
        <w:rPr>
          <w:color w:val="000000"/>
          <w:spacing w:val="0"/>
          <w:w w:val="100"/>
          <w:position w:val="0"/>
        </w:rPr>
        <w:t>账面余额</w:t>
        <w:tab/>
        <w:t>坏账准备</w:t>
        <w:tab/>
        <w:t>计提比例</w:t>
        <w:tab/>
        <w:t>计提理由</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40" w:line="240" w:lineRule="auto"/>
        <w:ind w:left="8920" w:right="0" w:firstLine="0"/>
        <w:jc w:val="left"/>
      </w:pPr>
      <w:r>
        <w:rPr>
          <w:color w:val="000000"/>
          <w:spacing w:val="0"/>
          <w:w w:val="100"/>
          <w:position w:val="0"/>
        </w:rPr>
        <w:t>单位：元</w:t>
      </w:r>
    </w:p>
    <w:p>
      <w:pPr>
        <w:pStyle w:val="Style18"/>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240" w:lineRule="auto"/>
        <w:ind w:left="0" w:right="0" w:firstLine="0"/>
        <w:jc w:val="center"/>
      </w:pPr>
      <w:r>
        <w:rPr>
          <w:color w:val="000000"/>
          <w:spacing w:val="0"/>
          <w:w w:val="100"/>
          <w:position w:val="0"/>
        </w:rPr>
        <w:t>期末余额</w:t>
      </w:r>
    </w:p>
    <w:p>
      <w:pPr>
        <w:pStyle w:val="Style18"/>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368" w:val="left"/>
          <w:tab w:leader="hyphen" w:pos="4758" w:val="left"/>
          <w:tab w:leader="hyphen" w:pos="7164" w:val="left"/>
          <w:tab w:leader="hyphen" w:pos="9545" w:val="left"/>
        </w:tabs>
        <w:bidi w:val="0"/>
        <w:spacing w:before="0" w:after="0" w:line="240" w:lineRule="auto"/>
        <w:ind w:left="1020" w:right="0" w:firstLine="0"/>
        <w:jc w:val="left"/>
      </w:pPr>
      <w:r>
        <w:rPr>
          <w:color w:val="000000"/>
          <w:spacing w:val="0"/>
          <w:w w:val="100"/>
          <w:position w:val="0"/>
        </w:rPr>
        <w:t>名称</w:t>
        <w:tab/>
        <w:tab/>
        <w:tab/>
        <w:tab/>
      </w:r>
    </w:p>
    <w:p>
      <w:pPr>
        <w:pStyle w:val="Style18"/>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368" w:val="left"/>
          <w:tab w:pos="4758" w:val="left"/>
        </w:tabs>
        <w:bidi w:val="0"/>
        <w:spacing w:before="0" w:after="26" w:line="240" w:lineRule="auto"/>
        <w:ind w:left="0" w:right="0" w:firstLine="0"/>
        <w:jc w:val="center"/>
      </w:pPr>
      <w:r>
        <w:rPr>
          <w:color w:val="000000"/>
          <w:spacing w:val="0"/>
          <w:w w:val="100"/>
          <w:position w:val="0"/>
        </w:rPr>
        <w:t>账面余额</w:t>
        <w:tab/>
        <w:t>坏账准备</w:t>
        <w:tab/>
        <w:t>计提比例</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7"/>
        <w:keepNext/>
        <w:keepLines/>
        <w:widowControl w:val="0"/>
        <w:numPr>
          <w:ilvl w:val="0"/>
          <w:numId w:val="73"/>
        </w:numPr>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本期计提、收回或转回的坏账准备情况</w:t>
      </w:r>
      <w:bookmarkEnd w:id="1212"/>
      <w:bookmarkEnd w:id="1213"/>
      <w:bookmarkEnd w:id="1215"/>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7"/>
        <w:keepNext/>
        <w:keepLines/>
        <w:widowControl w:val="0"/>
        <w:numPr>
          <w:ilvl w:val="0"/>
          <w:numId w:val="73"/>
        </w:numPr>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期末公司已质押的应收票据</w:t>
      </w:r>
      <w:bookmarkEnd w:id="1216"/>
      <w:bookmarkEnd w:id="1217"/>
      <w:bookmarkEnd w:id="1219"/>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期末已质押金额</w:t>
            </w:r>
          </w:p>
        </w:tc>
      </w:tr>
    </w:tbl>
    <w:p>
      <w:pPr>
        <w:widowControl w:val="0"/>
        <w:spacing w:after="299" w:line="1" w:lineRule="exact"/>
      </w:pPr>
    </w:p>
    <w:p>
      <w:pPr>
        <w:pStyle w:val="Style27"/>
        <w:keepNext/>
        <w:keepLines/>
        <w:widowControl w:val="0"/>
        <w:numPr>
          <w:ilvl w:val="0"/>
          <w:numId w:val="73"/>
        </w:numPr>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期末公司已背书或贴现且在资产负债表日尚未到期的应收票据</w:t>
      </w:r>
      <w:bookmarkEnd w:id="1220"/>
      <w:bookmarkEnd w:id="1221"/>
      <w:bookmarkEnd w:id="1223"/>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bl>
    <w:p>
      <w:pPr>
        <w:widowControl w:val="0"/>
        <w:spacing w:after="299" w:line="1" w:lineRule="exact"/>
      </w:pPr>
    </w:p>
    <w:p>
      <w:pPr>
        <w:pStyle w:val="Style27"/>
        <w:keepNext/>
        <w:keepLines/>
        <w:widowControl w:val="0"/>
        <w:numPr>
          <w:ilvl w:val="0"/>
          <w:numId w:val="73"/>
        </w:numPr>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期末公司因出票人未履约而将其转应收账款的票据</w:t>
      </w:r>
      <w:bookmarkEnd w:id="1224"/>
      <w:bookmarkEnd w:id="1225"/>
      <w:bookmarkEnd w:id="1227"/>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期末转应收账款金额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numPr>
          <w:ilvl w:val="0"/>
          <w:numId w:val="73"/>
        </w:numPr>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本期实际核销的应收票据情况</w:t>
      </w:r>
      <w:bookmarkEnd w:id="1228"/>
      <w:bookmarkEnd w:id="1229"/>
      <w:bookmarkEnd w:id="1231"/>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其中重要的应收票据核销情况:</w:t>
      </w:r>
      <w:r>
        <w:br w:type="page"/>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 交易产生</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应收票据核销说明：</w:t>
      </w:r>
    </w:p>
    <w:p>
      <w:pPr>
        <w:pStyle w:val="Style27"/>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5</w:t>
      </w:r>
      <w:bookmarkEnd w:id="1234"/>
      <w:r>
        <w:rPr>
          <w:color w:val="000000"/>
          <w:spacing w:val="0"/>
          <w:w w:val="100"/>
          <w:position w:val="0"/>
        </w:rPr>
        <w:t>、应收账款</w:t>
      </w:r>
      <w:bookmarkEnd w:id="1232"/>
      <w:bookmarkEnd w:id="1233"/>
      <w:bookmarkEnd w:id="1235"/>
    </w:p>
    <w:p>
      <w:pPr>
        <w:pStyle w:val="Style27"/>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32"/>
      <w:bookmarkEnd w:id="1233"/>
      <w:bookmarkEnd w:id="12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87"/>
        <w:gridCol w:w="94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按组合计提坏账 准备的应收账款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171,91</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1,767.1</w:t>
            </w:r>
          </w:p>
          <w:p>
            <w:pPr>
              <w:pStyle w:val="Style20"/>
              <w:keepNext w:val="0"/>
              <w:keepLines w:val="0"/>
              <w:widowControl w:val="0"/>
              <w:shd w:val="clear" w:color="auto" w:fill="auto"/>
              <w:bidi w:val="0"/>
              <w:spacing w:before="0" w:after="80" w:line="240" w:lineRule="auto"/>
              <w:ind w:left="0" w:right="0" w:firstLine="560"/>
              <w:jc w:val="lef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22,822,</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left"/>
            </w:pPr>
            <w:r>
              <w:rPr>
                <w:color w:val="000000"/>
                <w:spacing w:val="0"/>
                <w:w w:val="100"/>
                <w:position w:val="0"/>
              </w:rPr>
              <w:t>13.28</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149,08</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8,833.0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170,33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6,682.4</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21,270,</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149,066,</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277.62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行业类型及客户 信用等级组合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171,91</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1,767.1</w:t>
            </w:r>
          </w:p>
          <w:p>
            <w:pPr>
              <w:pStyle w:val="Style20"/>
              <w:keepNext w:val="0"/>
              <w:keepLines w:val="0"/>
              <w:widowControl w:val="0"/>
              <w:shd w:val="clear" w:color="auto" w:fill="auto"/>
              <w:bidi w:val="0"/>
              <w:spacing w:before="0" w:after="80" w:line="240" w:lineRule="auto"/>
              <w:ind w:left="0" w:right="0" w:firstLine="560"/>
              <w:jc w:val="lef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22,822,</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left"/>
            </w:pPr>
            <w:r>
              <w:rPr>
                <w:color w:val="000000"/>
                <w:spacing w:val="0"/>
                <w:w w:val="100"/>
                <w:position w:val="0"/>
              </w:rPr>
              <w:t>13.28</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149,08</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8,833.0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170,33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6,682.4</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21,270,</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149,066,</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277.62</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171,91</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1,767.1</w:t>
            </w:r>
          </w:p>
          <w:p>
            <w:pPr>
              <w:pStyle w:val="Style20"/>
              <w:keepNext w:val="0"/>
              <w:keepLines w:val="0"/>
              <w:widowControl w:val="0"/>
              <w:shd w:val="clear" w:color="auto" w:fill="auto"/>
              <w:bidi w:val="0"/>
              <w:spacing w:before="0" w:after="80" w:line="240" w:lineRule="auto"/>
              <w:ind w:left="0" w:right="0" w:firstLine="56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22,822,</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934.08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left"/>
            </w:pPr>
            <w:r>
              <w:rPr>
                <w:color w:val="000000"/>
                <w:spacing w:val="0"/>
                <w:w w:val="100"/>
                <w:position w:val="0"/>
              </w:rPr>
              <w:t>13.28</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149,08</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8,833.0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170,33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6,682.4</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21,270,</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404.84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149,066,</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277.62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按组合计提坏账准备：组合中，按行业类型及客户信用等级组合计提坏账准备的应收账款</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金融卡客户</w:t>
            </w:r>
            <w:r>
              <w:rPr>
                <w:color w:val="000000"/>
                <w:spacing w:val="0"/>
                <w:w w:val="100"/>
                <w:position w:val="0"/>
              </w:rPr>
              <w:t>I</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16,968,977.49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1,858,273.36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10.95%</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金融卡客户</w:t>
            </w:r>
            <w:r>
              <w:rPr>
                <w:color w:val="000000"/>
                <w:spacing w:val="0"/>
                <w:w w:val="100"/>
                <w:position w:val="0"/>
              </w:rPr>
              <w:t>II</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29,510,214.23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5,460,567.06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18.50%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通信卡客户</w:t>
            </w:r>
            <w:r>
              <w:rPr>
                <w:color w:val="000000"/>
                <w:spacing w:val="0"/>
                <w:w w:val="100"/>
                <w:position w:val="0"/>
              </w:rPr>
              <w:t>I</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30,826,030.47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1,262,354.48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通信卡客户</w:t>
            </w:r>
            <w:r>
              <w:rPr>
                <w:color w:val="000000"/>
                <w:spacing w:val="0"/>
                <w:w w:val="100"/>
                <w:position w:val="0"/>
              </w:rPr>
              <w:t>II</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8,124,703.61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1,433,972.56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17.65%</w:t>
            </w:r>
          </w:p>
        </w:tc>
      </w:tr>
      <w:tr>
        <w:trPr>
          <w:trHeight w:val="40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模块封装客户</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60,628,396.85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7,805,556.44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12.87%</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25,853,444.52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5,002,210.18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171,911,767.17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22,822,934.08</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147,623,386.21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4,948,646.34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813,788.76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18,525,945.86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18,525,945.86</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171,911,767.17</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38"/>
      <w:bookmarkEnd w:id="1239"/>
      <w:bookmarkEnd w:id="1241"/>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按组合计提坏 账准备的应收 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21,270,404.84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1,841,682.46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-214,153.22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22,822,934.08</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21,270,404.84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1,841,682.46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75,000.00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-214,153.22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22,822,934.08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42"/>
      <w:bookmarkEnd w:id="1243"/>
      <w:bookmarkEnd w:id="1245"/>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 交易产生</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27"/>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46"/>
      <w:bookmarkEnd w:id="1247"/>
      <w:bookmarkEnd w:id="12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2530"/>
        <w:gridCol w:w="2530"/>
        <w:gridCol w:w="253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37,819,476.24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378,194.76</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14,551,574.29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145,515.74</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7,832,851.25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1,567,712.70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7,234,434.30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7,234,434.30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5,001,462.49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50,014.62</w:t>
            </w:r>
          </w:p>
        </w:tc>
      </w:tr>
      <w:tr>
        <w:trPr>
          <w:trHeight w:val="408"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1380" w:right="0" w:firstLine="0"/>
              <w:jc w:val="left"/>
            </w:pPr>
            <w:r>
              <w:rPr>
                <w:color w:val="000000"/>
                <w:spacing w:val="0"/>
                <w:w w:val="100"/>
                <w:position w:val="0"/>
              </w:rPr>
              <w:t>72,439,798.57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42.14%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tabs>
          <w:tab w:pos="498" w:val="left"/>
        </w:tabs>
        <w:bidi w:val="0"/>
        <w:spacing w:before="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250"/>
      <w:bookmarkEnd w:id="1251"/>
      <w:bookmarkEnd w:id="125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98" w:val="left"/>
        </w:tabs>
        <w:bidi w:val="0"/>
        <w:spacing w:before="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254"/>
      <w:bookmarkEnd w:id="1255"/>
      <w:bookmarkEnd w:id="1257"/>
    </w:p>
    <w:p>
      <w:pPr>
        <w:pStyle w:val="Style27"/>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8" w:name="bookmark1258"/>
      <w:bookmarkStart w:id="1259" w:name="bookmark1259"/>
      <w:r>
        <w:rPr>
          <w:rFonts w:ascii="Times New Roman" w:eastAsia="Times New Roman" w:hAnsi="Times New Roman" w:cs="Times New Roman"/>
          <w:color w:val="000000"/>
          <w:spacing w:val="0"/>
          <w:w w:val="100"/>
          <w:position w:val="0"/>
        </w:rPr>
        <w:t>6</w:t>
      </w:r>
      <w:bookmarkEnd w:id="1258"/>
      <w:r>
        <w:rPr>
          <w:color w:val="000000"/>
          <w:spacing w:val="0"/>
          <w:w w:val="100"/>
          <w:position w:val="0"/>
        </w:rPr>
        <w:t>、应收款项融资</w:t>
      </w:r>
      <w:bookmarkEnd w:id="1254"/>
      <w:bookmarkEnd w:id="1255"/>
      <w:bookmarkEnd w:id="12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209,888.00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60" w:right="0" w:firstLine="0"/>
              <w:jc w:val="left"/>
            </w:pPr>
            <w:r>
              <w:rPr>
                <w:color w:val="000000"/>
                <w:spacing w:val="0"/>
                <w:w w:val="100"/>
                <w:position w:val="0"/>
              </w:rPr>
              <w:t>47,636.80</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209,888.00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60" w:right="0" w:firstLine="0"/>
              <w:jc w:val="left"/>
            </w:pPr>
            <w:r>
              <w:rPr>
                <w:color w:val="000000"/>
                <w:spacing w:val="0"/>
                <w:w w:val="100"/>
                <w:position w:val="0"/>
              </w:rPr>
              <w:t>47,636.80</w:t>
            </w: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240" w:line="312" w:lineRule="exact"/>
        <w:ind w:left="0" w:right="0"/>
        <w:jc w:val="both"/>
      </w:pPr>
      <w:r>
        <w:rPr>
          <w:color w:val="000000"/>
          <w:spacing w:val="0"/>
          <w:w w:val="100"/>
          <w:position w:val="0"/>
        </w:rPr>
        <w:t>（1）公司视日常管理的需要将一部分银行承兑汇票进行贴现和背书，且符合终止确认的条件，故将银行承兑汇票分类 为以公允价值计量且其变动计入其他综合收益的金融资产。</w:t>
      </w:r>
      <w:r>
        <w:br w:type="page"/>
      </w:r>
    </w:p>
    <w:p>
      <w:pPr>
        <w:pStyle w:val="Style18"/>
        <w:keepNext w:val="0"/>
        <w:keepLines w:val="0"/>
        <w:widowControl w:val="0"/>
        <w:shd w:val="clear" w:color="auto" w:fill="auto"/>
        <w:bidi w:val="0"/>
        <w:spacing w:before="0" w:after="720" w:line="240" w:lineRule="auto"/>
        <w:ind w:left="0" w:right="0" w:firstLine="360"/>
        <w:jc w:val="left"/>
      </w:pPr>
      <w:r>
        <w:rPr>
          <w:color w:val="000000"/>
          <w:spacing w:val="0"/>
          <w:w w:val="100"/>
          <w:position w:val="0"/>
        </w:rPr>
        <w:t>（2）截至2021年12月31日止，应收款项融资中无已背书或已贴现但尚未到期的应收票据。</w:t>
      </w:r>
    </w:p>
    <w:p>
      <w:pPr>
        <w:pStyle w:val="Style27"/>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7</w:t>
      </w:r>
      <w:bookmarkEnd w:id="1262"/>
      <w:r>
        <w:rPr>
          <w:color w:val="000000"/>
          <w:spacing w:val="0"/>
          <w:w w:val="100"/>
          <w:position w:val="0"/>
        </w:rPr>
        <w:t>、预付款项</w:t>
      </w:r>
      <w:bookmarkEnd w:id="1260"/>
      <w:bookmarkEnd w:id="1261"/>
      <w:bookmarkEnd w:id="1263"/>
    </w:p>
    <w:p>
      <w:pPr>
        <w:pStyle w:val="Style27"/>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60"/>
      <w:bookmarkEnd w:id="1261"/>
      <w:bookmarkEnd w:id="12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5,118,218.24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98.41%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7,078,010.63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95.81%</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62,948.41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269,714.53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3.65%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25,322.30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0.34%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14,961.43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0.20%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5,201,066.65</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7,388,008.89</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27"/>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66"/>
      <w:bookmarkEnd w:id="1267"/>
      <w:bookmarkEnd w:id="1269"/>
    </w:p>
    <w:tbl>
      <w:tblPr>
        <w:tblOverlap w:val="never"/>
        <w:jc w:val="center"/>
        <w:tblLayout w:type="fixed"/>
      </w:tblPr>
      <w:tblGrid>
        <w:gridCol w:w="3696"/>
        <w:gridCol w:w="2837"/>
        <w:gridCol w:w="2702"/>
      </w:tblGrid>
      <w:tr>
        <w:trPr>
          <w:trHeight w:val="74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占预付款项期末余额合计数的比 例</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SimSun" w:eastAsia="SimSun" w:hAnsi="SimSun" w:cs="SimSun"/>
                <w:color w:val="000000"/>
                <w:spacing w:val="0"/>
                <w:w w:val="100"/>
                <w:position w:val="0"/>
              </w:rPr>
              <w:t>821,795.58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SimSun" w:eastAsia="SimSun" w:hAnsi="SimSun" w:cs="SimSun"/>
                <w:color w:val="000000"/>
                <w:spacing w:val="0"/>
                <w:w w:val="100"/>
                <w:position w:val="0"/>
              </w:rPr>
              <w:t>15.80%</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SimSun" w:eastAsia="SimSun" w:hAnsi="SimSun" w:cs="SimSun"/>
                <w:color w:val="000000"/>
                <w:spacing w:val="0"/>
                <w:w w:val="100"/>
                <w:position w:val="0"/>
              </w:rPr>
              <w:t>468,000.00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SimSun" w:eastAsia="SimSun" w:hAnsi="SimSun" w:cs="SimSun"/>
                <w:color w:val="000000"/>
                <w:spacing w:val="0"/>
                <w:w w:val="100"/>
                <w:position w:val="0"/>
              </w:rPr>
              <w:t>9.00%</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SimSun" w:eastAsia="SimSun" w:hAnsi="SimSun" w:cs="SimSun"/>
                <w:color w:val="000000"/>
                <w:spacing w:val="0"/>
                <w:w w:val="100"/>
                <w:position w:val="0"/>
              </w:rPr>
              <w:t>384,300.00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SimSun" w:eastAsia="SimSun" w:hAnsi="SimSun" w:cs="SimSun"/>
                <w:color w:val="000000"/>
                <w:spacing w:val="0"/>
                <w:w w:val="100"/>
                <w:position w:val="0"/>
              </w:rPr>
              <w:t>7.39%</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SimSun" w:eastAsia="SimSun" w:hAnsi="SimSun" w:cs="SimSun"/>
                <w:color w:val="000000"/>
                <w:spacing w:val="0"/>
                <w:w w:val="100"/>
                <w:position w:val="0"/>
              </w:rPr>
              <w:t>338,672.57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SimSun" w:eastAsia="SimSun" w:hAnsi="SimSun" w:cs="SimSun"/>
                <w:color w:val="000000"/>
                <w:spacing w:val="0"/>
                <w:w w:val="100"/>
                <w:position w:val="0"/>
              </w:rPr>
              <w:t>6.51%</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SimSun" w:eastAsia="SimSun" w:hAnsi="SimSun" w:cs="SimSun"/>
                <w:color w:val="000000"/>
                <w:spacing w:val="0"/>
                <w:w w:val="100"/>
                <w:position w:val="0"/>
              </w:rPr>
              <w:t>287,500.00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SimSun" w:eastAsia="SimSun" w:hAnsi="SimSun" w:cs="SimSun"/>
                <w:color w:val="000000"/>
                <w:spacing w:val="0"/>
                <w:w w:val="100"/>
                <w:position w:val="0"/>
              </w:rPr>
              <w:t>5.53%</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2,300,268.15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SimSun" w:eastAsia="SimSun" w:hAnsi="SimSun" w:cs="SimSun"/>
                <w:color w:val="000000"/>
                <w:spacing w:val="0"/>
                <w:w w:val="100"/>
                <w:position w:val="0"/>
              </w:rPr>
              <w:t>44.23%</w:t>
            </w:r>
          </w:p>
        </w:tc>
      </w:tr>
    </w:tbl>
    <w:p>
      <w:pPr>
        <w:widowControl w:val="0"/>
        <w:spacing w:after="35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8</w:t>
      </w:r>
      <w:bookmarkEnd w:id="1272"/>
      <w:r>
        <w:rPr>
          <w:color w:val="000000"/>
          <w:spacing w:val="0"/>
          <w:w w:val="100"/>
          <w:position w:val="0"/>
        </w:rPr>
        <w:t>、其他应收款</w:t>
      </w:r>
      <w:bookmarkEnd w:id="1270"/>
      <w:bookmarkEnd w:id="1271"/>
      <w:bookmarkEnd w:id="12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6,186,070.60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6,989,764.44</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6,186,070.60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6,989,764.44</w:t>
            </w:r>
          </w:p>
        </w:tc>
      </w:tr>
    </w:tbl>
    <w:p>
      <w:pPr>
        <w:pStyle w:val="Style27"/>
        <w:keepNext/>
        <w:keepLines/>
        <w:widowControl w:val="0"/>
        <w:shd w:val="clear" w:color="auto" w:fill="auto"/>
        <w:bidi w:val="0"/>
        <w:spacing w:before="0" w:after="340" w:line="240" w:lineRule="auto"/>
        <w:ind w:left="0" w:right="0" w:firstLine="0"/>
        <w:jc w:val="both"/>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74"/>
      <w:bookmarkEnd w:id="1275"/>
      <w:bookmarkEnd w:id="1277"/>
    </w:p>
    <w:p>
      <w:pPr>
        <w:pStyle w:val="Style27"/>
        <w:keepNext/>
        <w:keepLines/>
        <w:widowControl w:val="0"/>
        <w:shd w:val="clear" w:color="auto" w:fill="auto"/>
        <w:bidi w:val="0"/>
        <w:spacing w:before="0" w:after="340" w:line="240" w:lineRule="auto"/>
        <w:ind w:left="0" w:right="0" w:firstLine="0"/>
        <w:jc w:val="both"/>
      </w:pPr>
      <w:bookmarkStart w:id="1274" w:name="bookmark1274"/>
      <w:bookmarkStart w:id="1275" w:name="bookmark1275"/>
      <w:bookmarkStart w:id="1278" w:name="bookmark1278"/>
      <w:bookmarkStart w:id="1279" w:name="bookmark1279"/>
      <w:r>
        <w:rPr>
          <w:rFonts w:ascii="Times New Roman" w:eastAsia="Times New Roman" w:hAnsi="Times New Roman" w:cs="Times New Roman"/>
          <w:color w:val="000000"/>
          <w:spacing w:val="0"/>
          <w:w w:val="100"/>
          <w:position w:val="0"/>
        </w:rPr>
        <w:t>1</w:t>
      </w:r>
      <w:bookmarkEnd w:id="1278"/>
      <w:r>
        <w:rPr>
          <w:color w:val="000000"/>
          <w:spacing w:val="0"/>
          <w:w w:val="100"/>
          <w:position w:val="0"/>
        </w:rPr>
        <w:t>）应收利息分类</w:t>
      </w:r>
      <w:bookmarkEnd w:id="1274"/>
      <w:bookmarkEnd w:id="1275"/>
      <w:bookmarkEnd w:id="12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277"/>
        <w:gridCol w:w="638"/>
        <w:gridCol w:w="1915"/>
        <w:gridCol w:w="638"/>
        <w:gridCol w:w="1277"/>
        <w:gridCol w:w="1973"/>
      </w:tblGrid>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27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）重要逾期利息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widowControl w:val="0"/>
        <w:spacing w:after="99" w:line="1" w:lineRule="exact"/>
      </w:pP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both"/>
      </w:pPr>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bookmarkEnd w:id="1280"/>
      <w:bookmarkEnd w:id="1281"/>
      <w:bookmarkEnd w:id="1282"/>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p>
    <w:p>
      <w:pPr>
        <w:pStyle w:val="Style27"/>
        <w:keepNext/>
        <w:keepLines/>
        <w:widowControl w:val="0"/>
        <w:shd w:val="clear" w:color="auto" w:fill="auto"/>
        <w:bidi w:val="0"/>
        <w:spacing w:before="0" w:after="340" w:line="240" w:lineRule="auto"/>
        <w:ind w:left="0" w:right="0" w:firstLine="0"/>
        <w:jc w:val="both"/>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83"/>
      <w:bookmarkEnd w:id="1284"/>
      <w:bookmarkEnd w:id="1286"/>
    </w:p>
    <w:p>
      <w:pPr>
        <w:pStyle w:val="Style27"/>
        <w:keepNext/>
        <w:keepLines/>
        <w:widowControl w:val="0"/>
        <w:shd w:val="clear" w:color="auto" w:fill="auto"/>
        <w:bidi w:val="0"/>
        <w:spacing w:before="0" w:after="340" w:line="240" w:lineRule="auto"/>
        <w:ind w:left="0" w:right="0" w:firstLine="0"/>
        <w:jc w:val="both"/>
      </w:pPr>
      <w:bookmarkStart w:id="1283" w:name="bookmark1283"/>
      <w:bookmarkStart w:id="1284" w:name="bookmark1284"/>
      <w:bookmarkStart w:id="1287" w:name="bookmark1287"/>
      <w:bookmarkStart w:id="1288" w:name="bookmark1288"/>
      <w:r>
        <w:rPr>
          <w:rFonts w:ascii="Times New Roman" w:eastAsia="Times New Roman" w:hAnsi="Times New Roman" w:cs="Times New Roman"/>
          <w:color w:val="000000"/>
          <w:spacing w:val="0"/>
          <w:w w:val="100"/>
          <w:position w:val="0"/>
        </w:rPr>
        <w:t>1</w:t>
      </w:r>
      <w:bookmarkEnd w:id="1287"/>
      <w:r>
        <w:rPr>
          <w:color w:val="000000"/>
          <w:spacing w:val="0"/>
          <w:w w:val="100"/>
          <w:position w:val="0"/>
        </w:rPr>
        <w:t>）应收股利分类</w:t>
      </w:r>
      <w:bookmarkEnd w:id="1283"/>
      <w:bookmarkEnd w:id="1284"/>
      <w:bookmarkEnd w:id="1288"/>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89"/>
      <w:bookmarkEnd w:id="1290"/>
      <w:bookmarkEnd w:id="1292"/>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3</w:t>
      </w:r>
      <w:bookmarkEnd w:id="1295"/>
      <w:r>
        <w:rPr>
          <w:color w:val="000000"/>
          <w:spacing w:val="0"/>
          <w:w w:val="100"/>
          <w:position w:val="0"/>
        </w:rPr>
        <w:t>）坏账准备计提情况</w:t>
      </w:r>
      <w:bookmarkEnd w:id="1293"/>
      <w:bookmarkEnd w:id="1294"/>
      <w:bookmarkEnd w:id="1296"/>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97"/>
      <w:bookmarkEnd w:id="1298"/>
      <w:bookmarkEnd w:id="1300"/>
    </w:p>
    <w:p>
      <w:pPr>
        <w:pStyle w:val="Style27"/>
        <w:keepNext/>
        <w:keepLines/>
        <w:widowControl w:val="0"/>
        <w:shd w:val="clear" w:color="auto" w:fill="auto"/>
        <w:bidi w:val="0"/>
        <w:spacing w:before="0" w:after="340" w:line="240" w:lineRule="auto"/>
        <w:ind w:left="0" w:right="0" w:firstLine="0"/>
        <w:jc w:val="left"/>
      </w:pPr>
      <w:bookmarkStart w:id="1297" w:name="bookmark1297"/>
      <w:bookmarkStart w:id="1298" w:name="bookmark1298"/>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color w:val="000000"/>
          <w:spacing w:val="0"/>
          <w:w w:val="100"/>
          <w:position w:val="0"/>
        </w:rPr>
        <w:t>）其他应收款按款项性质分类情况</w:t>
      </w:r>
      <w:bookmarkEnd w:id="1297"/>
      <w:bookmarkEnd w:id="1298"/>
      <w:bookmarkEnd w:id="1302"/>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87"/>
        <w:gridCol w:w="3192"/>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187"/>
        <w:gridCol w:w="3192"/>
        <w:gridCol w:w="3202"/>
      </w:tblGrid>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7,155,365.73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7,373,600.38</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代垫款及备用金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3,902,413.75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8,755,838.05</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11,057,779.48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16,129,438.43</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bookmarkEnd w:id="1305"/>
      <w:r>
        <w:rPr>
          <w:color w:val="000000"/>
          <w:spacing w:val="0"/>
          <w:w w:val="100"/>
          <w:position w:val="0"/>
        </w:rPr>
        <w:t>）坏账准备计提情况</w:t>
      </w:r>
      <w:bookmarkEnd w:id="1303"/>
      <w:bookmarkEnd w:id="1304"/>
      <w:bookmarkEnd w:id="13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46"/>
        <w:gridCol w:w="2102"/>
        <w:gridCol w:w="2098"/>
        <w:gridCol w:w="181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1,433,448.52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7,706,225.47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9,139,673.99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 在本期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631,639.79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271,577.59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903,217.38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4,825,305.17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4,825,305.17</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-20,413.32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-325,464.00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-345,877.32</w:t>
            </w:r>
          </w:p>
        </w:tc>
      </w:tr>
      <w:tr>
        <w:trPr>
          <w:trHeight w:val="720"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2,044,674.99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2,827,033.89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4,871,708.88</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5,003,476.19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1,322,241.82</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1,905,027.58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2,827,033.89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2,827,033.89</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11,057,779.48</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bookmarkEnd w:id="1309"/>
      <w:r>
        <w:rPr>
          <w:color w:val="000000"/>
          <w:spacing w:val="0"/>
          <w:w w:val="100"/>
          <w:position w:val="0"/>
        </w:rPr>
        <w:t>）本期计提、收回或转回的坏账准备情况</w:t>
      </w:r>
      <w:bookmarkEnd w:id="1307"/>
      <w:bookmarkEnd w:id="1308"/>
      <w:bookmarkEnd w:id="1310"/>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416"/>
        <w:gridCol w:w="1099"/>
        <w:gridCol w:w="1195"/>
        <w:gridCol w:w="1301"/>
        <w:gridCol w:w="1094"/>
        <w:gridCol w:w="1733"/>
        <w:gridCol w:w="174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9,139,673.9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903,217.38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4,825,305.1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-345,877.32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4,871,708.88</w:t>
            </w:r>
          </w:p>
        </w:tc>
      </w:tr>
    </w:tbl>
    <w:p>
      <w:pPr>
        <w:widowControl w:val="0"/>
        <w:spacing w:line="1" w:lineRule="exact"/>
      </w:pPr>
      <w:r>
        <w:br w:type="page"/>
      </w:r>
    </w:p>
    <w:tbl>
      <w:tblPr>
        <w:tblOverlap w:val="never"/>
        <w:jc w:val="center"/>
        <w:tblLayout w:type="fixed"/>
      </w:tblPr>
      <w:tblGrid>
        <w:gridCol w:w="1416"/>
        <w:gridCol w:w="1099"/>
        <w:gridCol w:w="1195"/>
        <w:gridCol w:w="1301"/>
        <w:gridCol w:w="1094"/>
        <w:gridCol w:w="1733"/>
        <w:gridCol w:w="1742"/>
      </w:tblGrid>
      <w:tr>
        <w:trPr>
          <w:trHeight w:val="3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9,139,673.9</w:t>
            </w:r>
          </w:p>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903,217.38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4,825,305.1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-345,877.32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4,871,708.88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2"/>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4</w:t>
      </w:r>
      <w:bookmarkEnd w:id="1313"/>
      <w:r>
        <w:rPr>
          <w:color w:val="000000"/>
          <w:spacing w:val="0"/>
          <w:w w:val="100"/>
          <w:position w:val="0"/>
        </w:rPr>
        <w:t>）本期实际核销的其他应收款情况</w:t>
      </w:r>
      <w:bookmarkEnd w:id="1311"/>
      <w:bookmarkEnd w:id="1312"/>
      <w:bookmarkEnd w:id="13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4,825,305.17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61"/>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其他应收款性质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 交易产生</w:t>
            </w:r>
          </w:p>
        </w:tc>
      </w:tr>
      <w:tr>
        <w:trPr>
          <w:trHeight w:val="1627" w:hRule="exact"/>
        </w:trPr>
        <w:tc>
          <w:tcPr>
            <w:gridSpan w:val="6"/>
            <w:tcBorders>
              <w:top w:val="single" w:sz="4"/>
            </w:tcBorders>
            <w:shd w:val="clear" w:color="auto" w:fill="FFFFFF"/>
            <w:vAlign w:val="center"/>
          </w:tcPr>
          <w:p>
            <w:pPr>
              <w:pStyle w:val="Style20"/>
              <w:keepNext w:val="0"/>
              <w:keepLines w:val="0"/>
              <w:widowControl w:val="0"/>
              <w:shd w:val="clear" w:color="auto" w:fill="auto"/>
              <w:bidi w:val="0"/>
              <w:spacing w:before="0" w:after="360" w:line="240" w:lineRule="auto"/>
              <w:ind w:left="0" w:right="0" w:firstLine="0"/>
              <w:jc w:val="left"/>
            </w:pPr>
            <w:r>
              <w:rPr>
                <w:rFonts w:ascii="SimSun" w:eastAsia="SimSun" w:hAnsi="SimSun" w:cs="SimSun"/>
                <w:color w:val="000000"/>
                <w:spacing w:val="0"/>
                <w:w w:val="100"/>
                <w:position w:val="0"/>
              </w:rPr>
              <w:t>其他应收款核销说明：</w:t>
            </w:r>
          </w:p>
          <w:p>
            <w:pPr>
              <w:pStyle w:val="Style20"/>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5</w:t>
            </w:r>
            <w:r>
              <w:rPr>
                <w:rFonts w:ascii="SimSun" w:eastAsia="SimSun" w:hAnsi="SimSun" w:cs="SimSun"/>
                <w:b/>
                <w:bCs/>
                <w:color w:val="000000"/>
                <w:spacing w:val="0"/>
                <w:w w:val="100"/>
                <w:position w:val="0"/>
                <w:sz w:val="20"/>
                <w:szCs w:val="20"/>
              </w:rPr>
              <w:t>）按欠款方归集的期末余额前五名的其他应收款情况</w:t>
            </w:r>
          </w:p>
          <w:p>
            <w:pPr>
              <w:pStyle w:val="Style20"/>
              <w:keepNext w:val="0"/>
              <w:keepLines w:val="0"/>
              <w:widowControl w:val="0"/>
              <w:shd w:val="clear" w:color="auto" w:fill="auto"/>
              <w:bidi w:val="0"/>
              <w:spacing w:before="0" w:after="360" w:line="240" w:lineRule="auto"/>
              <w:ind w:left="0" w:right="0" w:firstLine="0"/>
              <w:jc w:val="right"/>
            </w:pPr>
            <w:r>
              <w:rPr>
                <w:rFonts w:ascii="SimSun" w:eastAsia="SimSun" w:hAnsi="SimSun" w:cs="SimSun"/>
                <w:color w:val="000000"/>
                <w:spacing w:val="0"/>
                <w:w w:val="100"/>
                <w:position w:val="0"/>
              </w:rPr>
              <w:t>单位：元</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占其他应收款期</w:t>
            </w:r>
          </w:p>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末余额合计数的</w:t>
            </w:r>
          </w:p>
          <w:p>
            <w:pPr>
              <w:pStyle w:val="Style20"/>
              <w:keepNext w:val="0"/>
              <w:keepLines w:val="0"/>
              <w:widowControl w:val="0"/>
              <w:shd w:val="clear" w:color="auto" w:fill="auto"/>
              <w:bidi w:val="0"/>
              <w:spacing w:before="0" w:after="100" w:line="240" w:lineRule="auto"/>
              <w:ind w:left="0" w:right="0" w:firstLine="600"/>
              <w:jc w:val="left"/>
            </w:pPr>
            <w:r>
              <w:rPr>
                <w:rFonts w:ascii="SimSun" w:eastAsia="SimSun" w:hAnsi="SimSun" w:cs="SimSun"/>
                <w:color w:val="000000"/>
                <w:spacing w:val="0"/>
                <w:w w:val="100"/>
                <w:position w:val="0"/>
              </w:rPr>
              <w:t>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1,125,301.00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11,253.01</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800,000.00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800,000.00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777,600.00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777,600.00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626,973.00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6,269.73</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542,929.11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271,464.56</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3,872,803.11</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35.02%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1,866,587.30</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6</w:t>
      </w:r>
      <w:bookmarkEnd w:id="1317"/>
      <w:r>
        <w:rPr>
          <w:color w:val="000000"/>
          <w:spacing w:val="0"/>
          <w:w w:val="100"/>
          <w:position w:val="0"/>
        </w:rPr>
        <w:t>）涉及政府补助的应收款项</w:t>
      </w:r>
      <w:bookmarkEnd w:id="1315"/>
      <w:bookmarkEnd w:id="1316"/>
      <w:bookmarkEnd w:id="13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0"/>
        <w:gridCol w:w="1915"/>
        <w:gridCol w:w="1925"/>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预计收取的时间、金 额及依据</w:t>
            </w:r>
          </w:p>
        </w:tc>
      </w:tr>
    </w:tbl>
    <w:p>
      <w:pPr>
        <w:pStyle w:val="Style27"/>
        <w:keepNext/>
        <w:keepLines/>
        <w:widowControl w:val="0"/>
        <w:shd w:val="clear" w:color="auto" w:fill="auto"/>
        <w:tabs>
          <w:tab w:pos="392" w:val="left"/>
        </w:tabs>
        <w:bidi w:val="0"/>
        <w:spacing w:before="0" w:after="34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7</w:t>
      </w:r>
      <w:bookmarkEnd w:id="1321"/>
      <w:r>
        <w:rPr>
          <w:color w:val="000000"/>
          <w:spacing w:val="0"/>
          <w:w w:val="100"/>
          <w:position w:val="0"/>
        </w:rPr>
        <w:t>）</w:t>
        <w:tab/>
        <w:t>因金融资产转移而终止确认的其他应收款</w:t>
      </w:r>
      <w:bookmarkEnd w:id="1319"/>
      <w:bookmarkEnd w:id="1320"/>
      <w:bookmarkEnd w:id="1322"/>
    </w:p>
    <w:p>
      <w:pPr>
        <w:pStyle w:val="Style27"/>
        <w:keepNext/>
        <w:keepLines/>
        <w:widowControl w:val="0"/>
        <w:shd w:val="clear" w:color="auto" w:fill="auto"/>
        <w:tabs>
          <w:tab w:pos="397" w:val="left"/>
        </w:tabs>
        <w:bidi w:val="0"/>
        <w:spacing w:before="0" w:after="340" w:line="240" w:lineRule="auto"/>
        <w:ind w:left="0" w:right="0" w:firstLine="0"/>
        <w:jc w:val="left"/>
      </w:pPr>
      <w:bookmarkStart w:id="1319" w:name="bookmark1319"/>
      <w:bookmarkStart w:id="1320" w:name="bookmark1320"/>
      <w:bookmarkStart w:id="1323" w:name="bookmark1323"/>
      <w:bookmarkStart w:id="1324" w:name="bookmark1324"/>
      <w:r>
        <w:rPr>
          <w:rFonts w:ascii="Times New Roman" w:eastAsia="Times New Roman" w:hAnsi="Times New Roman" w:cs="Times New Roman"/>
          <w:color w:val="000000"/>
          <w:spacing w:val="0"/>
          <w:w w:val="100"/>
          <w:position w:val="0"/>
        </w:rPr>
        <w:t>8</w:t>
      </w:r>
      <w:bookmarkEnd w:id="1323"/>
      <w:r>
        <w:rPr>
          <w:color w:val="000000"/>
          <w:spacing w:val="0"/>
          <w:w w:val="100"/>
          <w:position w:val="0"/>
        </w:rPr>
        <w:t>）</w:t>
        <w:tab/>
        <w:t>转移其他应收款且继续涉入形成的资产、负债金额</w:t>
      </w:r>
      <w:bookmarkEnd w:id="1319"/>
      <w:bookmarkEnd w:id="1320"/>
      <w:bookmarkEnd w:id="1324"/>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9</w:t>
      </w:r>
      <w:bookmarkEnd w:id="1327"/>
      <w:r>
        <w:rPr>
          <w:color w:val="000000"/>
          <w:spacing w:val="0"/>
          <w:w w:val="100"/>
          <w:position w:val="0"/>
        </w:rPr>
        <w:t>、存货</w:t>
      </w:r>
      <w:bookmarkEnd w:id="1325"/>
      <w:bookmarkEnd w:id="1326"/>
      <w:bookmarkEnd w:id="132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27"/>
        <w:keepNext/>
        <w:keepLines/>
        <w:widowControl w:val="0"/>
        <w:shd w:val="clear" w:color="auto" w:fill="auto"/>
        <w:bidi w:val="0"/>
        <w:spacing w:before="0" w:after="34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29"/>
      <w:bookmarkEnd w:id="1330"/>
      <w:bookmarkEnd w:id="133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both"/>
            </w:pPr>
            <w:r>
              <w:rPr>
                <w:rFonts w:ascii="SimSun" w:eastAsia="SimSun" w:hAnsi="SimSun" w:cs="SimSun"/>
                <w:color w:val="000000"/>
                <w:spacing w:val="0"/>
                <w:w w:val="100"/>
                <w:position w:val="0"/>
              </w:rPr>
              <w:t>存货跌价准备</w:t>
            </w:r>
          </w:p>
          <w:p>
            <w:pPr>
              <w:pStyle w:val="Style20"/>
              <w:keepNext w:val="0"/>
              <w:keepLines w:val="0"/>
              <w:widowControl w:val="0"/>
              <w:shd w:val="clear" w:color="auto" w:fill="auto"/>
              <w:bidi w:val="0"/>
              <w:spacing w:before="0" w:after="100" w:line="240" w:lineRule="auto"/>
              <w:ind w:left="0" w:right="0" w:firstLine="140"/>
              <w:jc w:val="both"/>
            </w:pPr>
            <w:r>
              <w:rPr>
                <w:rFonts w:ascii="SimSun" w:eastAsia="SimSun" w:hAnsi="SimSun" w:cs="SimSun"/>
                <w:color w:val="000000"/>
                <w:spacing w:val="0"/>
                <w:w w:val="100"/>
                <w:position w:val="0"/>
              </w:rPr>
              <w:t>或合同履约成</w:t>
            </w:r>
          </w:p>
          <w:p>
            <w:pPr>
              <w:pStyle w:val="Style20"/>
              <w:keepNext w:val="0"/>
              <w:keepLines w:val="0"/>
              <w:widowControl w:val="0"/>
              <w:shd w:val="clear" w:color="auto" w:fill="auto"/>
              <w:bidi w:val="0"/>
              <w:spacing w:before="0" w:after="100" w:line="240" w:lineRule="auto"/>
              <w:ind w:left="0" w:right="0" w:firstLine="220"/>
              <w:jc w:val="left"/>
            </w:pPr>
            <w:r>
              <w:rPr>
                <w:rFonts w:ascii="SimSun" w:eastAsia="SimSun" w:hAnsi="SimSun" w:cs="SimSun"/>
                <w:color w:val="000000"/>
                <w:spacing w:val="0"/>
                <w:w w:val="100"/>
                <w:position w:val="0"/>
              </w:rPr>
              <w:t>本减值准备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存货跌价准备</w:t>
            </w:r>
          </w:p>
          <w:p>
            <w:pPr>
              <w:pStyle w:val="Style20"/>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或合同履约成</w:t>
            </w:r>
          </w:p>
          <w:p>
            <w:pPr>
              <w:pStyle w:val="Style20"/>
              <w:keepNext w:val="0"/>
              <w:keepLines w:val="0"/>
              <w:widowControl w:val="0"/>
              <w:shd w:val="clear" w:color="auto" w:fill="auto"/>
              <w:bidi w:val="0"/>
              <w:spacing w:before="0" w:after="100" w:line="240" w:lineRule="auto"/>
              <w:ind w:left="0" w:right="0" w:firstLine="220"/>
              <w:jc w:val="left"/>
            </w:pPr>
            <w:r>
              <w:rPr>
                <w:rFonts w:ascii="SimSun" w:eastAsia="SimSun" w:hAnsi="SimSun" w:cs="SimSun"/>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103,207,966.60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8,387,307.68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94,820,658.92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81,008,671.88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8,599,469.55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72,409,202.33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28,247,069.12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28,247,069.12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29,834,352.80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29,834,352.80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113,016,869.23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7,223,926.75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105,792,942.48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144,302,792.29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2,485,307.67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141,817,484.62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周转材料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198,472.70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198,472.70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374,834.48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374,834.48</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244,670,377.65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15,611,234.43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229,059,143.22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255,520,651.45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11,084,777.22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244,435,874.23</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33"/>
      <w:bookmarkEnd w:id="1334"/>
      <w:bookmarkEnd w:id="13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8,599,469.55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68,803.85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280,965.72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8,387,307.68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2,485,307.67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6,530,461.44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1,791,842.36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7,223,926.75</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11,084,777.22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6,599,265.29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2,072,808.08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15,611,234.43</w:t>
            </w:r>
          </w:p>
        </w:tc>
      </w:tr>
    </w:tbl>
    <w:p>
      <w:pPr>
        <w:widowControl w:val="0"/>
        <w:spacing w:after="339" w:line="1" w:lineRule="exact"/>
      </w:pPr>
    </w:p>
    <w:p>
      <w:pPr>
        <w:pStyle w:val="Style27"/>
        <w:keepNext/>
        <w:keepLines/>
        <w:widowControl w:val="0"/>
        <w:shd w:val="clear" w:color="auto" w:fill="auto"/>
        <w:tabs>
          <w:tab w:pos="498" w:val="left"/>
        </w:tabs>
        <w:bidi w:val="0"/>
        <w:spacing w:before="0" w:after="34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37"/>
      <w:bookmarkEnd w:id="1338"/>
      <w:bookmarkEnd w:id="1340"/>
    </w:p>
    <w:p>
      <w:pPr>
        <w:pStyle w:val="Style27"/>
        <w:keepNext/>
        <w:keepLines/>
        <w:widowControl w:val="0"/>
        <w:shd w:val="clear" w:color="auto" w:fill="auto"/>
        <w:tabs>
          <w:tab w:pos="498" w:val="left"/>
        </w:tabs>
        <w:bidi w:val="0"/>
        <w:spacing w:before="0" w:after="340" w:line="240" w:lineRule="auto"/>
        <w:ind w:left="0" w:right="0" w:firstLine="0"/>
        <w:jc w:val="left"/>
      </w:pPr>
      <w:bookmarkStart w:id="1337" w:name="bookmark1337"/>
      <w:bookmarkStart w:id="1338" w:name="bookmark1338"/>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37"/>
      <w:bookmarkEnd w:id="1338"/>
      <w:bookmarkEnd w:id="1342"/>
    </w:p>
    <w:p>
      <w:pPr>
        <w:pStyle w:val="Style27"/>
        <w:keepNext/>
        <w:keepLines/>
        <w:widowControl w:val="0"/>
        <w:shd w:val="clear" w:color="auto" w:fill="auto"/>
        <w:bidi w:val="0"/>
        <w:spacing w:before="0" w:after="340" w:line="240" w:lineRule="auto"/>
        <w:ind w:left="0" w:right="0" w:firstLine="0"/>
        <w:jc w:val="left"/>
      </w:pPr>
      <w:bookmarkStart w:id="1337" w:name="bookmark1337"/>
      <w:bookmarkStart w:id="1338" w:name="bookmark1338"/>
      <w:bookmarkStart w:id="1343" w:name="bookmark1343"/>
      <w:bookmarkStart w:id="1344" w:name="bookmark1344"/>
      <w:r>
        <w:rPr>
          <w:rFonts w:ascii="Times New Roman" w:eastAsia="Times New Roman" w:hAnsi="Times New Roman" w:cs="Times New Roman"/>
          <w:color w:val="000000"/>
          <w:spacing w:val="0"/>
          <w:w w:val="100"/>
          <w:position w:val="0"/>
        </w:rPr>
        <w:t>1</w:t>
      </w:r>
      <w:bookmarkEnd w:id="1343"/>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37"/>
      <w:bookmarkEnd w:id="1338"/>
      <w:bookmarkEnd w:id="1344"/>
    </w:p>
    <w:p>
      <w:pPr>
        <w:pStyle w:val="Style1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136"/>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本期转销</w:t>
            </w:r>
            <w:r>
              <w:rPr>
                <w:color w:val="000000"/>
                <w:spacing w:val="0"/>
                <w:w w:val="100"/>
                <w:position w:val="0"/>
              </w:rPr>
              <w:t>/</w:t>
            </w:r>
            <w:r>
              <w:rPr>
                <w:rFonts w:ascii="SimSun" w:eastAsia="SimSun" w:hAnsi="SimSun" w:cs="SimSun"/>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1</w:t>
      </w:r>
      <w:bookmarkEnd w:id="1347"/>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45"/>
      <w:bookmarkEnd w:id="1346"/>
      <w:bookmarkEnd w:id="1348"/>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78"/>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预计处置时间</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49"/>
      <w:bookmarkEnd w:id="1350"/>
      <w:bookmarkEnd w:id="135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87"/>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955"/>
        <w:gridCol w:w="960"/>
        <w:gridCol w:w="955"/>
        <w:gridCol w:w="955"/>
        <w:gridCol w:w="955"/>
        <w:gridCol w:w="960"/>
        <w:gridCol w:w="955"/>
        <w:gridCol w:w="96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债权项目</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1</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53"/>
      <w:bookmarkEnd w:id="1354"/>
      <w:bookmarkEnd w:id="13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待抵扣增值税进项税额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10,861,261.71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11,598,657.05</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2,365,789.34</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10,861,261.71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13,964,446.39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both"/>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bookmarkEnd w:id="1359"/>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57"/>
      <w:bookmarkEnd w:id="1358"/>
      <w:bookmarkEnd w:id="13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547"/>
        <w:gridCol w:w="1646"/>
        <w:gridCol w:w="1906"/>
        <w:gridCol w:w="221"/>
        <w:gridCol w:w="2054"/>
        <w:gridCol w:w="1891"/>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tabs>
                <w:tab w:pos="1315" w:val="left"/>
                <w:tab w:pos="2678" w:val="left"/>
              </w:tabs>
              <w:bidi w:val="0"/>
              <w:spacing w:before="0" w:after="0" w:line="240" w:lineRule="auto"/>
              <w:ind w:left="0" w:right="0" w:firstLine="0"/>
              <w:jc w:val="center"/>
            </w:pPr>
            <w:r>
              <w:rPr>
                <w:rFonts w:ascii="SimSun" w:eastAsia="SimSun" w:hAnsi="SimSun" w:cs="SimSun"/>
                <w:color w:val="000000"/>
                <w:spacing w:val="0"/>
                <w:w w:val="100"/>
                <w:position w:val="0"/>
              </w:rPr>
              <w:t>账面余额</w:t>
              <w:tab/>
              <w:t>减值准备</w:t>
              <w:tab/>
              <w:t>账面价值</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tabs>
                <w:tab w:pos="1315" w:val="left"/>
                <w:tab w:pos="2678" w:val="left"/>
              </w:tabs>
              <w:bidi w:val="0"/>
              <w:spacing w:before="0" w:after="0" w:line="240" w:lineRule="auto"/>
              <w:ind w:left="0" w:right="0" w:firstLine="0"/>
              <w:jc w:val="center"/>
            </w:pPr>
            <w:r>
              <w:rPr>
                <w:rFonts w:ascii="SimSun" w:eastAsia="SimSun" w:hAnsi="SimSun" w:cs="SimSun"/>
                <w:color w:val="000000"/>
                <w:spacing w:val="0"/>
                <w:w w:val="100"/>
                <w:position w:val="0"/>
              </w:rPr>
              <w:t>账面余额</w:t>
              <w:tab/>
              <w:t>减值准备</w:t>
              <w:tab/>
              <w:t>账面价值</w:t>
            </w:r>
          </w:p>
        </w:tc>
      </w:tr>
      <w:tr>
        <w:trPr>
          <w:trHeight w:val="754" w:hRule="exact"/>
        </w:trPr>
        <w:tc>
          <w:tcPr>
            <w:gridSpan w:val="7"/>
            <w:tcBorders>
              <w:top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重要的债权投资</w:t>
            </w:r>
          </w:p>
          <w:p>
            <w:pPr>
              <w:pStyle w:val="Style20"/>
              <w:keepNext w:val="0"/>
              <w:keepLines w:val="0"/>
              <w:widowControl w:val="0"/>
              <w:shd w:val="clear" w:color="auto" w:fill="auto"/>
              <w:bidi w:val="0"/>
              <w:spacing w:before="0" w:after="0" w:line="240" w:lineRule="auto"/>
              <w:ind w:left="8920" w:right="0" w:firstLine="0"/>
              <w:jc w:val="left"/>
            </w:pPr>
            <w:r>
              <w:rPr>
                <w:rFonts w:ascii="SimSun" w:eastAsia="SimSun" w:hAnsi="SimSun" w:cs="SimSun"/>
                <w:color w:val="000000"/>
                <w:spacing w:val="0"/>
                <w:w w:val="100"/>
                <w:position w:val="0"/>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债权项目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gridSpan w:val="2"/>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tabs>
                <w:tab w:pos="734" w:val="left"/>
              </w:tabs>
              <w:bidi w:val="0"/>
              <w:spacing w:before="0" w:after="0" w:line="240" w:lineRule="auto"/>
              <w:ind w:left="0" w:right="0" w:firstLine="0"/>
              <w:jc w:val="center"/>
            </w:pPr>
            <w:r>
              <w:rPr>
                <w:rFonts w:ascii="SimSun" w:eastAsia="SimSun" w:hAnsi="SimSun" w:cs="SimSun"/>
                <w:color w:val="000000"/>
                <w:spacing w:val="0"/>
                <w:w w:val="100"/>
                <w:position w:val="0"/>
              </w:rPr>
              <w:t>面值</w:t>
              <w:tab/>
              <w:t>票面利率实际利率 到期日</w:t>
            </w:r>
          </w:p>
        </w:tc>
        <w:tc>
          <w:tcPr>
            <w:tcBorders>
              <w:top w:val="single" w:sz="4"/>
              <w:left w:val="single" w:sz="4"/>
            </w:tcBorders>
            <w:shd w:val="clear" w:color="auto" w:fill="D3D3D3"/>
            <w:vAlign w:val="center"/>
          </w:tcPr>
          <w:p>
            <w:pPr>
              <w:pStyle w:val="Style20"/>
              <w:keepNext w:val="0"/>
              <w:keepLines w:val="0"/>
              <w:widowControl w:val="0"/>
              <w:shd w:val="clear" w:color="auto" w:fill="auto"/>
              <w:tabs>
                <w:tab w:pos="725" w:val="left"/>
              </w:tabs>
              <w:bidi w:val="0"/>
              <w:spacing w:before="0" w:after="0" w:line="240" w:lineRule="auto"/>
              <w:ind w:left="0" w:right="0" w:firstLine="0"/>
              <w:jc w:val="center"/>
            </w:pPr>
            <w:r>
              <w:rPr>
                <w:rFonts w:ascii="SimSun" w:eastAsia="SimSun" w:hAnsi="SimSun" w:cs="SimSun"/>
                <w:color w:val="000000"/>
                <w:spacing w:val="0"/>
                <w:w w:val="100"/>
                <w:position w:val="0"/>
              </w:rPr>
              <w:t>面值</w:t>
              <w:tab/>
              <w:t>票面利率</w:t>
            </w:r>
          </w:p>
        </w:tc>
        <w:tc>
          <w:tcPr>
            <w:tcBorders>
              <w:top w:val="single" w:sz="4"/>
              <w:right w:val="single" w:sz="4"/>
            </w:tcBorders>
            <w:shd w:val="clear" w:color="auto" w:fill="D3D3D3"/>
            <w:vAlign w:val="center"/>
          </w:tcPr>
          <w:p>
            <w:pPr>
              <w:pStyle w:val="Style20"/>
              <w:keepNext w:val="0"/>
              <w:keepLines w:val="0"/>
              <w:widowControl w:val="0"/>
              <w:shd w:val="clear" w:color="auto" w:fill="auto"/>
              <w:tabs>
                <w:tab w:pos="994" w:val="left"/>
              </w:tabs>
              <w:bidi w:val="0"/>
              <w:spacing w:before="0" w:after="0" w:line="240" w:lineRule="auto"/>
              <w:ind w:left="0" w:right="0" w:firstLine="0"/>
              <w:jc w:val="left"/>
            </w:pPr>
            <w:r>
              <w:rPr>
                <w:rFonts w:ascii="SimSun" w:eastAsia="SimSun" w:hAnsi="SimSun" w:cs="SimSun"/>
                <w:color w:val="000000"/>
                <w:spacing w:val="0"/>
                <w:w w:val="100"/>
                <w:position w:val="0"/>
              </w:rPr>
              <w:t>实际利率</w:t>
              <w:tab/>
              <w:t>到期日</w:t>
            </w:r>
          </w:p>
        </w:tc>
      </w:tr>
      <w:tr>
        <w:trPr>
          <w:trHeight w:val="754" w:hRule="exact"/>
        </w:trPr>
        <w:tc>
          <w:tcPr>
            <w:gridSpan w:val="7"/>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减值准备计提情况</w:t>
            </w:r>
          </w:p>
          <w:p>
            <w:pPr>
              <w:pStyle w:val="Style20"/>
              <w:keepNext w:val="0"/>
              <w:keepLines w:val="0"/>
              <w:widowControl w:val="0"/>
              <w:shd w:val="clear" w:color="auto" w:fill="auto"/>
              <w:bidi w:val="0"/>
              <w:spacing w:before="0" w:after="0" w:line="240" w:lineRule="auto"/>
              <w:ind w:left="8920" w:right="0" w:firstLine="0"/>
              <w:jc w:val="left"/>
            </w:pPr>
            <w:r>
              <w:rPr>
                <w:rFonts w:ascii="SimSun" w:eastAsia="SimSun" w:hAnsi="SimSun" w:cs="SimSun"/>
                <w:color w:val="000000"/>
                <w:spacing w:val="0"/>
                <w:w w:val="100"/>
                <w:position w:val="0"/>
              </w:rPr>
              <w:t>单位：元</w:t>
            </w:r>
          </w:p>
        </w:tc>
      </w:tr>
      <w:tr>
        <w:trPr>
          <w:trHeight w:val="398"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1</w:t>
      </w:r>
      <w:bookmarkEnd w:id="1363"/>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61"/>
      <w:bookmarkEnd w:id="1362"/>
      <w:bookmarkEnd w:id="1364"/>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619"/>
        <w:gridCol w:w="413"/>
        <w:gridCol w:w="1037"/>
        <w:gridCol w:w="1032"/>
        <w:gridCol w:w="1032"/>
        <w:gridCol w:w="312"/>
        <w:gridCol w:w="725"/>
        <w:gridCol w:w="1032"/>
        <w:gridCol w:w="1051"/>
        <w:gridCol w:w="1085"/>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应计利息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本期公允 价值变动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累计公允 价值变动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累计在其 他综合收 益中确认 的损失准 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754" w:hRule="exact"/>
        </w:trPr>
        <w:tc>
          <w:tcPr>
            <w:gridSpan w:val="11"/>
            <w:tcBorders>
              <w:top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重要的其他债权投资</w:t>
            </w:r>
          </w:p>
          <w:p>
            <w:pPr>
              <w:pStyle w:val="Style20"/>
              <w:keepNext w:val="0"/>
              <w:keepLines w:val="0"/>
              <w:widowControl w:val="0"/>
              <w:shd w:val="clear" w:color="auto" w:fill="auto"/>
              <w:bidi w:val="0"/>
              <w:spacing w:before="0" w:after="0" w:line="240" w:lineRule="auto"/>
              <w:ind w:left="8920" w:right="0" w:firstLine="0"/>
              <w:jc w:val="left"/>
            </w:pPr>
            <w:r>
              <w:rPr>
                <w:rFonts w:ascii="SimSun" w:eastAsia="SimSun" w:hAnsi="SimSun" w:cs="SimSun"/>
                <w:color w:val="000000"/>
                <w:spacing w:val="0"/>
                <w:w w:val="100"/>
                <w:position w:val="0"/>
              </w:rPr>
              <w:t>单位：元</w:t>
            </w:r>
          </w:p>
        </w:tc>
      </w:tr>
      <w:tr>
        <w:trPr>
          <w:trHeight w:val="398"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其他债权项目</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gridSpan w:val="2"/>
            <w:vMerge/>
            <w:tcBorders>
              <w:left w:val="single" w:sz="4"/>
              <w:bottom w:val="single" w:sz="4"/>
            </w:tcBorders>
            <w:shd w:val="clear" w:color="auto" w:fill="D3D3D3"/>
            <w:vAlign w:val="center"/>
          </w:tcPr>
          <w:p>
            <w:pPr/>
          </w:p>
        </w:tc>
        <w:tc>
          <w:tcPr>
            <w:gridSpan w:val="5"/>
            <w:tcBorders>
              <w:top w:val="single" w:sz="4"/>
              <w:left w:val="single" w:sz="4"/>
              <w:bottom w:val="single" w:sz="4"/>
            </w:tcBorders>
            <w:shd w:val="clear" w:color="auto" w:fill="D3D3D3"/>
            <w:vAlign w:val="center"/>
          </w:tcPr>
          <w:p>
            <w:pPr>
              <w:pStyle w:val="Style20"/>
              <w:keepNext w:val="0"/>
              <w:keepLines w:val="0"/>
              <w:widowControl w:val="0"/>
              <w:shd w:val="clear" w:color="auto" w:fill="auto"/>
              <w:tabs>
                <w:tab w:pos="734" w:val="left"/>
              </w:tabs>
              <w:bidi w:val="0"/>
              <w:spacing w:before="0" w:after="0" w:line="240" w:lineRule="auto"/>
              <w:ind w:left="0" w:right="0" w:firstLine="0"/>
              <w:jc w:val="center"/>
            </w:pPr>
            <w:r>
              <w:rPr>
                <w:rFonts w:ascii="SimSun" w:eastAsia="SimSun" w:hAnsi="SimSun" w:cs="SimSun"/>
                <w:color w:val="000000"/>
                <w:spacing w:val="0"/>
                <w:w w:val="100"/>
                <w:position w:val="0"/>
              </w:rPr>
              <w:t>面值</w:t>
              <w:tab/>
              <w:t>票面利率实际利率 到期日</w:t>
            </w:r>
          </w:p>
        </w:tc>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tabs>
                <w:tab w:pos="734" w:val="left"/>
              </w:tabs>
              <w:bidi w:val="0"/>
              <w:spacing w:before="0" w:after="0" w:line="240" w:lineRule="auto"/>
              <w:ind w:left="0" w:right="0" w:firstLine="0"/>
              <w:jc w:val="right"/>
            </w:pPr>
            <w:r>
              <w:rPr>
                <w:rFonts w:ascii="SimSun" w:eastAsia="SimSun" w:hAnsi="SimSun" w:cs="SimSun"/>
                <w:color w:val="000000"/>
                <w:spacing w:val="0"/>
                <w:w w:val="100"/>
                <w:position w:val="0"/>
              </w:rPr>
              <w:t>面值</w:t>
              <w:tab/>
              <w:t>票面利率实际利率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减值准备计提情况</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46"/>
        <w:gridCol w:w="2102"/>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line="1" w:lineRule="exact"/>
      </w:pPr>
      <w:r>
        <w:br w:type="page"/>
      </w:r>
    </w:p>
    <w:tbl>
      <w:tblPr>
        <w:tblOverlap w:val="never"/>
        <w:jc w:val="center"/>
        <w:tblLayout w:type="fixed"/>
      </w:tblPr>
      <w:tblGrid>
        <w:gridCol w:w="1920"/>
        <w:gridCol w:w="1646"/>
        <w:gridCol w:w="2102"/>
        <w:gridCol w:w="2098"/>
        <w:gridCol w:w="1814"/>
      </w:tblGrid>
      <w:tr>
        <w:trPr>
          <w:trHeight w:val="374"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在本期</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1</w:t>
      </w:r>
      <w:bookmarkEnd w:id="1367"/>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65"/>
      <w:bookmarkEnd w:id="1366"/>
      <w:bookmarkEnd w:id="1368"/>
    </w:p>
    <w:p>
      <w:pPr>
        <w:pStyle w:val="Style27"/>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65"/>
      <w:bookmarkEnd w:id="1366"/>
      <w:bookmarkEnd w:id="137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66"/>
        <w:gridCol w:w="1166"/>
        <w:gridCol w:w="1171"/>
        <w:gridCol w:w="1162"/>
        <w:gridCol w:w="117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46"/>
        <w:gridCol w:w="2102"/>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498" w:val="left"/>
        </w:tabs>
        <w:bidi w:val="0"/>
        <w:spacing w:before="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71"/>
      <w:bookmarkEnd w:id="1372"/>
      <w:bookmarkEnd w:id="1374"/>
    </w:p>
    <w:p>
      <w:pPr>
        <w:pStyle w:val="Style27"/>
        <w:keepNext/>
        <w:keepLines/>
        <w:widowControl w:val="0"/>
        <w:shd w:val="clear" w:color="auto" w:fill="auto"/>
        <w:tabs>
          <w:tab w:pos="498" w:val="left"/>
        </w:tabs>
        <w:bidi w:val="0"/>
        <w:spacing w:before="0" w:line="240" w:lineRule="auto"/>
        <w:ind w:left="0" w:right="0" w:firstLine="0"/>
        <w:jc w:val="left"/>
      </w:pPr>
      <w:bookmarkStart w:id="1371" w:name="bookmark1371"/>
      <w:bookmarkStart w:id="1372" w:name="bookmark1372"/>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71"/>
      <w:bookmarkEnd w:id="1372"/>
      <w:bookmarkEnd w:id="137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bookmarkEnd w:id="137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77"/>
      <w:bookmarkEnd w:id="1378"/>
      <w:bookmarkEnd w:id="13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797"/>
        <w:gridCol w:w="802"/>
        <w:gridCol w:w="797"/>
        <w:gridCol w:w="797"/>
        <w:gridCol w:w="797"/>
        <w:gridCol w:w="802"/>
        <w:gridCol w:w="797"/>
        <w:gridCol w:w="797"/>
        <w:gridCol w:w="797"/>
        <w:gridCol w:w="811"/>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期初余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减值准</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备期末</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合收益</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其他权</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宣告发</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放现金</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股利或</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计提减</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72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上海恒 毓投资</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216,68</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69,206,</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925.76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23,252,</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170,73</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2,650.3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97"/>
        <w:gridCol w:w="797"/>
        <w:gridCol w:w="797"/>
        <w:gridCol w:w="802"/>
        <w:gridCol w:w="797"/>
        <w:gridCol w:w="797"/>
        <w:gridCol w:w="797"/>
        <w:gridCol w:w="802"/>
        <w:gridCol w:w="797"/>
        <w:gridCol w:w="797"/>
        <w:gridCol w:w="797"/>
        <w:gridCol w:w="811"/>
      </w:tblGrid>
      <w:tr>
        <w:trPr>
          <w:trHeight w:val="98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中心</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216,68</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6,984.3</w:t>
            </w:r>
          </w:p>
          <w:p>
            <w:pPr>
              <w:pStyle w:val="Style20"/>
              <w:keepNext w:val="0"/>
              <w:keepLines w:val="0"/>
              <w:widowControl w:val="0"/>
              <w:shd w:val="clear" w:color="auto" w:fill="auto"/>
              <w:bidi w:val="0"/>
              <w:spacing w:before="0" w:after="80" w:line="240" w:lineRule="auto"/>
              <w:ind w:left="0" w:right="0" w:firstLine="60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69,206,</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23,252,</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170,73</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2,650.3</w:t>
            </w:r>
          </w:p>
          <w:p>
            <w:pPr>
              <w:pStyle w:val="Style20"/>
              <w:keepNext w:val="0"/>
              <w:keepLines w:val="0"/>
              <w:widowControl w:val="0"/>
              <w:shd w:val="clear" w:color="auto" w:fill="auto"/>
              <w:bidi w:val="0"/>
              <w:spacing w:before="0" w:after="80" w:line="240" w:lineRule="auto"/>
              <w:ind w:left="0" w:right="0" w:firstLine="600"/>
              <w:jc w:val="lef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216,68</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6,984.3</w:t>
            </w:r>
          </w:p>
          <w:p>
            <w:pPr>
              <w:pStyle w:val="Style20"/>
              <w:keepNext w:val="0"/>
              <w:keepLines w:val="0"/>
              <w:widowControl w:val="0"/>
              <w:shd w:val="clear" w:color="auto" w:fill="auto"/>
              <w:bidi w:val="0"/>
              <w:spacing w:before="0" w:after="80" w:line="240" w:lineRule="auto"/>
              <w:ind w:left="0" w:right="0" w:firstLine="600"/>
              <w:jc w:val="lef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69,206,</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925.76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23,252,</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170,73</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2,650.3</w:t>
            </w:r>
          </w:p>
          <w:p>
            <w:pPr>
              <w:pStyle w:val="Style20"/>
              <w:keepNext w:val="0"/>
              <w:keepLines w:val="0"/>
              <w:widowControl w:val="0"/>
              <w:shd w:val="clear" w:color="auto" w:fill="auto"/>
              <w:bidi w:val="0"/>
              <w:spacing w:before="0" w:after="80" w:line="240" w:lineRule="auto"/>
              <w:ind w:left="0" w:right="0" w:firstLine="600"/>
              <w:jc w:val="left"/>
            </w:pPr>
            <w:r>
              <w:rPr>
                <w:color w:val="000000"/>
                <w:spacing w:val="0"/>
                <w:w w:val="100"/>
                <w:position w:val="0"/>
              </w:rPr>
              <w:t>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bookmarkEnd w:id="1383"/>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81"/>
      <w:bookmarkEnd w:id="1382"/>
      <w:bookmarkEnd w:id="13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南京盛宇涌鑫股权投资中心（有限合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3,000,000.00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江苏丹阳农村商业银行股份有限公司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3,000,000.00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耐思生活环保科技（北京）有限公司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3,000,000.00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6,030,000.00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128"/>
        <w:gridCol w:w="1368"/>
        <w:gridCol w:w="1363"/>
        <w:gridCol w:w="1368"/>
        <w:gridCol w:w="1368"/>
        <w:gridCol w:w="1368"/>
        <w:gridCol w:w="1291"/>
      </w:tblGrid>
      <w:tr>
        <w:trPr>
          <w:trHeight w:val="1632" w:hRule="exact"/>
        </w:trPr>
        <w:tc>
          <w:tcPr>
            <w:tcBorders>
              <w:top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确认的股利收 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其他综合收益</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转入留存收益</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的金额</w:t>
            </w:r>
          </w:p>
        </w:tc>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140"/>
              <w:jc w:val="left"/>
            </w:pPr>
            <w:r>
              <w:rPr>
                <w:rFonts w:ascii="SimSun" w:eastAsia="SimSun" w:hAnsi="SimSun" w:cs="SimSun"/>
                <w:color w:val="000000"/>
                <w:spacing w:val="0"/>
                <w:w w:val="100"/>
                <w:position w:val="0"/>
              </w:rPr>
              <w:t>指定为以公允</w:t>
            </w:r>
          </w:p>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价值计量且其 变动计入其他 综合收益的原 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其他综合收益</w:t>
            </w:r>
          </w:p>
          <w:p>
            <w:pPr>
              <w:pStyle w:val="Style20"/>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转入留存收益</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的原因</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1</w:t>
      </w:r>
      <w:bookmarkEnd w:id="1387"/>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85"/>
      <w:bookmarkEnd w:id="1386"/>
      <w:bookmarkEnd w:id="13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89"/>
      <w:bookmarkEnd w:id="1390"/>
      <w:bookmarkEnd w:id="1392"/>
    </w:p>
    <w:p>
      <w:pPr>
        <w:pStyle w:val="Style27"/>
        <w:keepNext/>
        <w:keepLines/>
        <w:widowControl w:val="0"/>
        <w:shd w:val="clear" w:color="auto" w:fill="auto"/>
        <w:bidi w:val="0"/>
        <w:spacing w:before="0" w:line="240" w:lineRule="auto"/>
        <w:ind w:left="0" w:right="0" w:firstLine="0"/>
        <w:jc w:val="both"/>
      </w:pPr>
      <w:bookmarkStart w:id="1389" w:name="bookmark1389"/>
      <w:bookmarkStart w:id="1390" w:name="bookmark1390"/>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89"/>
      <w:bookmarkEnd w:id="1390"/>
      <w:bookmarkEnd w:id="1394"/>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r>
        <w:br w:type="page"/>
      </w:r>
    </w:p>
    <w:p>
      <w:pPr>
        <w:pStyle w:val="Style27"/>
        <w:keepNext/>
        <w:keepLines/>
        <w:widowControl w:val="0"/>
        <w:shd w:val="clear" w:color="auto" w:fill="auto"/>
        <w:tabs>
          <w:tab w:pos="498" w:val="left"/>
        </w:tabs>
        <w:bidi w:val="0"/>
        <w:spacing w:before="0" w:after="40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95"/>
      <w:bookmarkEnd w:id="1396"/>
      <w:bookmarkEnd w:id="1398"/>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498" w:val="left"/>
        </w:tabs>
        <w:bidi w:val="0"/>
        <w:spacing w:before="0" w:after="40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99"/>
      <w:bookmarkEnd w:id="1400"/>
      <w:bookmarkEnd w:id="140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03"/>
      <w:bookmarkEnd w:id="1404"/>
      <w:bookmarkEnd w:id="14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306,758,374.58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313,581,913.10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306,758,374.58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313,581,913.10</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07"/>
      <w:bookmarkEnd w:id="1408"/>
      <w:bookmarkEnd w:id="141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通用设备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319,406,414.56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395,431,425.66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14,162,967.03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31,212,200.70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760,213,007.95</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10,433,199.86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11,841,673.06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404,258.74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1,104,592.97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23,783,724.63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-1,017,341.59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12,153,684.89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409,049.56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1,149,862.71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12,695,255.57</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 程转入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11,450,541.45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11,450,541.45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74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）外币 报表折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-312,011.83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-4,790.82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-45,269.74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-362,072.39</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858,993.60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152,310.23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3,895,668.62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4,917,972.45</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858,993.60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147,393.13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1,288,151.91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2,305,538.64</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6"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）合并 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2,582,539.81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2,582,539.81</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）外币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4,917.10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24,976.90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29,894.00</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36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报表折算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329,828,614.42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406,414,105.12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14,414,915.54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28,421,125.05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779,078,760.13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92,639,487.83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322,342,271.51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5,684,823.59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25,964,511.92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446,631,094.85</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11,817,450.74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14,888,065.67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1,999,743.70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946,041.93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29,651,302.04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11,817,450.74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15,143,855.34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2,004,078.50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986,872.03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29,952,256.61</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6"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）外币 报表折算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-255,789.67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-40,830.10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-300,954.57</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3,918.60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816,043.92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143,395.27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2,998,653.55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3,962,011.34</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3,918.60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816,043.92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143,395.27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1,255,330.89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2,218,688.68</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6"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）合并 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1,743,322.66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1,743,322.66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）外币 报表折算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104,453,019.97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336,414,293.26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7,541,172.02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23,911,900.30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472,320,385.55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280"/>
              <w:jc w:val="both"/>
            </w:pPr>
            <w:r>
              <w:rPr>
                <w:color w:val="000000"/>
                <w:spacing w:val="0"/>
                <w:w w:val="100"/>
                <w:position w:val="0"/>
              </w:rPr>
              <w:t>1.</w:t>
            </w:r>
            <w:r>
              <w:rPr>
                <w:rFonts w:ascii="SimSun" w:eastAsia="SimSun" w:hAnsi="SimSun" w:cs="SimSun"/>
                <w:color w:val="000000"/>
                <w:spacing w:val="0"/>
                <w:w w:val="100"/>
                <w:position w:val="0"/>
              </w:rPr>
              <w:t>期末账面价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225,375,594.45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69,999,811.86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6,873,743.52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4,509,224.75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306,758,374.58</w:t>
            </w:r>
          </w:p>
        </w:tc>
      </w:tr>
      <w:tr>
        <w:trPr>
          <w:trHeight w:val="720"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26"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226,766,926.73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73,089,154.15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8,478,143.44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5,247,688.78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313,581,913.10</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11"/>
      <w:bookmarkEnd w:id="1412"/>
      <w:bookmarkEnd w:id="141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15"/>
      <w:bookmarkEnd w:id="1416"/>
      <w:bookmarkEnd w:id="141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19"/>
      <w:bookmarkEnd w:id="1420"/>
      <w:bookmarkEnd w:id="14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恒宝智能南京办公用房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31,548,302.19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正在办理</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恒宝润芯上海办公用房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105,627,187.42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正在办理</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23"/>
      <w:bookmarkEnd w:id="1424"/>
      <w:bookmarkEnd w:id="14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2</w:t>
      </w:r>
      <w:bookmarkEnd w:id="1429"/>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27"/>
      <w:bookmarkEnd w:id="1428"/>
      <w:bookmarkEnd w:id="14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1,262,376.23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3,837,623.75</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1,262,376.23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3,837,623.75</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31"/>
      <w:bookmarkEnd w:id="1432"/>
      <w:bookmarkEnd w:id="14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both"/>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恒宝股份办公</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楼装修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1,262,376.23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1,262,376.23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3,837,623.75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3,837,623.75</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1,262,376.23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1,262,376.23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3,837,623.75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3,837,623.75</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35"/>
      <w:bookmarkEnd w:id="1436"/>
      <w:bookmarkEnd w:id="143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44"/>
      </w:tblGrid>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项目</w:t>
            </w:r>
          </w:p>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预算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增加</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160"/>
              <w:jc w:val="left"/>
            </w:pPr>
            <w:r>
              <w:rPr>
                <w:rFonts w:ascii="SimSun" w:eastAsia="SimSun" w:hAnsi="SimSun" w:cs="SimSun"/>
                <w:color w:val="000000"/>
                <w:spacing w:val="0"/>
                <w:w w:val="100"/>
                <w:position w:val="0"/>
              </w:rPr>
              <w:t>本期 转入 固定 资产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6" w:lineRule="exact"/>
              <w:ind w:left="180" w:right="0" w:firstLine="0"/>
              <w:jc w:val="left"/>
            </w:pPr>
            <w:r>
              <w:rPr>
                <w:rFonts w:ascii="SimSun" w:eastAsia="SimSun" w:hAnsi="SimSun" w:cs="SimSun"/>
                <w:color w:val="000000"/>
                <w:spacing w:val="0"/>
                <w:w w:val="100"/>
                <w:position w:val="0"/>
              </w:rPr>
              <w:t>本期 其他 减少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工程</w:t>
            </w:r>
          </w:p>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进度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利息 资本 化累 计金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180" w:right="0" w:firstLine="0"/>
              <w:jc w:val="left"/>
            </w:pPr>
            <w:r>
              <w:rPr>
                <w:rFonts w:ascii="SimSun" w:eastAsia="SimSun" w:hAnsi="SimSun" w:cs="SimSun"/>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资金</w:t>
            </w:r>
          </w:p>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来源</w:t>
            </w:r>
          </w:p>
        </w:tc>
      </w:tr>
      <w:tr>
        <w:trPr>
          <w:trHeight w:val="165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恒宝 股份 办公 楼装 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11,720</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54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3,837,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3,698,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6,273,</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1,262,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64.30</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64.30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33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恒宝 股份 厂房 装修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5,358,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5,177,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center"/>
            </w:pPr>
            <w:r>
              <w:rPr>
                <w:color w:val="000000"/>
                <w:spacing w:val="0"/>
                <w:w w:val="100"/>
                <w:position w:val="0"/>
              </w:rPr>
              <w:t>5,177, 056.78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color w:val="000000"/>
                <w:spacing w:val="0"/>
                <w:w w:val="100"/>
                <w:position w:val="0"/>
              </w:rPr>
              <w:t>96.61</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17,078</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,820.0</w:t>
            </w:r>
          </w:p>
          <w:p>
            <w:pPr>
              <w:pStyle w:val="Style20"/>
              <w:keepNext w:val="0"/>
              <w:keepLines w:val="0"/>
              <w:widowControl w:val="0"/>
              <w:shd w:val="clear" w:color="auto" w:fill="auto"/>
              <w:bidi w:val="0"/>
              <w:spacing w:before="0" w:after="80" w:line="240" w:lineRule="auto"/>
              <w:ind w:left="0" w:right="0" w:firstLine="5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3,837,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623.75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8,875,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293.93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11,450 ,541.4 5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1,262,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376.23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both"/>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39"/>
      <w:bookmarkEnd w:id="1440"/>
      <w:bookmarkEnd w:id="14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43"/>
      <w:bookmarkEnd w:id="1444"/>
      <w:bookmarkEnd w:id="144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25"/>
        <w:gridCol w:w="1195"/>
        <w:gridCol w:w="1200"/>
        <w:gridCol w:w="1195"/>
        <w:gridCol w:w="12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2</w:t>
      </w:r>
      <w:bookmarkEnd w:id="1449"/>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447"/>
      <w:bookmarkEnd w:id="1448"/>
      <w:bookmarkEnd w:id="1450"/>
    </w:p>
    <w:p>
      <w:pPr>
        <w:pStyle w:val="Style27"/>
        <w:keepNext/>
        <w:keepLines/>
        <w:widowControl w:val="0"/>
        <w:shd w:val="clear" w:color="auto" w:fill="auto"/>
        <w:bidi w:val="0"/>
        <w:spacing w:before="0" w:after="380" w:line="240" w:lineRule="auto"/>
        <w:ind w:left="0" w:right="0" w:firstLine="0"/>
        <w:jc w:val="both"/>
      </w:pPr>
      <w:bookmarkStart w:id="1447" w:name="bookmark1447"/>
      <w:bookmarkStart w:id="1448" w:name="bookmark1448"/>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447"/>
      <w:bookmarkEnd w:id="1448"/>
      <w:bookmarkEnd w:id="1452"/>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口适用”不适用</w:t>
      </w:r>
      <w:r>
        <w:br w:type="page"/>
      </w:r>
    </w:p>
    <w:p>
      <w:pPr>
        <w:pStyle w:val="Style27"/>
        <w:keepNext/>
        <w:keepLines/>
        <w:widowControl w:val="0"/>
        <w:numPr>
          <w:ilvl w:val="0"/>
          <w:numId w:val="75"/>
        </w:numPr>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采用公允价值计量模式的生产性生物资产</w:t>
      </w:r>
      <w:bookmarkEnd w:id="1453"/>
      <w:bookmarkEnd w:id="1454"/>
      <w:bookmarkEnd w:id="145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57"/>
      <w:bookmarkEnd w:id="1458"/>
      <w:bookmarkEnd w:id="146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2</w:t>
      </w:r>
      <w:bookmarkEnd w:id="1463"/>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61"/>
      <w:bookmarkEnd w:id="1462"/>
      <w:bookmarkEnd w:id="14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6,399,427.26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6,399,427.26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6,399,427.26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6,399,427.26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962,366.21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962,366.21</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1,532,514.23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1,532,514.23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1,532,514.23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1,532,514.23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2,494,880.44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2,494,880.44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3,904,546.82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3,904,546.82</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5,437,061.05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5,437,061.05</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bookmarkEnd w:id="1467"/>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65"/>
      <w:bookmarkEnd w:id="1466"/>
      <w:bookmarkEnd w:id="1468"/>
    </w:p>
    <w:p>
      <w:pPr>
        <w:pStyle w:val="Style27"/>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65"/>
      <w:bookmarkEnd w:id="1466"/>
      <w:bookmarkEnd w:id="14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计算机软件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专有技术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商标使用权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80" w:line="240" w:lineRule="auto"/>
              <w:ind w:left="0" w:right="0" w:firstLine="420"/>
              <w:jc w:val="left"/>
            </w:pPr>
            <w:r>
              <w:rPr>
                <w:color w:val="000000"/>
                <w:spacing w:val="0"/>
                <w:w w:val="100"/>
                <w:position w:val="0"/>
              </w:rPr>
              <w:t>1.</w:t>
            </w:r>
            <w:r>
              <w:rPr>
                <w:rFonts w:ascii="SimSun" w:eastAsia="SimSun" w:hAnsi="SimSun" w:cs="SimSun"/>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40"/>
              <w:jc w:val="left"/>
            </w:pPr>
            <w:r>
              <w:rPr>
                <w:color w:val="000000"/>
                <w:spacing w:val="0"/>
                <w:w w:val="100"/>
                <w:position w:val="0"/>
              </w:rPr>
              <w:t>30,525,565.7</w:t>
            </w:r>
          </w:p>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40"/>
              <w:jc w:val="both"/>
            </w:pPr>
            <w:r>
              <w:rPr>
                <w:color w:val="000000"/>
                <w:spacing w:val="0"/>
                <w:w w:val="100"/>
                <w:position w:val="0"/>
              </w:rPr>
              <w:t>91,744,824.3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right"/>
            </w:pPr>
            <w:r>
              <w:rPr>
                <w:color w:val="000000"/>
                <w:spacing w:val="0"/>
                <w:w w:val="100"/>
                <w:position w:val="0"/>
              </w:rPr>
              <w:t>134,478,000.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40"/>
              <w:jc w:val="both"/>
            </w:pPr>
            <w:r>
              <w:rPr>
                <w:color w:val="000000"/>
                <w:spacing w:val="0"/>
                <w:w w:val="100"/>
                <w:position w:val="0"/>
              </w:rPr>
              <w:t>20,000,000.0</w:t>
            </w:r>
          </w:p>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40"/>
              <w:jc w:val="both"/>
            </w:pPr>
            <w:r>
              <w:rPr>
                <w:color w:val="000000"/>
                <w:spacing w:val="0"/>
                <w:w w:val="100"/>
                <w:position w:val="0"/>
              </w:rPr>
              <w:t>276,748,390.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80" w:line="240" w:lineRule="auto"/>
              <w:ind w:left="0" w:right="0" w:firstLine="420"/>
              <w:jc w:val="left"/>
            </w:pPr>
            <w:r>
              <w:rPr>
                <w:color w:val="000000"/>
                <w:spacing w:val="0"/>
                <w:w w:val="100"/>
                <w:position w:val="0"/>
              </w:rPr>
              <w:t>2.</w:t>
            </w:r>
            <w:r>
              <w:rPr>
                <w:rFonts w:ascii="SimSun" w:eastAsia="SimSun" w:hAnsi="SimSun" w:cs="SimSun"/>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103,486.73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103,486.73</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103,486.73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103,486.73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280"/>
              <w:jc w:val="left"/>
            </w:pPr>
            <w:r>
              <w:rPr>
                <w:color w:val="000000"/>
                <w:spacing w:val="0"/>
                <w:w w:val="100"/>
                <w:position w:val="0"/>
              </w:rPr>
              <w:t>3.</w:t>
            </w:r>
            <w:r>
              <w:rPr>
                <w:rFonts w:ascii="SimSun" w:eastAsia="SimSun" w:hAnsi="SimSun" w:cs="SimSun"/>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right"/>
            </w:pPr>
            <w:r>
              <w:rPr>
                <w:color w:val="000000"/>
                <w:spacing w:val="0"/>
                <w:w w:val="100"/>
                <w:position w:val="0"/>
              </w:rPr>
              <w:t>134,000,000.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40"/>
              <w:jc w:val="both"/>
            </w:pPr>
            <w:r>
              <w:rPr>
                <w:color w:val="000000"/>
                <w:spacing w:val="0"/>
                <w:w w:val="100"/>
                <w:position w:val="0"/>
              </w:rPr>
              <w:t>20,000,000.0</w:t>
            </w:r>
          </w:p>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40"/>
              <w:jc w:val="both"/>
            </w:pPr>
            <w:r>
              <w:rPr>
                <w:color w:val="000000"/>
                <w:spacing w:val="0"/>
                <w:w w:val="100"/>
                <w:position w:val="0"/>
              </w:rPr>
              <w:t>154,000,000.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）合并范 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134,000,000.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20,000,000.0</w:t>
            </w:r>
          </w:p>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154,000,000.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6" w:lineRule="exact"/>
              <w:ind w:left="0" w:right="0" w:firstLine="460"/>
              <w:jc w:val="left"/>
            </w:pPr>
            <w:r>
              <w:rPr>
                <w:color w:val="000000"/>
                <w:spacing w:val="0"/>
                <w:w w:val="100"/>
                <w:position w:val="0"/>
              </w:rPr>
              <w:t>4.</w:t>
            </w:r>
            <w:r>
              <w:rPr>
                <w:rFonts w:ascii="SimSun" w:eastAsia="SimSun" w:hAnsi="SimSun" w:cs="SimSun"/>
                <w:color w:val="000000"/>
                <w:spacing w:val="0"/>
                <w:w w:val="100"/>
                <w:position w:val="0"/>
              </w:rPr>
              <w:t>期末 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30,525,565.7</w:t>
            </w:r>
          </w:p>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91,848,311.0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122,851,876.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420"/>
              <w:jc w:val="left"/>
            </w:pPr>
            <w:r>
              <w:rPr>
                <w:color w:val="000000"/>
                <w:spacing w:val="0"/>
                <w:w w:val="100"/>
                <w:position w:val="0"/>
              </w:rPr>
              <w:t>1.</w:t>
            </w:r>
            <w:r>
              <w:rPr>
                <w:rFonts w:ascii="SimSun" w:eastAsia="SimSun" w:hAnsi="SimSun" w:cs="SimSun"/>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8,067,390.79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42,538,526.9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74,178,000.0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20,000,000.0</w:t>
            </w:r>
          </w:p>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144,783,917.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rFonts w:ascii="SimSun" w:eastAsia="SimSun" w:hAnsi="SimSun" w:cs="SimSun"/>
                <w:color w:val="000000"/>
                <w:spacing w:val="0"/>
                <w:w w:val="100"/>
                <w:position w:val="0"/>
              </w:rPr>
              <w:t>本期</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624,664.00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3,524,585.59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4,149,249.59</w:t>
            </w:r>
          </w:p>
        </w:tc>
      </w:tr>
    </w:tbl>
    <w:p>
      <w:pPr>
        <w:widowControl w:val="0"/>
        <w:spacing w:line="1" w:lineRule="exact"/>
      </w:pPr>
      <w:r>
        <w:br w:type="page"/>
      </w:r>
    </w:p>
    <w:tbl>
      <w:tblPr>
        <w:tblOverlap w:val="never"/>
        <w:jc w:val="center"/>
        <w:tblLayout w:type="fixed"/>
      </w:tblPr>
      <w:tblGrid>
        <w:gridCol w:w="1200"/>
        <w:gridCol w:w="1195"/>
        <w:gridCol w:w="1195"/>
        <w:gridCol w:w="1195"/>
        <w:gridCol w:w="1195"/>
        <w:gridCol w:w="1200"/>
        <w:gridCol w:w="1195"/>
        <w:gridCol w:w="1205"/>
      </w:tblGrid>
      <w:tr>
        <w:trPr>
          <w:trHeight w:val="36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 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624,664.00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3,524,585.59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4,149,249.59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3.</w:t>
            </w:r>
            <w:r>
              <w:rPr>
                <w:rFonts w:ascii="SimSun" w:eastAsia="SimSun" w:hAnsi="SimSun" w:cs="SimSun"/>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73,700,000.0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20,000,000.0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93,700,000.0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）合并范 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73,700,000.0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20,000,000.0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93,700,000.0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460"/>
              <w:jc w:val="left"/>
            </w:pPr>
            <w:r>
              <w:rPr>
                <w:color w:val="000000"/>
                <w:spacing w:val="0"/>
                <w:w w:val="100"/>
                <w:position w:val="0"/>
              </w:rPr>
              <w:t>4.</w:t>
            </w:r>
            <w:r>
              <w:rPr>
                <w:rFonts w:ascii="SimSun" w:eastAsia="SimSun" w:hAnsi="SimSun" w:cs="SimSun"/>
                <w:color w:val="000000"/>
                <w:spacing w:val="0"/>
                <w:w w:val="100"/>
                <w:position w:val="0"/>
              </w:rPr>
              <w:t>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8,692,054.79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46,063,112.5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55,233,167.3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27,998,988.0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56,198,300.0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84,197,288.0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460"/>
              <w:jc w:val="left"/>
            </w:pPr>
            <w:r>
              <w:rPr>
                <w:color w:val="000000"/>
                <w:spacing w:val="0"/>
                <w:w w:val="100"/>
                <w:position w:val="0"/>
              </w:rPr>
              <w:t>3.</w:t>
            </w:r>
            <w:r>
              <w:rPr>
                <w:rFonts w:ascii="SimSun" w:eastAsia="SimSun" w:hAnsi="SimSun" w:cs="SimSun"/>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56,198,300.0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56,198,300.0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9" w:lineRule="exact"/>
              <w:ind w:left="0" w:right="0" w:firstLine="6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 合并范围变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56,198,300.0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56,198,300.0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6" w:lineRule="exact"/>
              <w:ind w:left="0" w:right="0" w:firstLine="460"/>
              <w:jc w:val="left"/>
            </w:pPr>
            <w:r>
              <w:rPr>
                <w:color w:val="000000"/>
                <w:spacing w:val="0"/>
                <w:w w:val="100"/>
                <w:position w:val="0"/>
              </w:rPr>
              <w:t>4.</w:t>
            </w:r>
            <w:r>
              <w:rPr>
                <w:rFonts w:ascii="SimSun" w:eastAsia="SimSun" w:hAnsi="SimSun" w:cs="SimSun"/>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40"/>
              <w:jc w:val="both"/>
            </w:pPr>
            <w:r>
              <w:rPr>
                <w:color w:val="000000"/>
                <w:spacing w:val="0"/>
                <w:w w:val="100"/>
                <w:position w:val="0"/>
              </w:rPr>
              <w:t>27,998,988.0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both"/>
            </w:pPr>
            <w:r>
              <w:rPr>
                <w:color w:val="000000"/>
                <w:spacing w:val="0"/>
                <w:w w:val="100"/>
                <w:position w:val="0"/>
              </w:rPr>
              <w:t>27,998,988.0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四、账面价</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8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40"/>
              <w:jc w:val="left"/>
            </w:pPr>
            <w:r>
              <w:rPr>
                <w:color w:val="000000"/>
                <w:spacing w:val="0"/>
                <w:w w:val="100"/>
                <w:position w:val="0"/>
              </w:rPr>
              <w:t>21,833,510.9</w:t>
            </w:r>
          </w:p>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40"/>
              <w:jc w:val="both"/>
            </w:pPr>
            <w:r>
              <w:rPr>
                <w:color w:val="000000"/>
                <w:spacing w:val="0"/>
                <w:w w:val="100"/>
                <w:position w:val="0"/>
              </w:rPr>
              <w:t>17,786,210.5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both"/>
            </w:pPr>
            <w:r>
              <w:rPr>
                <w:color w:val="000000"/>
                <w:spacing w:val="0"/>
                <w:w w:val="100"/>
                <w:position w:val="0"/>
              </w:rPr>
              <w:t>39,619,721.5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22,458,174.9</w:t>
            </w:r>
          </w:p>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21,207,309.4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4,101,700.00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47,767,184.3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br w:type="page"/>
      </w:r>
    </w:p>
    <w:p>
      <w:pPr>
        <w:pStyle w:val="Style27"/>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71"/>
      <w:bookmarkEnd w:id="1472"/>
      <w:bookmarkEnd w:id="147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2</w:t>
      </w:r>
      <w:bookmarkEnd w:id="1477"/>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75"/>
      <w:bookmarkEnd w:id="1476"/>
      <w:bookmarkEnd w:id="14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内部开发 支出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确认为无 形资产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转入当期</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bookmarkEnd w:id="1481"/>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79"/>
      <w:bookmarkEnd w:id="1480"/>
      <w:bookmarkEnd w:id="1482"/>
    </w:p>
    <w:p>
      <w:pPr>
        <w:pStyle w:val="Style27"/>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79"/>
      <w:bookmarkEnd w:id="1480"/>
      <w:bookmarkEnd w:id="14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被投资单位名</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称或形成商誉</w:t>
            </w:r>
          </w:p>
          <w:p>
            <w:pPr>
              <w:pStyle w:val="Style20"/>
              <w:keepNext w:val="0"/>
              <w:keepLines w:val="0"/>
              <w:widowControl w:val="0"/>
              <w:shd w:val="clear" w:color="auto" w:fill="auto"/>
              <w:bidi w:val="0"/>
              <w:spacing w:before="0" w:after="100" w:line="240" w:lineRule="auto"/>
              <w:ind w:left="0" w:right="0" w:firstLine="400"/>
              <w:jc w:val="left"/>
            </w:pPr>
            <w:r>
              <w:rPr>
                <w:rFonts w:ascii="SimSun" w:eastAsia="SimSun" w:hAnsi="SimSun" w:cs="SimSun"/>
                <w:color w:val="000000"/>
                <w:spacing w:val="0"/>
                <w:w w:val="100"/>
                <w:position w:val="0"/>
              </w:rPr>
              <w:t>的事项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合并范围变化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北京东方英卡 数字信息技术 有限公司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11,137,414.67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11,137,414.67</w:t>
            </w:r>
          </w:p>
        </w:tc>
      </w:tr>
      <w:tr>
        <w:trPr>
          <w:trHeight w:val="102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深圳一卡易科 技股份有限公</w:t>
            </w:r>
          </w:p>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70,835,809.00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70,835,809.00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收购马来西亚</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境内两家子公</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4,425,017.47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4,425,017.47</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86,398,241.14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70,835,809.00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15,562,432.14</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rPr>
        <w:t>（</w:t>
      </w:r>
      <w:bookmarkEnd w:id="1487"/>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85"/>
      <w:bookmarkEnd w:id="1486"/>
      <w:bookmarkEnd w:id="14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被投资单位名</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称或形成商誉</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合并范围变化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68"/>
        <w:gridCol w:w="1368"/>
        <w:gridCol w:w="1368"/>
        <w:gridCol w:w="1368"/>
        <w:gridCol w:w="1363"/>
        <w:gridCol w:w="1368"/>
        <w:gridCol w:w="1378"/>
      </w:tblGrid>
      <w:tr>
        <w:trPr>
          <w:trHeight w:val="36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的事项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北京东方英卡 数字信息技术 有限公司</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11,137,414.67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11,137,414.67</w:t>
            </w:r>
          </w:p>
        </w:tc>
      </w:tr>
      <w:tr>
        <w:trPr>
          <w:trHeight w:val="10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深圳一卡易科 技股份有限公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70,835,809.00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70,835,809.00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马来西亚境内</w:t>
            </w:r>
          </w:p>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两家子公司</w:t>
            </w:r>
            <w:r>
              <w:rPr>
                <w:color w:val="000000"/>
                <w:spacing w:val="0"/>
                <w:w w:val="100"/>
                <w:position w:val="0"/>
              </w:rPr>
              <w:t>［</w:t>
            </w:r>
            <w:r>
              <w:rPr>
                <w:rFonts w:ascii="SimSun" w:eastAsia="SimSun" w:hAnsi="SimSun" w:cs="SimSun"/>
                <w:color w:val="000000"/>
                <w:spacing w:val="0"/>
                <w:w w:val="100"/>
                <w:position w:val="0"/>
              </w:rPr>
              <w:t>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4,425,017.47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4,425,017.47</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81,973,223.67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4,425,017.47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70,835,809.00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15,562,432.14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注1：公司于2010年以人民币</w:t>
      </w:r>
      <w:r>
        <w:rPr>
          <w:color w:val="000000"/>
          <w:spacing w:val="0"/>
          <w:w w:val="100"/>
          <w:position w:val="0"/>
        </w:rPr>
        <w:t>26,000,000.0</w:t>
      </w:r>
      <w:r>
        <w:rPr>
          <w:color w:val="000000"/>
          <w:spacing w:val="0"/>
          <w:w w:val="100"/>
          <w:position w:val="0"/>
        </w:rPr>
        <w:t>0元收购东方英卡100%股权，收购价格与可辨认净资产公允价值份额的差额人 民币</w:t>
      </w:r>
      <w:r>
        <w:rPr>
          <w:color w:val="000000"/>
          <w:spacing w:val="0"/>
          <w:w w:val="100"/>
          <w:position w:val="0"/>
        </w:rPr>
        <w:t>11,137,414.6</w:t>
      </w:r>
      <w:r>
        <w:rPr>
          <w:color w:val="000000"/>
          <w:spacing w:val="0"/>
          <w:w w:val="100"/>
          <w:position w:val="0"/>
        </w:rPr>
        <w:t>7元确认为商誉。</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注2：公司于2015年以人民币</w:t>
      </w:r>
      <w:r>
        <w:rPr>
          <w:color w:val="000000"/>
          <w:spacing w:val="0"/>
          <w:w w:val="100"/>
          <w:position w:val="0"/>
        </w:rPr>
        <w:t>136,980,000.00</w:t>
      </w:r>
      <w:r>
        <w:rPr>
          <w:color w:val="000000"/>
          <w:spacing w:val="0"/>
          <w:w w:val="100"/>
          <w:position w:val="0"/>
        </w:rPr>
        <w:t>元收购一"易股份45.66%股权，收购价格与可辨认净资产公允价值份额的 差额人民币</w:t>
      </w:r>
      <w:r>
        <w:rPr>
          <w:color w:val="000000"/>
          <w:spacing w:val="0"/>
          <w:w w:val="100"/>
          <w:position w:val="0"/>
        </w:rPr>
        <w:t>70,835,809.00</w:t>
      </w:r>
      <w:r>
        <w:rPr>
          <w:color w:val="000000"/>
          <w:spacing w:val="0"/>
          <w:w w:val="100"/>
          <w:position w:val="0"/>
        </w:rPr>
        <w:t>元确认为商誉，2021年一卡易股份不再纳入企业合并范围。</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注3：公司之下属子公司恒宝国际有限责任公司于2019年以一揽子交易方式收购马来西亚境内</w:t>
      </w:r>
      <w:r>
        <w:rPr>
          <w:color w:val="000000"/>
          <w:spacing w:val="0"/>
          <w:w w:val="100"/>
          <w:position w:val="0"/>
        </w:rPr>
        <w:t>MOD</w:t>
      </w:r>
      <w:r>
        <w:rPr>
          <w:color w:val="000000"/>
          <w:spacing w:val="0"/>
          <w:w w:val="100"/>
          <w:position w:val="0"/>
        </w:rPr>
        <w:t>和</w:t>
      </w:r>
      <w:r>
        <w:rPr>
          <w:color w:val="000000"/>
          <w:spacing w:val="0"/>
          <w:w w:val="100"/>
          <w:position w:val="0"/>
        </w:rPr>
        <w:t>ASCC100%</w:t>
      </w:r>
      <w:r>
        <w:rPr>
          <w:color w:val="000000"/>
          <w:spacing w:val="0"/>
          <w:w w:val="100"/>
          <w:position w:val="0"/>
        </w:rPr>
        <w:t>股权，收购 价格</w:t>
      </w:r>
      <w:r>
        <w:rPr>
          <w:color w:val="000000"/>
          <w:spacing w:val="0"/>
          <w:w w:val="100"/>
          <w:position w:val="0"/>
        </w:rPr>
        <w:t>455,498.65</w:t>
      </w:r>
      <w:r>
        <w:rPr>
          <w:color w:val="000000"/>
          <w:spacing w:val="0"/>
          <w:w w:val="100"/>
          <w:position w:val="0"/>
        </w:rPr>
        <w:t>美元（折人民币</w:t>
      </w:r>
      <w:r>
        <w:rPr>
          <w:color w:val="000000"/>
          <w:spacing w:val="0"/>
          <w:w w:val="100"/>
          <w:position w:val="0"/>
        </w:rPr>
        <w:t>3,052,979.70</w:t>
      </w:r>
      <w:r>
        <w:rPr>
          <w:color w:val="000000"/>
          <w:spacing w:val="0"/>
          <w:w w:val="100"/>
          <w:position w:val="0"/>
        </w:rPr>
        <w:t>元）。收购价格与可辨认净资产公允价值份额的差额</w:t>
      </w:r>
      <w:r>
        <w:rPr>
          <w:color w:val="000000"/>
          <w:spacing w:val="0"/>
          <w:w w:val="100"/>
          <w:position w:val="0"/>
        </w:rPr>
        <w:t>634,301.98</w:t>
      </w:r>
      <w:r>
        <w:rPr>
          <w:color w:val="000000"/>
          <w:spacing w:val="0"/>
          <w:w w:val="100"/>
          <w:position w:val="0"/>
        </w:rPr>
        <w:t>美元（折人民 币</w:t>
      </w:r>
      <w:r>
        <w:rPr>
          <w:color w:val="000000"/>
          <w:spacing w:val="0"/>
          <w:w w:val="100"/>
          <w:position w:val="0"/>
        </w:rPr>
        <w:t>4,425,017.47</w:t>
      </w:r>
      <w:r>
        <w:rPr>
          <w:color w:val="000000"/>
          <w:spacing w:val="0"/>
          <w:w w:val="100"/>
          <w:position w:val="0"/>
        </w:rPr>
        <w:t>元）确认为商誉。</w:t>
      </w:r>
    </w:p>
    <w:p>
      <w:pPr>
        <w:pStyle w:val="Style18"/>
        <w:keepNext w:val="0"/>
        <w:keepLines w:val="0"/>
        <w:widowControl w:val="0"/>
        <w:shd w:val="clear" w:color="auto" w:fill="auto"/>
        <w:bidi w:val="0"/>
        <w:spacing w:before="0" w:after="0" w:line="326" w:lineRule="exact"/>
        <w:ind w:left="0" w:right="0"/>
        <w:jc w:val="both"/>
      </w:pPr>
      <w:r>
        <w:rPr>
          <w:color w:val="000000"/>
          <w:spacing w:val="0"/>
          <w:w w:val="100"/>
          <w:position w:val="0"/>
        </w:rPr>
        <w:t>注4：公司根据以往对东方英卡构成的整体资产组进行测试的结果，于</w:t>
      </w:r>
      <w:r>
        <w:rPr>
          <w:rFonts w:ascii="Times New Roman" w:eastAsia="Times New Roman" w:hAnsi="Times New Roman" w:cs="Times New Roman"/>
          <w:color w:val="000000"/>
          <w:spacing w:val="0"/>
          <w:w w:val="100"/>
          <w:position w:val="0"/>
        </w:rPr>
        <w:t>2012</w:t>
      </w:r>
      <w:r>
        <w:rPr>
          <w:color w:val="000000"/>
          <w:spacing w:val="0"/>
          <w:w w:val="100"/>
          <w:position w:val="0"/>
        </w:rPr>
        <w:t>年度对收购东方英卡产生的商誉全额计提减 值准备，公司预计未来东方英卡仍持续亏损，故已计提的商誉减值准备在本期不存在价值回升的情况。</w:t>
      </w:r>
    </w:p>
    <w:p>
      <w:pPr>
        <w:pStyle w:val="Style18"/>
        <w:keepNext w:val="0"/>
        <w:keepLines w:val="0"/>
        <w:widowControl w:val="0"/>
        <w:shd w:val="clear" w:color="auto" w:fill="auto"/>
        <w:bidi w:val="0"/>
        <w:spacing w:before="0" w:after="720" w:line="326" w:lineRule="exact"/>
        <w:ind w:left="0" w:right="0"/>
        <w:jc w:val="both"/>
      </w:pPr>
      <w:r>
        <w:rPr>
          <w:color w:val="000000"/>
          <w:spacing w:val="0"/>
          <w:w w:val="100"/>
          <w:position w:val="0"/>
        </w:rPr>
        <w:t>注5：公司根据以往对马来西亚境内两家孙公司构成的整体资产组进行测试的结果，本期对收购马来西亚境内两家孙公 司产生的商誉全额计提减值准备。</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8"/>
        <w:keepNext w:val="0"/>
        <w:keepLines w:val="0"/>
        <w:widowControl w:val="0"/>
        <w:shd w:val="clear" w:color="auto" w:fill="auto"/>
        <w:bidi w:val="0"/>
        <w:spacing w:before="0" w:after="140" w:line="317" w:lineRule="exact"/>
        <w:ind w:left="0" w:right="0"/>
        <w:jc w:val="left"/>
      </w:pPr>
      <w:r>
        <w:rPr>
          <w:color w:val="000000"/>
          <w:spacing w:val="0"/>
          <w:w w:val="100"/>
          <w:position w:val="0"/>
        </w:rPr>
        <w:t>（3）MOD&amp;ASCC</w:t>
      </w:r>
      <w:r>
        <w:rPr>
          <w:color w:val="000000"/>
          <w:spacing w:val="0"/>
          <w:w w:val="100"/>
          <w:position w:val="0"/>
        </w:rPr>
        <w:t>商誉减值测试</w:t>
      </w:r>
    </w:p>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①减值测试过程</w:t>
      </w:r>
    </w:p>
    <w:tbl>
      <w:tblPr>
        <w:tblOverlap w:val="never"/>
        <w:jc w:val="left"/>
        <w:tblLayout w:type="fixed"/>
      </w:tblPr>
      <w:tblGrid>
        <w:gridCol w:w="5213"/>
        <w:gridCol w:w="3725"/>
      </w:tblGrid>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不含商誉的资产组账面价值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20" w:right="0" w:firstLine="0"/>
              <w:jc w:val="both"/>
            </w:pPr>
            <w:r>
              <w:rPr>
                <w:rFonts w:ascii="SimSun" w:eastAsia="SimSun" w:hAnsi="SimSun" w:cs="SimSun"/>
                <w:color w:val="000000"/>
                <w:spacing w:val="0"/>
                <w:w w:val="100"/>
                <w:position w:val="0"/>
              </w:rPr>
              <w:t>1,039,900.00</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包含整体商誉的资产组账面价值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20" w:right="0" w:firstLine="0"/>
              <w:jc w:val="both"/>
            </w:pPr>
            <w:r>
              <w:rPr>
                <w:rFonts w:ascii="SimSun" w:eastAsia="SimSun" w:hAnsi="SimSun" w:cs="SimSun"/>
                <w:color w:val="000000"/>
                <w:spacing w:val="0"/>
                <w:w w:val="100"/>
                <w:position w:val="0"/>
              </w:rPr>
              <w:t>5,464,917.47</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未来可收回金额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20" w:right="0" w:firstLine="0"/>
              <w:jc w:val="both"/>
            </w:pPr>
            <w:r>
              <w:rPr>
                <w:rFonts w:ascii="SimSun" w:eastAsia="SimSun" w:hAnsi="SimSun" w:cs="SimSun"/>
                <w:color w:val="000000"/>
                <w:spacing w:val="0"/>
                <w:w w:val="100"/>
                <w:position w:val="0"/>
              </w:rPr>
              <w:t>1,039,500.00</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商誉减值损失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20" w:right="0" w:firstLine="0"/>
              <w:jc w:val="both"/>
            </w:pPr>
            <w:r>
              <w:rPr>
                <w:rFonts w:ascii="SimSun" w:eastAsia="SimSun" w:hAnsi="SimSun" w:cs="SimSun"/>
                <w:color w:val="000000"/>
                <w:spacing w:val="0"/>
                <w:w w:val="100"/>
                <w:position w:val="0"/>
              </w:rPr>
              <w:t>4,425,017.47</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归属于母公司的商誉减值金额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20" w:right="0" w:firstLine="0"/>
              <w:jc w:val="both"/>
            </w:pPr>
            <w:r>
              <w:rPr>
                <w:rFonts w:ascii="SimSun" w:eastAsia="SimSun" w:hAnsi="SimSun" w:cs="SimSun"/>
                <w:color w:val="000000"/>
                <w:spacing w:val="0"/>
                <w:w w:val="100"/>
                <w:position w:val="0"/>
              </w:rPr>
              <w:t>4,425,017.47</w:t>
            </w:r>
          </w:p>
        </w:tc>
      </w:tr>
    </w:tbl>
    <w:p>
      <w:pPr>
        <w:widowControl w:val="0"/>
        <w:spacing w:after="319" w:line="1" w:lineRule="exact"/>
      </w:pPr>
    </w:p>
    <w:p>
      <w:pPr>
        <w:pStyle w:val="Style18"/>
        <w:keepNext w:val="0"/>
        <w:keepLines w:val="0"/>
        <w:widowControl w:val="0"/>
        <w:numPr>
          <w:ilvl w:val="0"/>
          <w:numId w:val="77"/>
        </w:numPr>
        <w:shd w:val="clear" w:color="auto" w:fill="auto"/>
        <w:tabs>
          <w:tab w:pos="697" w:val="left"/>
        </w:tabs>
        <w:bidi w:val="0"/>
        <w:spacing w:before="0" w:after="0" w:line="317" w:lineRule="exact"/>
        <w:ind w:left="0" w:right="0"/>
        <w:jc w:val="both"/>
      </w:pPr>
      <w:bookmarkStart w:id="1489" w:name="bookmark1489"/>
      <w:bookmarkEnd w:id="1489"/>
      <w:r>
        <w:rPr>
          <w:color w:val="000000"/>
          <w:spacing w:val="0"/>
          <w:w w:val="100"/>
          <w:position w:val="0"/>
        </w:rPr>
        <w:t>进行商誉减值测试时，公司将相关资产组（含商誉）的账面价值与其未来可收回金额进行比较，如果可收回金额低于 账面价值，相关差额计入当期损益。</w:t>
      </w:r>
    </w:p>
    <w:p>
      <w:pPr>
        <w:pStyle w:val="Style18"/>
        <w:keepNext w:val="0"/>
        <w:keepLines w:val="0"/>
        <w:widowControl w:val="0"/>
        <w:numPr>
          <w:ilvl w:val="0"/>
          <w:numId w:val="77"/>
        </w:numPr>
        <w:shd w:val="clear" w:color="auto" w:fill="auto"/>
        <w:tabs>
          <w:tab w:pos="722" w:val="left"/>
        </w:tabs>
        <w:bidi w:val="0"/>
        <w:spacing w:before="0" w:after="0" w:line="317" w:lineRule="exact"/>
        <w:ind w:left="0" w:right="0"/>
        <w:jc w:val="both"/>
        <w:sectPr>
          <w:footnotePr>
            <w:pos w:val="pageBottom"/>
            <w:numFmt w:val="decimal"/>
            <w:numRestart w:val="continuous"/>
          </w:footnotePr>
          <w:pgSz w:w="11900" w:h="16840"/>
          <w:pgMar w:top="1369" w:right="1060" w:bottom="1455" w:left="1063" w:header="0" w:footer="3" w:gutter="0"/>
          <w:cols w:space="720"/>
          <w:noEndnote/>
          <w:rtlGutter w:val="0"/>
          <w:docGrid w:linePitch="360"/>
        </w:sectPr>
      </w:pPr>
      <w:bookmarkStart w:id="1490" w:name="bookmark1490"/>
      <w:bookmarkEnd w:id="1490"/>
      <w:r>
        <w:rPr>
          <w:color w:val="000000"/>
          <w:spacing w:val="0"/>
          <w:w w:val="100"/>
          <w:position w:val="0"/>
        </w:rPr>
        <w:t>公司聘请北京北方亚事资产评估事务所（特殊普通合伙）出具北方亚事评报字</w:t>
      </w:r>
      <w:r>
        <w:rPr>
          <w:color w:val="000000"/>
          <w:spacing w:val="0"/>
          <w:w w:val="100"/>
          <w:position w:val="0"/>
        </w:rPr>
        <w:t>［2022</w:t>
      </w:r>
      <w:r>
        <w:rPr>
          <w:color w:val="000000"/>
          <w:spacing w:val="0"/>
          <w:w w:val="100"/>
          <w:position w:val="0"/>
        </w:rPr>
        <w:t>］第</w:t>
      </w:r>
      <w:r>
        <w:rPr>
          <w:color w:val="000000"/>
          <w:spacing w:val="0"/>
          <w:w w:val="100"/>
          <w:position w:val="0"/>
        </w:rPr>
        <w:t>01-395</w:t>
      </w:r>
      <w:r>
        <w:rPr>
          <w:color w:val="000000"/>
          <w:spacing w:val="0"/>
          <w:w w:val="100"/>
          <w:position w:val="0"/>
        </w:rPr>
        <w:t>号评估报告对</w:t>
      </w:r>
      <w:r>
        <w:rPr>
          <w:color w:val="000000"/>
          <w:spacing w:val="0"/>
          <w:w w:val="100"/>
          <w:position w:val="0"/>
        </w:rPr>
        <w:t>MOD&amp;ASCC</w:t>
      </w:r>
    </w:p>
    <w:p>
      <w:pPr>
        <w:pStyle w:val="Style18"/>
        <w:keepNext w:val="0"/>
        <w:keepLines w:val="0"/>
        <w:widowControl w:val="0"/>
        <w:shd w:val="clear" w:color="auto" w:fill="auto"/>
        <w:bidi w:val="0"/>
        <w:spacing w:before="300" w:after="60" w:line="312" w:lineRule="exact"/>
        <w:ind w:left="0" w:right="0" w:firstLine="0"/>
        <w:jc w:val="both"/>
      </w:pPr>
      <w:r>
        <w:rPr>
          <w:color w:val="000000"/>
          <w:spacing w:val="0"/>
          <w:w w:val="100"/>
          <w:position w:val="0"/>
        </w:rPr>
        <w:t>于2021年12月31日的商誉进行减值测试。根据评估结果，包含商誉的资产组可收回金额为人民币</w:t>
      </w:r>
      <w:r>
        <w:rPr>
          <w:color w:val="000000"/>
          <w:spacing w:val="0"/>
          <w:w w:val="100"/>
          <w:position w:val="0"/>
        </w:rPr>
        <w:t>1,039,500.00</w:t>
      </w:r>
      <w:r>
        <w:rPr>
          <w:color w:val="000000"/>
          <w:spacing w:val="0"/>
          <w:w w:val="100"/>
          <w:position w:val="0"/>
        </w:rPr>
        <w:t>元，报告期内 公司对</w:t>
      </w:r>
      <w:r>
        <w:rPr>
          <w:color w:val="000000"/>
          <w:spacing w:val="0"/>
          <w:w w:val="100"/>
          <w:position w:val="0"/>
        </w:rPr>
        <w:t>MOD&amp;ASCC</w:t>
      </w:r>
      <w:r>
        <w:rPr>
          <w:color w:val="000000"/>
          <w:spacing w:val="0"/>
          <w:w w:val="100"/>
          <w:position w:val="0"/>
        </w:rPr>
        <w:t>商誉计提减值准备人民币</w:t>
      </w:r>
      <w:r>
        <w:rPr>
          <w:color w:val="000000"/>
          <w:spacing w:val="0"/>
          <w:w w:val="100"/>
          <w:position w:val="0"/>
        </w:rPr>
        <w:t>4,425,017.47</w:t>
      </w:r>
      <w:r>
        <w:rPr>
          <w:color w:val="000000"/>
          <w:spacing w:val="0"/>
          <w:w w:val="100"/>
          <w:position w:val="0"/>
        </w:rPr>
        <w:t>元，累计计提减值准备金额人民币</w:t>
      </w:r>
      <w:r>
        <w:rPr>
          <w:color w:val="000000"/>
          <w:spacing w:val="0"/>
          <w:w w:val="100"/>
          <w:position w:val="0"/>
        </w:rPr>
        <w:t>4,425,017.4</w:t>
      </w:r>
      <w:r>
        <w:rPr>
          <w:color w:val="000000"/>
          <w:spacing w:val="0"/>
          <w:w w:val="100"/>
          <w:position w:val="0"/>
        </w:rPr>
        <w:t>7元。</w:t>
      </w:r>
    </w:p>
    <w:p>
      <w:pPr>
        <w:pStyle w:val="Style18"/>
        <w:keepNext w:val="0"/>
        <w:keepLines w:val="0"/>
        <w:widowControl w:val="0"/>
        <w:shd w:val="clear" w:color="auto" w:fill="auto"/>
        <w:bidi w:val="0"/>
        <w:spacing w:before="0" w:after="60" w:line="312" w:lineRule="exact"/>
        <w:ind w:left="0" w:right="0" w:firstLine="0"/>
        <w:jc w:val="both"/>
      </w:pPr>
      <w:r>
        <w:rPr>
          <w:color w:val="000000"/>
          <w:spacing w:val="0"/>
          <w:w w:val="100"/>
          <w:position w:val="0"/>
        </w:rPr>
        <w:t>商誉减值测试的影响</w:t>
      </w:r>
    </w:p>
    <w:p>
      <w:pPr>
        <w:pStyle w:val="Style1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2</w:t>
      </w:r>
      <w:bookmarkEnd w:id="149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91"/>
      <w:bookmarkEnd w:id="1492"/>
      <w:bookmarkEnd w:id="1494"/>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552,709.20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216,693.64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178,305.86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157,709.70</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预付房租及服务 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2,698,496.56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330,991.96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1,604,214.92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1,425,273.60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产品推广费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1,546,444.27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1,546,444.27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软件使用费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5,852,737.81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5,016,632.41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836,105.40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10,650,387.84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330,991.96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6,837,540.97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1,724,750.13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2,419,088.70</w:t>
            </w:r>
          </w:p>
        </w:tc>
      </w:tr>
    </w:tbl>
    <w:p>
      <w:pPr>
        <w:widowControl w:val="0"/>
        <w:spacing w:after="5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95"/>
      <w:bookmarkEnd w:id="1496"/>
      <w:bookmarkEnd w:id="1498"/>
    </w:p>
    <w:p>
      <w:pPr>
        <w:pStyle w:val="Style27"/>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95"/>
      <w:bookmarkEnd w:id="1496"/>
      <w:bookmarkEnd w:id="150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33,489,568.29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5,024,528.12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34,074,924.65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4,074,448.43</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338,748.24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84,687.06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425,432.63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106,358.16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2,345,076.56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586,269.14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3,916,621.53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587,493.23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6,055,828.29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605,582.83</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12,569,200.00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1,885,380.00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7,047,518.02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1,057,127.70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10,138,000.58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1,013,800.06</w:t>
            </w:r>
          </w:p>
        </w:tc>
      </w:tr>
      <w:tr>
        <w:trPr>
          <w:trHeight w:val="102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按合伙份额计算的应 分尚未分的被投资合 伙企业的利润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1,543,305.69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231,495.85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375,891.74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37,589.17</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使用权资产摊销差异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61,273,037.33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9,460,430.95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51,070,077.89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5,837,778.65</w:t>
            </w:r>
          </w:p>
        </w:tc>
      </w:tr>
    </w:tbl>
    <w:p>
      <w:pPr>
        <w:widowControl w:val="0"/>
        <w:spacing w:after="299" w:line="1" w:lineRule="exact"/>
      </w:pPr>
    </w:p>
    <w:p>
      <w:pPr>
        <w:pStyle w:val="Style27"/>
        <w:keepNext/>
        <w:keepLines/>
        <w:widowControl w:val="0"/>
        <w:shd w:val="clear" w:color="auto" w:fill="auto"/>
        <w:bidi w:val="0"/>
        <w:spacing w:before="0" w:after="32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01"/>
      <w:bookmarkEnd w:id="1502"/>
      <w:bookmarkEnd w:id="1504"/>
      <w:r>
        <w:br w:type="page"/>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非同一控制企业合并</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4,101,700.00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615,255.00</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应纳税补贴收入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2,888,049.85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433,207.48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5,605,045.47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560,504.55</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固定资产折旧差异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15,677,310.30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2,351,596.55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13,869,387.92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1,386,938.79</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资产账面价值大于计 税基础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4,085,171.83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693,650.29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2,614,449.39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375,865.28</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22,650,531.98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3,478,454.32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26,190,582.78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2,938,563.62</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w:t>
      </w:r>
      <w:bookmarkEnd w:id="1507"/>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05"/>
      <w:bookmarkEnd w:id="1506"/>
      <w:bookmarkEnd w:id="15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9,460,430.95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5,837,778.65</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3,478,454.32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2,938,563.62</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09"/>
      <w:bookmarkEnd w:id="1510"/>
      <w:bookmarkEnd w:id="15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37,815,297.10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35,418,919.40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57,269,830.30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62,465,333.78</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95,085,127.40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97,884,253.18</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13"/>
      <w:bookmarkEnd w:id="1514"/>
      <w:bookmarkEnd w:id="15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19,093,545.60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7,583,629.83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7,583,629.83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5,330,044.67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6,920,242.53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5,084,221.34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8,297,199.54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8,604,768.07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9,090,192.60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19,748,403.78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2,184,512.98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2027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2,788,133.48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2,788,133.48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90"/>
        <w:gridCol w:w="2395"/>
        <w:gridCol w:w="2395"/>
        <w:gridCol w:w="2400"/>
      </w:tblGrid>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2028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2,716,994.91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无期限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5,413,634.22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6,507,877.22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57,269,830.30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62,465,333.78</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3</w:t>
      </w:r>
      <w:bookmarkEnd w:id="151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17"/>
      <w:bookmarkEnd w:id="1518"/>
      <w:bookmarkEnd w:id="15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长期资产预付款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792,500.00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1,169,561.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1,169,561.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一卡易股权投资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63,134,534</w:t>
            </w:r>
          </w:p>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63,134,534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24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40"/>
              <w:jc w:val="left"/>
            </w:pPr>
            <w:r>
              <w:rPr>
                <w:color w:val="000000"/>
                <w:spacing w:val="0"/>
                <w:w w:val="100"/>
                <w:position w:val="0"/>
              </w:rPr>
              <w:t>63,927,034</w:t>
            </w:r>
          </w:p>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40"/>
              <w:jc w:val="left"/>
            </w:pPr>
            <w:r>
              <w:rPr>
                <w:color w:val="000000"/>
                <w:spacing w:val="0"/>
                <w:w w:val="100"/>
                <w:position w:val="0"/>
              </w:rPr>
              <w:t>63,927,034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60"/>
              <w:jc w:val="left"/>
            </w:pPr>
            <w:r>
              <w:rPr>
                <w:color w:val="000000"/>
                <w:spacing w:val="0"/>
                <w:w w:val="100"/>
                <w:position w:val="0"/>
              </w:rPr>
              <w:t>1,169,561.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60"/>
              <w:jc w:val="left"/>
            </w:pPr>
            <w:r>
              <w:rPr>
                <w:color w:val="000000"/>
                <w:spacing w:val="0"/>
                <w:w w:val="100"/>
                <w:position w:val="0"/>
              </w:rPr>
              <w:t>1,169,561.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720" w:line="310" w:lineRule="exact"/>
        <w:ind w:left="0" w:right="0"/>
        <w:jc w:val="both"/>
      </w:pPr>
      <w:r>
        <w:rPr>
          <w:color w:val="000000"/>
          <w:spacing w:val="0"/>
          <w:w w:val="100"/>
          <w:position w:val="0"/>
        </w:rPr>
        <w:t>因公司已失去对控股子公司深圳一卡易科技股份有限公司（以下简称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一卡易</w:t>
      </w:r>
      <w:r>
        <w:rPr>
          <w:rFonts w:ascii="Times New Roman" w:eastAsia="Times New Roman" w:hAnsi="Times New Roman" w:cs="Times New Roman"/>
          <w:color w:val="000000"/>
          <w:spacing w:val="0"/>
          <w:w w:val="100"/>
          <w:position w:val="0"/>
        </w:rPr>
        <w:t>”</w:t>
      </w:r>
      <w:r>
        <w:rPr>
          <w:color w:val="000000"/>
          <w:spacing w:val="0"/>
          <w:w w:val="100"/>
          <w:position w:val="0"/>
        </w:rPr>
        <w:t>）的控制，自2021年起不再将一卡易纳入 合并报表范围。公司管理层认为公司持有的一卡易股权及其相应的减值准备作为一项长期资产具有价值并予以管理，于是将 持有的一"易51.102%股权及相应的减值准备转入</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bidi w:val="0"/>
        <w:spacing w:before="0" w:line="240" w:lineRule="auto"/>
        <w:ind w:left="0" w:right="0" w:firstLine="0"/>
        <w:jc w:val="both"/>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3</w:t>
      </w:r>
      <w:bookmarkEnd w:id="152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21"/>
      <w:bookmarkEnd w:id="1522"/>
      <w:bookmarkEnd w:id="1524"/>
    </w:p>
    <w:p>
      <w:pPr>
        <w:pStyle w:val="Style27"/>
        <w:keepNext/>
        <w:keepLines/>
        <w:widowControl w:val="0"/>
        <w:shd w:val="clear" w:color="auto" w:fill="auto"/>
        <w:bidi w:val="0"/>
        <w:spacing w:before="0" w:after="260" w:line="240" w:lineRule="auto"/>
        <w:ind w:left="0" w:right="0" w:firstLine="0"/>
        <w:jc w:val="both"/>
      </w:pPr>
      <w:bookmarkStart w:id="1521" w:name="bookmark1521"/>
      <w:bookmarkStart w:id="1522" w:name="bookmark1522"/>
      <w:bookmarkStart w:id="1525" w:name="bookmark1525"/>
      <w:bookmarkStart w:id="1526" w:name="bookmark1526"/>
      <w:r>
        <w:rPr>
          <w:color w:val="000000"/>
          <w:spacing w:val="0"/>
          <w:w w:val="100"/>
          <w:position w:val="0"/>
        </w:rPr>
        <w:t>（</w:t>
      </w:r>
      <w:bookmarkEnd w:id="152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21"/>
      <w:bookmarkEnd w:id="1522"/>
      <w:bookmarkEnd w:id="1526"/>
    </w:p>
    <w:p>
      <w:pPr>
        <w:pStyle w:val="Style18"/>
        <w:keepNext w:val="0"/>
        <w:keepLines w:val="0"/>
        <w:widowControl w:val="0"/>
        <w:shd w:val="clear" w:color="auto" w:fill="auto"/>
        <w:bidi w:val="0"/>
        <w:spacing w:before="0" w:after="80" w:line="310" w:lineRule="exact"/>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27"/>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27"/>
      <w:bookmarkEnd w:id="1528"/>
      <w:bookmarkEnd w:id="1530"/>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逾期利率</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20" w:line="240" w:lineRule="auto"/>
        <w:ind w:left="0" w:right="0" w:firstLine="0"/>
        <w:jc w:val="both"/>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3</w:t>
      </w:r>
      <w:bookmarkEnd w:id="1533"/>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31"/>
      <w:bookmarkEnd w:id="1532"/>
      <w:bookmarkEnd w:id="1534"/>
      <w:r>
        <w:br w:type="page"/>
      </w:r>
    </w:p>
    <w:tbl>
      <w:tblPr>
        <w:tblOverlap w:val="never"/>
        <w:jc w:val="center"/>
        <w:tblLayout w:type="fixed"/>
      </w:tblPr>
      <w:tblGrid>
        <w:gridCol w:w="3187"/>
        <w:gridCol w:w="319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3</w:t>
      </w:r>
      <w:bookmarkEnd w:id="1537"/>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35"/>
      <w:bookmarkEnd w:id="1536"/>
      <w:bookmarkEnd w:id="15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39"/>
      <w:bookmarkEnd w:id="1540"/>
      <w:bookmarkEnd w:id="15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287,500.00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1,150,000.00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287,500.00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1,150,000.00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27"/>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3</w:t>
      </w:r>
      <w:bookmarkEnd w:id="154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43"/>
      <w:bookmarkEnd w:id="1544"/>
      <w:bookmarkEnd w:id="1546"/>
    </w:p>
    <w:p>
      <w:pPr>
        <w:pStyle w:val="Style27"/>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43"/>
      <w:bookmarkEnd w:id="1544"/>
      <w:bookmarkEnd w:id="15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材料及服务类款项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208,354,385.65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182,935,319.04</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设备款项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7,912,951.57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7,342,678.62</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216,267,337.22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190,277,997.66</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49"/>
      <w:bookmarkEnd w:id="1550"/>
      <w:bookmarkEnd w:id="15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3</w:t>
      </w:r>
      <w:bookmarkEnd w:id="155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53"/>
      <w:bookmarkEnd w:id="1554"/>
      <w:bookmarkEnd w:id="1556"/>
    </w:p>
    <w:p>
      <w:pPr>
        <w:pStyle w:val="Style27"/>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53"/>
      <w:bookmarkEnd w:id="1554"/>
      <w:bookmarkEnd w:id="1558"/>
      <w:r>
        <w:br w:type="page"/>
      </w:r>
    </w:p>
    <w:tbl>
      <w:tblPr>
        <w:tblOverlap w:val="never"/>
        <w:jc w:val="center"/>
        <w:tblLayout w:type="fixed"/>
      </w:tblPr>
      <w:tblGrid>
        <w:gridCol w:w="3187"/>
        <w:gridCol w:w="3197"/>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both"/>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59"/>
      <w:bookmarkEnd w:id="1560"/>
      <w:bookmarkEnd w:id="156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87"/>
        <w:gridCol w:w="3197"/>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both"/>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3</w:t>
      </w:r>
      <w:bookmarkEnd w:id="156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63"/>
      <w:bookmarkEnd w:id="1564"/>
      <w:bookmarkEnd w:id="15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预收货款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45,562,945.84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83,942,563.78</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计入其他流动负债（附注六、</w:t>
            </w:r>
            <w:r>
              <w:rPr>
                <w:color w:val="000000"/>
                <w:spacing w:val="0"/>
                <w:w w:val="100"/>
                <w:position w:val="0"/>
              </w:rPr>
              <w:t>44</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-5,005,839.82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-8,461,491.75</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40,557,106.02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75,481,072.03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both"/>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3</w:t>
      </w:r>
      <w:bookmarkEnd w:id="156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67"/>
      <w:bookmarkEnd w:id="1568"/>
      <w:bookmarkEnd w:id="1570"/>
    </w:p>
    <w:p>
      <w:pPr>
        <w:pStyle w:val="Style27"/>
        <w:keepNext/>
        <w:keepLines/>
        <w:widowControl w:val="0"/>
        <w:shd w:val="clear" w:color="auto" w:fill="auto"/>
        <w:bidi w:val="0"/>
        <w:spacing w:before="0" w:line="240" w:lineRule="auto"/>
        <w:ind w:left="0" w:right="0" w:firstLine="0"/>
        <w:jc w:val="both"/>
      </w:pPr>
      <w:bookmarkStart w:id="1567" w:name="bookmark1567"/>
      <w:bookmarkStart w:id="1568" w:name="bookmark1568"/>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67"/>
      <w:bookmarkEnd w:id="1568"/>
      <w:bookmarkEnd w:id="15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3,595,271.30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177,911,297.76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179,330,178.79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2,176,390.27</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80" w:line="240" w:lineRule="auto"/>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114,366.53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10,287,344.16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10,289,940.80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111,769.89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732,068.00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732,068.00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3,709,637.83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188,930,709.92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190,352,187.59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2,288,160.16</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both"/>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73"/>
      <w:bookmarkEnd w:id="1574"/>
      <w:bookmarkEnd w:id="15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 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3,522,700.73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160,340,193.73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161,750,662.06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2,112,232.40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1,653,842.43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1,653,842.43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6,979.02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6,102,531.94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6,105,807.73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3,703.23</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其中：医疗保险</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6,698.85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5,604,385.01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5,607,380.63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3,703.23</w:t>
            </w:r>
          </w:p>
        </w:tc>
      </w:tr>
    </w:tbl>
    <w:p>
      <w:pPr>
        <w:sectPr>
          <w:footnotePr>
            <w:pos w:val="pageBottom"/>
            <w:numFmt w:val="decimal"/>
            <w:numRestart w:val="continuous"/>
          </w:footnotePr>
          <w:pgSz w:w="11900" w:h="16840"/>
          <w:pgMar w:top="1167" w:right="1107" w:bottom="1662" w:left="1107" w:header="0" w:footer="3" w:gutter="0"/>
          <w:cols w:space="720"/>
          <w:noEndnote/>
          <w:rtlGutter w:val="0"/>
          <w:docGrid w:linePitch="360"/>
        </w:sectPr>
      </w:pPr>
    </w:p>
    <w:p>
      <w:pPr>
        <w:widowControl w:val="0"/>
        <w:spacing w:after="379" w:line="1" w:lineRule="exact"/>
      </w:pPr>
    </w:p>
    <w:tbl>
      <w:tblPr>
        <w:tblOverlap w:val="never"/>
        <w:jc w:val="center"/>
        <w:tblLayout w:type="fixed"/>
      </w:tblPr>
      <w:tblGrid>
        <w:gridCol w:w="1915"/>
        <w:gridCol w:w="1915"/>
        <w:gridCol w:w="1915"/>
        <w:gridCol w:w="1915"/>
        <w:gridCol w:w="1920"/>
      </w:tblGrid>
      <w:tr>
        <w:trPr>
          <w:trHeight w:val="36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1000"/>
              <w:jc w:val="left"/>
            </w:pPr>
            <w:r>
              <w:rPr>
                <w:rFonts w:ascii="SimSun" w:eastAsia="SimSun" w:hAnsi="SimSun" w:cs="SimSun"/>
                <w:color w:val="000000"/>
                <w:spacing w:val="0"/>
                <w:w w:val="100"/>
                <w:position w:val="0"/>
              </w:rPr>
              <w:t>工伤保险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212,282.52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212,282.52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1000"/>
              <w:jc w:val="left"/>
            </w:pPr>
            <w:r>
              <w:rPr>
                <w:rFonts w:ascii="SimSun" w:eastAsia="SimSun" w:hAnsi="SimSun" w:cs="SimSun"/>
                <w:color w:val="000000"/>
                <w:spacing w:val="0"/>
                <w:w w:val="100"/>
                <w:position w:val="0"/>
              </w:rPr>
              <w:t>生育保险 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285,864.41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286,144.58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19,410.21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9,410,266.31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9,416,995.68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12,680.84</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 育经费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46,181.34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404,463.35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402,870.89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47,773.80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3,595,271.30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177,911,297.76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179,330,178.79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2,176,390.27</w:t>
            </w:r>
          </w:p>
        </w:tc>
      </w:tr>
    </w:tbl>
    <w:p>
      <w:pPr>
        <w:widowControl w:val="0"/>
        <w:spacing w:after="299" w:line="1" w:lineRule="exact"/>
      </w:pPr>
    </w:p>
    <w:p>
      <w:pPr>
        <w:pStyle w:val="Style27"/>
        <w:keepNext/>
        <w:keepLines/>
        <w:widowControl w:val="0"/>
        <w:numPr>
          <w:ilvl w:val="0"/>
          <w:numId w:val="75"/>
        </w:numPr>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bookmarkEnd w:id="1579"/>
      <w:r>
        <w:rPr>
          <w:color w:val="000000"/>
          <w:spacing w:val="0"/>
          <w:w w:val="100"/>
          <w:position w:val="0"/>
        </w:rPr>
        <w:t>设定提存计划列示</w:t>
      </w:r>
      <w:bookmarkEnd w:id="1577"/>
      <w:bookmarkEnd w:id="1578"/>
      <w:bookmarkEnd w:id="15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114,226.44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9,972,465.20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9,974,921.75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111,769.89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314,878.96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315,019.05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114,366.53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10,287,344.16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10,289,940.80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111,769.89</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4</w:t>
      </w:r>
      <w:bookmarkEnd w:id="158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81"/>
      <w:bookmarkEnd w:id="1582"/>
      <w:bookmarkEnd w:id="15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2,738,545.81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2,379,527.96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7,716,198.57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4,217,308.01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739,092.31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675,691.65</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253,896.75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217,021.28</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181,354.82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154,497.51</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501,930.01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252,841.70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116,495.53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116,125.00</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50,063.10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148,283.00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12,297,576.90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8,161,297.22</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4</w:t>
      </w:r>
      <w:bookmarkEnd w:id="158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85"/>
      <w:bookmarkEnd w:id="1586"/>
      <w:bookmarkEnd w:id="1588"/>
      <w:r>
        <w:br w:type="page"/>
      </w:r>
    </w:p>
    <w:tbl>
      <w:tblPr>
        <w:tblOverlap w:val="never"/>
        <w:jc w:val="center"/>
        <w:tblLayout w:type="fixed"/>
      </w:tblPr>
      <w:tblGrid>
        <w:gridCol w:w="3187"/>
        <w:gridCol w:w="319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8,893,265.79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15,107,199.16</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8,893,265.79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15,107,199.16</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89"/>
      <w:bookmarkEnd w:id="1590"/>
      <w:bookmarkEnd w:id="15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25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逾期原因</w:t>
            </w:r>
          </w:p>
        </w:tc>
      </w:tr>
    </w:tbl>
    <w:p>
      <w:pPr>
        <w:widowControl w:val="0"/>
        <w:spacing w:after="5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93"/>
      <w:bookmarkEnd w:id="1594"/>
      <w:bookmarkEnd w:id="15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5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27"/>
        <w:keepNext/>
        <w:keepLines/>
        <w:widowControl w:val="0"/>
        <w:shd w:val="clear" w:color="auto" w:fill="auto"/>
        <w:bidi w:val="0"/>
        <w:spacing w:before="0" w:after="34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97"/>
      <w:bookmarkEnd w:id="1598"/>
      <w:bookmarkEnd w:id="1600"/>
    </w:p>
    <w:p>
      <w:pPr>
        <w:pStyle w:val="Style27"/>
        <w:keepNext/>
        <w:keepLines/>
        <w:widowControl w:val="0"/>
        <w:shd w:val="clear" w:color="auto" w:fill="auto"/>
        <w:bidi w:val="0"/>
        <w:spacing w:before="0" w:after="340" w:line="240" w:lineRule="auto"/>
        <w:ind w:left="0" w:right="0" w:firstLine="0"/>
        <w:jc w:val="left"/>
      </w:pPr>
      <w:bookmarkStart w:id="1597" w:name="bookmark1597"/>
      <w:bookmarkStart w:id="1598" w:name="bookmark1598"/>
      <w:bookmarkStart w:id="1601" w:name="bookmark1601"/>
      <w:bookmarkStart w:id="1602" w:name="bookmark1602"/>
      <w:r>
        <w:rPr>
          <w:rFonts w:ascii="Times New Roman" w:eastAsia="Times New Roman" w:hAnsi="Times New Roman" w:cs="Times New Roman"/>
          <w:color w:val="000000"/>
          <w:spacing w:val="0"/>
          <w:w w:val="100"/>
          <w:position w:val="0"/>
        </w:rPr>
        <w:t>1</w:t>
      </w:r>
      <w:bookmarkEnd w:id="1601"/>
      <w:r>
        <w:rPr>
          <w:color w:val="000000"/>
          <w:spacing w:val="0"/>
          <w:w w:val="100"/>
          <w:position w:val="0"/>
        </w:rPr>
        <w:t>）按款项性质列示其他应付款</w:t>
      </w:r>
      <w:bookmarkEnd w:id="1597"/>
      <w:bookmarkEnd w:id="1598"/>
      <w:bookmarkEnd w:id="16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预提成本费用款项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8,441,250.74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14,677,049.16</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452,015.05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139,150.00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应付暂收款项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291,000.00</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8,893,265.79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15,107,199.16</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2</w:t>
      </w:r>
      <w:bookmarkEnd w:id="160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03"/>
      <w:bookmarkEnd w:id="1604"/>
      <w:bookmarkEnd w:id="16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bl>
    <w:p>
      <w:pPr>
        <w:widowControl w:val="0"/>
        <w:spacing w:after="5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4</w:t>
      </w:r>
      <w:bookmarkEnd w:id="160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07"/>
      <w:bookmarkEnd w:id="1608"/>
      <w:bookmarkEnd w:id="1610"/>
      <w:r>
        <w:br w:type="page"/>
      </w:r>
    </w:p>
    <w:tbl>
      <w:tblPr>
        <w:tblOverlap w:val="never"/>
        <w:jc w:val="center"/>
        <w:tblLayout w:type="fixed"/>
      </w:tblPr>
      <w:tblGrid>
        <w:gridCol w:w="3187"/>
        <w:gridCol w:w="3197"/>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4</w:t>
      </w:r>
      <w:bookmarkEnd w:id="161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11"/>
      <w:bookmarkEnd w:id="1612"/>
      <w:bookmarkEnd w:id="16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20,388,283.75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20,419,681.25</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1,453,733.97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1,389,593.45</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21,842,017.72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21,809,274.70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4</w:t>
      </w:r>
      <w:bookmarkEnd w:id="161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15"/>
      <w:bookmarkEnd w:id="1616"/>
      <w:bookmarkEnd w:id="16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待转销销项税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5,005,839.82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8,461,491.75</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5,005,839.82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8,461,491.75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802"/>
        <w:gridCol w:w="797"/>
        <w:gridCol w:w="797"/>
        <w:gridCol w:w="802"/>
        <w:gridCol w:w="797"/>
        <w:gridCol w:w="797"/>
        <w:gridCol w:w="797"/>
        <w:gridCol w:w="802"/>
        <w:gridCol w:w="797"/>
        <w:gridCol w:w="797"/>
        <w:gridCol w:w="797"/>
        <w:gridCol w:w="811"/>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发行日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债券期 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本期发 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按面值</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计提利</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溢折价 摊销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4</w:t>
      </w:r>
      <w:bookmarkEnd w:id="162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19"/>
      <w:bookmarkEnd w:id="1620"/>
      <w:bookmarkEnd w:id="1622"/>
    </w:p>
    <w:p>
      <w:pPr>
        <w:pStyle w:val="Style27"/>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3" w:name="bookmark1623"/>
      <w:bookmarkStart w:id="1624" w:name="bookmark1624"/>
      <w:r>
        <w:rPr>
          <w:color w:val="000000"/>
          <w:spacing w:val="0"/>
          <w:w w:val="100"/>
          <w:position w:val="0"/>
        </w:rPr>
        <w:t>（</w:t>
      </w:r>
      <w:bookmarkEnd w:id="1623"/>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19"/>
      <w:bookmarkEnd w:id="1620"/>
      <w:bookmarkEnd w:id="16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20,320,000.00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40,660,000.00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20,320,000.00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40,660,000.00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27"/>
        <w:keepNext/>
        <w:keepLines/>
        <w:widowControl w:val="0"/>
        <w:shd w:val="clear" w:color="auto" w:fill="auto"/>
        <w:bidi w:val="0"/>
        <w:spacing w:before="0" w:after="340" w:line="240" w:lineRule="auto"/>
        <w:ind w:left="0" w:right="0" w:firstLine="0"/>
        <w:jc w:val="both"/>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4</w:t>
      </w:r>
      <w:bookmarkEnd w:id="162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25"/>
      <w:bookmarkEnd w:id="1626"/>
      <w:bookmarkEnd w:id="1628"/>
    </w:p>
    <w:p>
      <w:pPr>
        <w:pStyle w:val="Style27"/>
        <w:keepNext/>
        <w:keepLines/>
        <w:widowControl w:val="0"/>
        <w:shd w:val="clear" w:color="auto" w:fill="auto"/>
        <w:bidi w:val="0"/>
        <w:spacing w:before="0" w:after="340" w:line="240" w:lineRule="auto"/>
        <w:ind w:left="0" w:right="0" w:firstLine="0"/>
        <w:jc w:val="both"/>
      </w:pPr>
      <w:bookmarkStart w:id="1625" w:name="bookmark1625"/>
      <w:bookmarkStart w:id="1626" w:name="bookmark1626"/>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25"/>
      <w:bookmarkEnd w:id="1626"/>
      <w:bookmarkEnd w:id="163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31"/>
      <w:bookmarkEnd w:id="1632"/>
      <w:bookmarkEnd w:id="16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802"/>
        <w:gridCol w:w="797"/>
        <w:gridCol w:w="797"/>
        <w:gridCol w:w="797"/>
        <w:gridCol w:w="802"/>
        <w:gridCol w:w="797"/>
        <w:gridCol w:w="797"/>
        <w:gridCol w:w="797"/>
        <w:gridCol w:w="811"/>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发行日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债券期 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本期发 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按面值</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计提利</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溢折价 摊销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tabs>
          <w:tab w:pos="498" w:val="left"/>
        </w:tabs>
        <w:bidi w:val="0"/>
        <w:spacing w:before="0" w:after="34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w:t>
      </w:r>
      <w:bookmarkEnd w:id="163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35"/>
      <w:bookmarkEnd w:id="1636"/>
      <w:bookmarkEnd w:id="1638"/>
    </w:p>
    <w:p>
      <w:pPr>
        <w:pStyle w:val="Style27"/>
        <w:keepNext/>
        <w:keepLines/>
        <w:widowControl w:val="0"/>
        <w:shd w:val="clear" w:color="auto" w:fill="auto"/>
        <w:tabs>
          <w:tab w:pos="498" w:val="left"/>
        </w:tabs>
        <w:bidi w:val="0"/>
        <w:spacing w:before="0" w:after="340" w:line="240" w:lineRule="auto"/>
        <w:ind w:left="0" w:right="0" w:firstLine="0"/>
        <w:jc w:val="left"/>
      </w:pPr>
      <w:bookmarkStart w:id="1635" w:name="bookmark1635"/>
      <w:bookmarkStart w:id="1636" w:name="bookmark1636"/>
      <w:bookmarkStart w:id="1639" w:name="bookmark1639"/>
      <w:bookmarkStart w:id="1640" w:name="bookmark1640"/>
      <w:r>
        <w:rPr>
          <w:color w:val="000000"/>
          <w:spacing w:val="0"/>
          <w:w w:val="100"/>
          <w:position w:val="0"/>
        </w:rPr>
        <w:t>（</w:t>
      </w:r>
      <w:bookmarkEnd w:id="1639"/>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35"/>
      <w:bookmarkEnd w:id="1636"/>
      <w:bookmarkEnd w:id="164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70"/>
        <w:gridCol w:w="1061"/>
        <w:gridCol w:w="1066"/>
        <w:gridCol w:w="1061"/>
        <w:gridCol w:w="1061"/>
        <w:gridCol w:w="1066"/>
        <w:gridCol w:w="1061"/>
        <w:gridCol w:w="10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其他金融工具划分为金融负债的依据说明</w:t>
      </w: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both"/>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4</w:t>
      </w:r>
      <w:bookmarkEnd w:id="1643"/>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41"/>
      <w:bookmarkEnd w:id="1642"/>
      <w:bookmarkEnd w:id="16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3,905,571.58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5,295,165.03</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-1,453,733.97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-1,389,593.45</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2,451,837.61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3,905,571.58</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both"/>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4</w:t>
      </w:r>
      <w:bookmarkEnd w:id="1647"/>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45"/>
      <w:bookmarkEnd w:id="1646"/>
      <w:bookmarkEnd w:id="1648"/>
    </w:p>
    <w:tbl>
      <w:tblPr>
        <w:tblOverlap w:val="never"/>
        <w:jc w:val="center"/>
        <w:tblLayout w:type="fixed"/>
      </w:tblPr>
      <w:tblGrid>
        <w:gridCol w:w="3187"/>
        <w:gridCol w:w="3197"/>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49"/>
      <w:bookmarkEnd w:id="1650"/>
      <w:bookmarkEnd w:id="165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87"/>
        <w:gridCol w:w="3197"/>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52"/>
      <w:bookmarkEnd w:id="1653"/>
      <w:bookmarkEnd w:id="165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4</w:t>
      </w:r>
      <w:bookmarkEnd w:id="1658"/>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56"/>
      <w:bookmarkEnd w:id="1657"/>
      <w:bookmarkEnd w:id="1659"/>
    </w:p>
    <w:p>
      <w:pPr>
        <w:pStyle w:val="Style27"/>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56"/>
      <w:bookmarkEnd w:id="1657"/>
      <w:bookmarkEnd w:id="166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87"/>
        <w:gridCol w:w="3197"/>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both"/>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61"/>
      <w:bookmarkEnd w:id="1662"/>
      <w:bookmarkEnd w:id="1663"/>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设定受益计划义务现值：</w:t>
      </w: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187"/>
        <w:gridCol w:w="3197"/>
        <w:gridCol w:w="32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7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7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设定受益计划重大精算假设及敏感性分析结果说明：</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5</w:t>
      </w:r>
      <w:bookmarkEnd w:id="166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64"/>
      <w:bookmarkEnd w:id="1665"/>
      <w:bookmarkEnd w:id="166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bl>
    <w:p>
      <w:pPr>
        <w:spacing w:lineRule="exact" w:line="1"/>
        <w:rPr>
          <w:sz w:val="2"/>
          <w:szCs w:val="2"/>
        </w:rPr>
      </w:pPr>
      <w:r>
        <w:br w:type="page"/>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27"/>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5</w:t>
      </w:r>
      <w:bookmarkEnd w:id="167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68"/>
      <w:bookmarkEnd w:id="1669"/>
      <w:bookmarkEnd w:id="167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6,055,828.29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4,339,206.76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3,916,621.53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项目补助专项资 金</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6,055,828.29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4,339,206.76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3,916,621.53</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13"/>
        <w:gridCol w:w="1253"/>
        <w:gridCol w:w="1008"/>
        <w:gridCol w:w="1008"/>
        <w:gridCol w:w="1013"/>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right"/>
            </w:pPr>
            <w:r>
              <w:rPr>
                <w:rFonts w:ascii="SimSun" w:eastAsia="SimSun" w:hAnsi="SimSun" w:cs="SimSun"/>
                <w:color w:val="000000"/>
                <w:spacing w:val="0"/>
                <w:w w:val="100"/>
                <w:position w:val="0"/>
              </w:rPr>
              <w:t>本期新增 补助金额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本期计入</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营业外收</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本期计入 其他收益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本期冲减</w:t>
            </w:r>
          </w:p>
          <w:p>
            <w:pPr>
              <w:pStyle w:val="Style20"/>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成本费用</w:t>
            </w:r>
          </w:p>
          <w:p>
            <w:pPr>
              <w:pStyle w:val="Style20"/>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与资产相 关</w:t>
            </w:r>
            <w:r>
              <w:rPr>
                <w:color w:val="000000"/>
                <w:spacing w:val="0"/>
                <w:w w:val="100"/>
                <w:position w:val="0"/>
              </w:rPr>
              <w:t>/</w:t>
            </w:r>
            <w:r>
              <w:rPr>
                <w:rFonts w:ascii="SimSun" w:eastAsia="SimSun" w:hAnsi="SimSun" w:cs="SimSun"/>
                <w:color w:val="000000"/>
                <w:spacing w:val="0"/>
                <w:w w:val="100"/>
                <w:position w:val="0"/>
              </w:rPr>
              <w:t>与收益 相关</w:t>
            </w:r>
          </w:p>
        </w:tc>
      </w:tr>
      <w:tr>
        <w:trPr>
          <w:trHeight w:val="196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促进制造 业与互联 网融合发 展的大数 据项目补 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与资产相 关</w:t>
            </w:r>
          </w:p>
        </w:tc>
      </w:tr>
      <w:tr>
        <w:trPr>
          <w:trHeight w:val="28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 xml:space="preserve">基于国产 芯片和国 密算法的 物联网安 全认证 </w:t>
            </w:r>
            <w:r>
              <w:rPr>
                <w:color w:val="000000"/>
                <w:spacing w:val="0"/>
                <w:w w:val="100"/>
                <w:position w:val="0"/>
              </w:rPr>
              <w:t xml:space="preserve">ESIM </w:t>
            </w:r>
            <w:r>
              <w:rPr>
                <w:rFonts w:ascii="SimSun" w:eastAsia="SimSun" w:hAnsi="SimSun" w:cs="SimSun"/>
                <w:color w:val="000000"/>
                <w:spacing w:val="0"/>
                <w:w w:val="100"/>
                <w:position w:val="0"/>
              </w:rPr>
              <w:t>的 研发及产 业化补助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128,000.0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与资产相 关</w:t>
            </w:r>
          </w:p>
        </w:tc>
      </w:tr>
      <w:tr>
        <w:trPr>
          <w:trHeight w:val="195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5G</w:t>
            </w:r>
            <w:r>
              <w:rPr>
                <w:rFonts w:ascii="SimSun" w:eastAsia="SimSun" w:hAnsi="SimSun" w:cs="SimSun"/>
                <w:color w:val="000000"/>
                <w:spacing w:val="0"/>
                <w:w w:val="100"/>
                <w:position w:val="0"/>
              </w:rPr>
              <w:t>移动通 信网络身 份识别模 块研发及</w:t>
            </w:r>
          </w:p>
          <w:p>
            <w:pPr>
              <w:pStyle w:val="Style20"/>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产业化补 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154,716.98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200,000.0</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285,406.68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与资产相 关</w:t>
            </w:r>
          </w:p>
        </w:tc>
      </w:tr>
      <w:tr>
        <w:trPr>
          <w:trHeight w:val="197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5G</w:t>
            </w:r>
            <w:r>
              <w:rPr>
                <w:rFonts w:ascii="SimSun" w:eastAsia="SimSun" w:hAnsi="SimSun" w:cs="SimSun"/>
                <w:color w:val="000000"/>
                <w:spacing w:val="0"/>
                <w:w w:val="100"/>
                <w:position w:val="0"/>
              </w:rPr>
              <w:t>移动通 信网络身 份识别模 块研发及 产业化补</w:t>
            </w:r>
          </w:p>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助资金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62,500.00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300,000.0</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362,500.0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与收益相 关</w:t>
            </w:r>
          </w:p>
        </w:tc>
      </w:tr>
    </w:tbl>
    <w:p>
      <w:pPr>
        <w:spacing w:lineRule="exact" w:line="1"/>
        <w:rPr>
          <w:sz w:val="2"/>
          <w:szCs w:val="2"/>
        </w:rPr>
      </w:pPr>
      <w:r>
        <w:br w:type="page"/>
      </w:r>
    </w:p>
    <w:tbl>
      <w:tblPr>
        <w:tblOverlap w:val="never"/>
        <w:jc w:val="center"/>
        <w:tblLayout w:type="fixed"/>
      </w:tblPr>
      <w:tblGrid>
        <w:gridCol w:w="1013"/>
        <w:gridCol w:w="1253"/>
        <w:gridCol w:w="1008"/>
        <w:gridCol w:w="1008"/>
        <w:gridCol w:w="1013"/>
        <w:gridCol w:w="1008"/>
        <w:gridCol w:w="1013"/>
        <w:gridCol w:w="1248"/>
        <w:gridCol w:w="1018"/>
      </w:tblGrid>
      <w:tr>
        <w:trPr>
          <w:trHeight w:val="22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面向互联 网安全支 付的有源 可视蓝牙 智能卡研 发及产业 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2,981,250.00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2,385,000.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596,250.00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与资产相 关</w:t>
            </w:r>
          </w:p>
        </w:tc>
      </w:tr>
      <w:tr>
        <w:trPr>
          <w:trHeight w:val="133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5G</w:t>
            </w:r>
            <w:r>
              <w:rPr>
                <w:rFonts w:ascii="SimSun" w:eastAsia="SimSun" w:hAnsi="SimSun" w:cs="SimSun"/>
                <w:color w:val="000000"/>
                <w:spacing w:val="0"/>
                <w:w w:val="100"/>
                <w:position w:val="0"/>
              </w:rPr>
              <w:t>移动通</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信国产安</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全识别模</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块项目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1,487,179.49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615,384.6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871,794.89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与资产相 关</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基于国密 标准的国 产芯片</w:t>
            </w:r>
            <w:r>
              <w:rPr>
                <w:color w:val="000000"/>
                <w:spacing w:val="0"/>
                <w:w w:val="100"/>
                <w:position w:val="0"/>
              </w:rPr>
              <w:t xml:space="preserve">5G </w:t>
            </w:r>
            <w:r>
              <w:rPr>
                <w:rFonts w:ascii="SimSun" w:eastAsia="SimSun" w:hAnsi="SimSun" w:cs="SimSun"/>
                <w:color w:val="000000"/>
                <w:spacing w:val="0"/>
                <w:w w:val="100"/>
                <w:position w:val="0"/>
              </w:rPr>
              <w:t>移动通信 智能卡行 业应用产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218,181.82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218,181.8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与资产相 关</w:t>
            </w:r>
          </w:p>
        </w:tc>
      </w:tr>
      <w:tr>
        <w:trPr>
          <w:trHeight w:val="196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数字资产 密保硬件 及管理系 统平台研 发与产业 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1,100,000.</w:t>
            </w:r>
          </w:p>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53,137.74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1,046,862.26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与资产相 关</w:t>
            </w:r>
          </w:p>
        </w:tc>
      </w:tr>
      <w:tr>
        <w:trPr>
          <w:trHeight w:val="19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数字资产 密保硬件 及管理系 统平台研 发与产业 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600,000.0</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107,692.3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492,307.70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与收益相 关</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6,055,828.29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2,200,000.</w:t>
            </w:r>
          </w:p>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4,339,206.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3,916,621.53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5</w:t>
      </w:r>
      <w:bookmarkEnd w:id="167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72"/>
      <w:bookmarkEnd w:id="1673"/>
      <w:bookmarkEnd w:id="167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5</w:t>
      </w:r>
      <w:bookmarkEnd w:id="1678"/>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76"/>
      <w:bookmarkEnd w:id="1677"/>
      <w:bookmarkEnd w:id="16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95"/>
        <w:gridCol w:w="1200"/>
        <w:gridCol w:w="1195"/>
        <w:gridCol w:w="1195"/>
        <w:gridCol w:w="1195"/>
        <w:gridCol w:w="1200"/>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696,921,354.</w:t>
            </w:r>
          </w:p>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696,921,354.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5</w:t>
      </w:r>
      <w:bookmarkEnd w:id="1682"/>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80"/>
      <w:bookmarkEnd w:id="1681"/>
      <w:bookmarkEnd w:id="1683"/>
    </w:p>
    <w:p>
      <w:pPr>
        <w:pStyle w:val="Style27"/>
        <w:keepNext/>
        <w:keepLines/>
        <w:widowControl w:val="0"/>
        <w:shd w:val="clear" w:color="auto" w:fill="auto"/>
        <w:tabs>
          <w:tab w:pos="498" w:val="left"/>
        </w:tabs>
        <w:bidi w:val="0"/>
        <w:spacing w:before="0" w:line="240" w:lineRule="auto"/>
        <w:ind w:left="0" w:right="0" w:firstLine="0"/>
        <w:jc w:val="left"/>
      </w:pPr>
      <w:bookmarkStart w:id="1680" w:name="bookmark1680"/>
      <w:bookmarkStart w:id="1681" w:name="bookmark1681"/>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80"/>
      <w:bookmarkEnd w:id="1681"/>
      <w:bookmarkEnd w:id="1685"/>
    </w:p>
    <w:p>
      <w:pPr>
        <w:pStyle w:val="Style27"/>
        <w:keepNext/>
        <w:keepLines/>
        <w:widowControl w:val="0"/>
        <w:shd w:val="clear" w:color="auto" w:fill="auto"/>
        <w:tabs>
          <w:tab w:pos="498" w:val="left"/>
        </w:tabs>
        <w:bidi w:val="0"/>
        <w:spacing w:before="0" w:line="240" w:lineRule="auto"/>
        <w:ind w:left="0" w:right="0" w:firstLine="0"/>
        <w:jc w:val="left"/>
      </w:pPr>
      <w:bookmarkStart w:id="1680" w:name="bookmark1680"/>
      <w:bookmarkStart w:id="1681" w:name="bookmark1681"/>
      <w:bookmarkStart w:id="1686" w:name="bookmark1686"/>
      <w:bookmarkStart w:id="1687" w:name="bookmark1687"/>
      <w:r>
        <w:rPr>
          <w:color w:val="000000"/>
          <w:spacing w:val="0"/>
          <w:w w:val="100"/>
          <w:position w:val="0"/>
        </w:rPr>
        <w:t>（</w:t>
      </w:r>
      <w:bookmarkEnd w:id="168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80"/>
      <w:bookmarkEnd w:id="1681"/>
      <w:bookmarkEnd w:id="16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70"/>
        <w:gridCol w:w="1061"/>
        <w:gridCol w:w="1066"/>
        <w:gridCol w:w="1061"/>
        <w:gridCol w:w="1061"/>
        <w:gridCol w:w="1066"/>
        <w:gridCol w:w="1061"/>
        <w:gridCol w:w="107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发行在外</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的金融工</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具</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pStyle w:val="Style1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7"/>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5</w:t>
      </w:r>
      <w:bookmarkEnd w:id="169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88"/>
      <w:bookmarkEnd w:id="1689"/>
      <w:bookmarkEnd w:id="16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833,192.07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12,569,200.00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13,402,392.07</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833,192.07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12,569,200.00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13,402,392.07</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5</w:t>
      </w:r>
      <w:bookmarkEnd w:id="169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92"/>
      <w:bookmarkEnd w:id="1693"/>
      <w:bookmarkEnd w:id="16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5</w:t>
      </w:r>
      <w:bookmarkEnd w:id="169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96"/>
      <w:bookmarkEnd w:id="1697"/>
      <w:bookmarkEnd w:id="169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974"/>
        <w:gridCol w:w="5314"/>
        <w:gridCol w:w="734"/>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r>
    </w:tbl>
    <w:p>
      <w:pPr>
        <w:spacing w:lineRule="exact" w:line="1"/>
        <w:rPr>
          <w:sz w:val="2"/>
          <w:szCs w:val="2"/>
        </w:rPr>
      </w:pPr>
      <w:r>
        <w:br w:type="page"/>
      </w:r>
    </w:p>
    <w:tbl>
      <w:tblPr>
        <w:tblOverlap w:val="never"/>
        <w:jc w:val="center"/>
        <w:tblLayout w:type="fixed"/>
      </w:tblPr>
      <w:tblGrid>
        <w:gridCol w:w="2558"/>
        <w:gridCol w:w="974"/>
        <w:gridCol w:w="854"/>
        <w:gridCol w:w="1046"/>
        <w:gridCol w:w="854"/>
        <w:gridCol w:w="850"/>
        <w:gridCol w:w="854"/>
        <w:gridCol w:w="854"/>
        <w:gridCol w:w="734"/>
      </w:tblGrid>
      <w:tr>
        <w:trPr>
          <w:trHeight w:val="22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本期所</w:t>
            </w:r>
          </w:p>
          <w:p>
            <w:pPr>
              <w:pStyle w:val="Style20"/>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得税前</w:t>
            </w:r>
          </w:p>
          <w:p>
            <w:pPr>
              <w:pStyle w:val="Style20"/>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 计入其 他综合 收益当 期转入 留存收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减：所得 税费用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税后归 属于母 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税后归 属于少 数股东</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-1,770,61</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8.42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-751,90</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-751,90</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-2,522, </w:t>
            </w:r>
            <w:r>
              <w:rPr>
                <w:color w:val="000000"/>
                <w:spacing w:val="0"/>
                <w:w w:val="100"/>
                <w:position w:val="0"/>
              </w:rPr>
              <w:t>521.55</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240" w:after="0" w:line="240" w:lineRule="auto"/>
              <w:ind w:left="0" w:right="0" w:firstLine="640"/>
              <w:jc w:val="left"/>
            </w:pP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80"/>
              <w:jc w:val="left"/>
            </w:pPr>
            <w:r>
              <w:rPr>
                <w:color w:val="000000"/>
                <w:spacing w:val="0"/>
                <w:w w:val="100"/>
                <w:position w:val="0"/>
              </w:rPr>
              <w:t>-1,770,61</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8.42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40"/>
              <w:jc w:val="left"/>
            </w:pPr>
            <w:r>
              <w:rPr>
                <w:color w:val="000000"/>
                <w:spacing w:val="0"/>
                <w:w w:val="100"/>
                <w:position w:val="0"/>
              </w:rPr>
              <w:t>-751,90</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60"/>
              <w:jc w:val="left"/>
            </w:pPr>
            <w:r>
              <w:rPr>
                <w:color w:val="000000"/>
                <w:spacing w:val="0"/>
                <w:w w:val="100"/>
                <w:position w:val="0"/>
              </w:rPr>
              <w:t>-751,90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360" w:lineRule="auto"/>
              <w:ind w:left="0" w:right="0" w:firstLine="0"/>
              <w:jc w:val="left"/>
            </w:pPr>
            <w:r>
              <w:rPr>
                <w:color w:val="000000"/>
                <w:spacing w:val="0"/>
                <w:w w:val="100"/>
                <w:position w:val="0"/>
              </w:rPr>
              <w:t xml:space="preserve">-2,522, </w:t>
            </w:r>
            <w:r>
              <w:rPr>
                <w:color w:val="000000"/>
                <w:spacing w:val="0"/>
                <w:w w:val="100"/>
                <w:position w:val="0"/>
              </w:rPr>
              <w:t>521.55</w:t>
            </w:r>
          </w:p>
        </w:tc>
      </w:tr>
      <w:tr>
        <w:trPr>
          <w:trHeight w:val="725"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24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80"/>
              <w:jc w:val="left"/>
            </w:pPr>
            <w:r>
              <w:rPr>
                <w:color w:val="000000"/>
                <w:spacing w:val="0"/>
                <w:w w:val="100"/>
                <w:position w:val="0"/>
              </w:rPr>
              <w:t>-1,770,61</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8.42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40"/>
              <w:jc w:val="left"/>
            </w:pPr>
            <w:r>
              <w:rPr>
                <w:color w:val="000000"/>
                <w:spacing w:val="0"/>
                <w:w w:val="100"/>
                <w:position w:val="0"/>
              </w:rPr>
              <w:t>-751,90</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60"/>
              <w:jc w:val="left"/>
            </w:pPr>
            <w:r>
              <w:rPr>
                <w:color w:val="000000"/>
                <w:spacing w:val="0"/>
                <w:w w:val="100"/>
                <w:position w:val="0"/>
              </w:rPr>
              <w:t>-751,90</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360" w:lineRule="auto"/>
              <w:ind w:left="0" w:right="0" w:firstLine="0"/>
              <w:jc w:val="left"/>
            </w:pPr>
            <w:r>
              <w:rPr>
                <w:color w:val="000000"/>
                <w:spacing w:val="0"/>
                <w:w w:val="100"/>
                <w:position w:val="0"/>
              </w:rPr>
              <w:t>-2,522, 521.55</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其他说明，包括对现金流量套期损益的有效部分转为被套期项目初始确认金额调整：</w:t>
      </w:r>
    </w:p>
    <w:p>
      <w:pPr>
        <w:pStyle w:val="Style18"/>
        <w:keepNext w:val="0"/>
        <w:keepLines w:val="0"/>
        <w:widowControl w:val="0"/>
        <w:shd w:val="clear" w:color="auto" w:fill="auto"/>
        <w:bidi w:val="0"/>
        <w:spacing w:before="0" w:after="720" w:line="317" w:lineRule="exact"/>
        <w:ind w:left="0" w:right="0" w:firstLine="0"/>
        <w:jc w:val="left"/>
      </w:pPr>
      <w:r>
        <w:rPr>
          <w:color w:val="000000"/>
          <w:spacing w:val="0"/>
          <w:w w:val="100"/>
          <w:position w:val="0"/>
        </w:rPr>
        <w:t>调整年初其他综合收益系联营企业上海恒毓投资中心（有限合伙）2021年首次执行新金融工具准则，上年年末其他综合收益 调整年初未分配利润。</w:t>
      </w:r>
    </w:p>
    <w:p>
      <w:pPr>
        <w:pStyle w:val="Style27"/>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5</w:t>
      </w:r>
      <w:bookmarkEnd w:id="1702"/>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00"/>
      <w:bookmarkEnd w:id="1701"/>
      <w:bookmarkEnd w:id="170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5</w:t>
      </w:r>
      <w:bookmarkEnd w:id="1706"/>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04"/>
      <w:bookmarkEnd w:id="1705"/>
      <w:bookmarkEnd w:id="17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207,011,309.90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7,122,275.08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214,133,584.98</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207,011,309.90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7,122,275.08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214,133,584.98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7"/>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6</w:t>
      </w:r>
      <w:bookmarkEnd w:id="171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08"/>
      <w:bookmarkEnd w:id="1709"/>
      <w:bookmarkEnd w:id="17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1,023,779,759.10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1,022,055,351.76</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调整期初未分配利润合计数（调增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2,526,837.18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1,026,306,596.28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1,022,055,351.76</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53,082,673.76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1,724,407.34</w:t>
            </w:r>
          </w:p>
        </w:tc>
      </w:tr>
    </w:tbl>
    <w:p>
      <w:pPr>
        <w:spacing w:lineRule="exact" w:line="1"/>
        <w:rPr>
          <w:sz w:val="2"/>
          <w:szCs w:val="2"/>
        </w:rPr>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7,122,275.08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149,838,091.11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922,428,903.85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1,023,779,759.10</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after="120" w:line="240" w:lineRule="auto"/>
        <w:ind w:left="0" w:right="0" w:firstLine="0"/>
        <w:jc w:val="left"/>
      </w:pPr>
      <w:bookmarkStart w:id="1712" w:name="bookmark1712"/>
      <w:r>
        <w:rPr>
          <w:rFonts w:ascii="Times New Roman" w:eastAsia="Times New Roman" w:hAnsi="Times New Roman" w:cs="Times New Roman"/>
          <w:color w:val="000000"/>
          <w:spacing w:val="0"/>
          <w:w w:val="100"/>
          <w:position w:val="0"/>
        </w:rPr>
        <w:t>1</w:t>
      </w:r>
      <w:bookmarkEnd w:id="1712"/>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1713" w:name="bookmark1713"/>
      <w:r>
        <w:rPr>
          <w:rFonts w:ascii="Times New Roman" w:eastAsia="Times New Roman" w:hAnsi="Times New Roman" w:cs="Times New Roman"/>
          <w:color w:val="000000"/>
          <w:spacing w:val="0"/>
          <w:w w:val="100"/>
          <w:position w:val="0"/>
        </w:rPr>
        <w:t>2</w:t>
      </w:r>
      <w:bookmarkEnd w:id="1713"/>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2,526,837.18</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1714" w:name="bookmark1714"/>
      <w:r>
        <w:rPr>
          <w:rFonts w:ascii="Times New Roman" w:eastAsia="Times New Roman" w:hAnsi="Times New Roman" w:cs="Times New Roman"/>
          <w:color w:val="000000"/>
          <w:spacing w:val="0"/>
          <w:w w:val="100"/>
          <w:position w:val="0"/>
        </w:rPr>
        <w:t>3</w:t>
      </w:r>
      <w:bookmarkEnd w:id="1714"/>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1715" w:name="bookmark1715"/>
      <w:r>
        <w:rPr>
          <w:rFonts w:ascii="Times New Roman" w:eastAsia="Times New Roman" w:hAnsi="Times New Roman" w:cs="Times New Roman"/>
          <w:color w:val="000000"/>
          <w:spacing w:val="0"/>
          <w:w w:val="100"/>
          <w:position w:val="0"/>
        </w:rPr>
        <w:t>4</w:t>
      </w:r>
      <w:bookmarkEnd w:id="1715"/>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360" w:line="240" w:lineRule="auto"/>
        <w:ind w:left="0" w:right="0" w:firstLine="0"/>
        <w:jc w:val="left"/>
      </w:pPr>
      <w:bookmarkStart w:id="1716" w:name="bookmark1716"/>
      <w:r>
        <w:rPr>
          <w:rFonts w:ascii="Times New Roman" w:eastAsia="Times New Roman" w:hAnsi="Times New Roman" w:cs="Times New Roman"/>
          <w:color w:val="000000"/>
          <w:spacing w:val="0"/>
          <w:w w:val="100"/>
          <w:position w:val="0"/>
        </w:rPr>
        <w:t>5</w:t>
      </w:r>
      <w:bookmarkEnd w:id="1716"/>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6</w:t>
      </w:r>
      <w:bookmarkEnd w:id="171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17"/>
      <w:bookmarkEnd w:id="1718"/>
      <w:bookmarkEnd w:id="17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958,187,270.13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719,498,229.05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1,043,253,421.12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728,425,613.90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1,697,998.66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933,386.08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8,910,317.03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6,066,635.35</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959,885,268.79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720,431,615.13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1,052,163,738.15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734,492,249.25</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按商品转让的时间分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36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40,557,106.02</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40,557,106.02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18"/>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6</w:t>
      </w:r>
      <w:bookmarkEnd w:id="172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21"/>
      <w:bookmarkEnd w:id="1722"/>
      <w:bookmarkEnd w:id="17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2,230,933.35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2,590,255.87</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1,593,523.83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1,849,223.90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2,433,975.53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1,464,986.53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477,834.67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476,342.20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250,406.90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450,834.80</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15,391.79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27,174.65</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7,002,066.07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6,858,817.95</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6</w:t>
      </w:r>
      <w:bookmarkEnd w:id="172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25"/>
      <w:bookmarkEnd w:id="1726"/>
      <w:bookmarkEnd w:id="17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工资及社保福利费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31,335,201.89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42,204,368.34</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折旧摊销费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408,561.72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424,083.94</w:t>
            </w:r>
          </w:p>
        </w:tc>
      </w:tr>
      <w:tr>
        <w:trPr>
          <w:trHeight w:val="41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7,552,653.05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6,166,389.61</w:t>
            </w:r>
          </w:p>
        </w:tc>
      </w:tr>
    </w:tbl>
    <w:p>
      <w:pPr>
        <w:spacing w:lineRule="exact" w:line="1"/>
        <w:rPr>
          <w:sz w:val="2"/>
          <w:szCs w:val="2"/>
        </w:rPr>
      </w:pPr>
      <w:r>
        <w:br w:type="page"/>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2,130,122.70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2,376,606.58</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广告宣传费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30,219.90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3,310,146.99</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租赁及物业费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1,321,422.73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1,411,912.24</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销售佣金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1,036,464.18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2,001,344.90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第三方机构服务费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1,503,257.72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3,187,351.02</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售后维护费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386,972.40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901,793.02</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382,070.54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474,760.28</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1,797,981.82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1,051,002.38</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47,884,928.65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63,509,759.30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6</w:t>
      </w:r>
      <w:bookmarkEnd w:id="173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29"/>
      <w:bookmarkEnd w:id="1730"/>
      <w:bookmarkEnd w:id="173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17,921,337.40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30,677,198.25</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工资及社保福利费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25,867,732.08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23,555,286.41</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股份支付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12,569,200.00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6,380,935.88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7,336,683.25</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第三方机构服务费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7,179,003.10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5,794,718.92</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租赁及物业费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733,728.20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3,968,467.64</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2,556,009.10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3,541,308.82</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3,473,115.93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3,636,839.56</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909,465.01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1,031,791.70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77,590,526.70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79,542,294.55</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6</w:t>
      </w:r>
      <w:bookmarkEnd w:id="1735"/>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33"/>
      <w:bookmarkEnd w:id="1734"/>
      <w:bookmarkEnd w:id="17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工资及社保福利费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70,426,009.32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87,545,633.01</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检测及服务费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10,702,458.54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17,024,967.93</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6,387,327.04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10,891,988.16</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3,011,967.84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3,162,972.35</w:t>
            </w:r>
          </w:p>
        </w:tc>
      </w:tr>
      <w:tr>
        <w:trPr>
          <w:trHeight w:val="40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9,345,447.45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8,457,081.51</w:t>
            </w:r>
          </w:p>
        </w:tc>
      </w:tr>
    </w:tbl>
    <w:p>
      <w:pPr>
        <w:spacing w:lineRule="exact" w:line="1"/>
        <w:rPr>
          <w:sz w:val="2"/>
          <w:szCs w:val="2"/>
        </w:rPr>
      </w:pPr>
      <w:r>
        <w:br w:type="page"/>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490,045.92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392,196.47</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100,363,256.11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127,474,839.43</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6</w:t>
      </w:r>
      <w:bookmarkEnd w:id="1739"/>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37"/>
      <w:bookmarkEnd w:id="1738"/>
      <w:bookmarkEnd w:id="174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2,185,349.69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443,493.45</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1,405,960.01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4,794,438.14</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1,281,403.32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1,185,687.21</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224,713.84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349,986.32</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租赁负债利息支出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185,362.14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2,470,868.98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-2,815,271.16</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6</w:t>
      </w:r>
      <w:bookmarkEnd w:id="1743"/>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41"/>
      <w:bookmarkEnd w:id="1742"/>
      <w:bookmarkEnd w:id="17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236,726.76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990,324.28</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10,804,558.78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10,122,796.57</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个人所得税手续费返还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256,663.76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132,516.86</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140,250.00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11,438,199.30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11,245,637.71</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6</w:t>
      </w:r>
      <w:bookmarkEnd w:id="174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45"/>
      <w:bookmarkEnd w:id="1746"/>
      <w:bookmarkEnd w:id="17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3192"/>
        <w:gridCol w:w="29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23,252,591.70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3,529,548.66</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4,818,446.76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4,818,014.41</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委托他人投资或管理资产的投资收益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24,059,458.84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19,279,626.12</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52,130,497.30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27,627,189.19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6</w:t>
      </w:r>
      <w:bookmarkEnd w:id="1751"/>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49"/>
      <w:bookmarkEnd w:id="1750"/>
      <w:bookmarkEnd w:id="175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7</w:t>
      </w:r>
      <w:bookmarkEnd w:id="1755"/>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53"/>
      <w:bookmarkEnd w:id="1754"/>
      <w:bookmarkEnd w:id="17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4,850,792.37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3,542,886.64</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4,850,792.37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3,542,886.64</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7</w:t>
      </w:r>
      <w:bookmarkEnd w:id="1759"/>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57"/>
      <w:bookmarkEnd w:id="1758"/>
      <w:bookmarkEnd w:id="17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-903,217.38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-506,545.82</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-1,841,682.46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-4,728,474.77</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-2,744,899.84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-5,235,020.59</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7</w:t>
      </w:r>
      <w:bookmarkEnd w:id="176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61"/>
      <w:bookmarkEnd w:id="1762"/>
      <w:bookmarkEnd w:id="17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-6,599,265.29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-4,104,046.51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-56,198,300.00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十一、商誉减值损失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-4,425,017.47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-52,514,546.43</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-11,024,282.76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-112,816,892.94</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7</w:t>
      </w:r>
      <w:bookmarkEnd w:id="1767"/>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65"/>
      <w:bookmarkEnd w:id="1766"/>
      <w:bookmarkEnd w:id="176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固定资产处置利得或损失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29,593.98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-1,023,212.06</w:t>
            </w:r>
          </w:p>
        </w:tc>
      </w:tr>
    </w:tbl>
    <w:p>
      <w:pPr>
        <w:spacing w:lineRule="exact" w:line="1"/>
        <w:rPr>
          <w:sz w:val="2"/>
          <w:szCs w:val="2"/>
        </w:rPr>
      </w:pPr>
      <w:r>
        <w:br w:type="page"/>
      </w:r>
    </w:p>
    <w:tbl>
      <w:tblPr>
        <w:tblOverlap w:val="never"/>
        <w:jc w:val="center"/>
        <w:tblLayout w:type="fixed"/>
      </w:tblPr>
      <w:tblGrid>
        <w:gridCol w:w="3192"/>
        <w:gridCol w:w="3187"/>
        <w:gridCol w:w="3202"/>
      </w:tblGrid>
      <w:tr>
        <w:trPr>
          <w:trHeight w:val="41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29,593.98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-1,023,212.06</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7</w:t>
      </w:r>
      <w:bookmarkEnd w:id="1771"/>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69"/>
      <w:bookmarkEnd w:id="1770"/>
      <w:bookmarkEnd w:id="17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10,800.00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116,574.62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违约金收入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2,411,350.03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非流动资产毁损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37,297.85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37,297.85</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539,783.78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106,956.93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539,783.78</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587,881.63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2,634,881.58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587,881.63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发放主体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发放原因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补贴是否</w:t>
            </w:r>
          </w:p>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影响当年</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盈亏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是否特殊 补贴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本期发生</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上期发生</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与资产相 关</w:t>
            </w:r>
            <w:r>
              <w:rPr>
                <w:color w:val="000000"/>
                <w:spacing w:val="0"/>
                <w:w w:val="100"/>
                <w:position w:val="0"/>
              </w:rPr>
              <w:t>/</w:t>
            </w:r>
            <w:r>
              <w:rPr>
                <w:rFonts w:ascii="SimSun" w:eastAsia="SimSun" w:hAnsi="SimSun" w:cs="SimSun"/>
                <w:color w:val="000000"/>
                <w:spacing w:val="0"/>
                <w:w w:val="100"/>
                <w:position w:val="0"/>
              </w:rPr>
              <w:t>与收益 相关</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促进总部 经济发展 的企业奖</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励资金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丹阳市政</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105,774.62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与收益相 关</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丹阳市政 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因符合地 方政府招 商引资等 地方性扶 持政策而 获得的补 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与收益相 关</w:t>
            </w:r>
          </w:p>
        </w:tc>
      </w:tr>
      <w:tr>
        <w:trPr>
          <w:trHeight w:val="40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10,800.00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116,574.62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200" w:line="306" w:lineRule="exact"/>
        <w:ind w:left="0" w:right="0" w:firstLine="360"/>
        <w:jc w:val="left"/>
      </w:pPr>
      <w:r>
        <w:rPr>
          <w:color w:val="000000"/>
          <w:spacing w:val="0"/>
          <w:w w:val="100"/>
          <w:position w:val="0"/>
        </w:rPr>
        <w:t>上年度子公司钱客多与深圳市联合利丰供应链股份有限公司达成协议:钱客多与深圳市联合利丰供应链股份有限公司签 订的原委托深圳市联合利丰供应链股份有限公司以钱客多信息公司名义向境外公司</w:t>
      </w:r>
      <w:r>
        <w:rPr>
          <w:color w:val="000000"/>
          <w:spacing w:val="0"/>
          <w:w w:val="100"/>
          <w:position w:val="0"/>
        </w:rPr>
        <w:t>NIPPON Platform Co.,Ltd</w:t>
      </w:r>
      <w:r>
        <w:rPr>
          <w:color w:val="000000"/>
          <w:spacing w:val="0"/>
          <w:w w:val="100"/>
          <w:position w:val="0"/>
        </w:rPr>
        <w:t>销售电子智能 支付设备的销售货款的合同，因</w:t>
      </w:r>
      <w:r>
        <w:rPr>
          <w:color w:val="000000"/>
          <w:spacing w:val="0"/>
          <w:w w:val="100"/>
          <w:position w:val="0"/>
        </w:rPr>
        <w:t>NIPPON Platform Co.,Ltd</w:t>
      </w:r>
      <w:r>
        <w:rPr>
          <w:color w:val="000000"/>
          <w:spacing w:val="0"/>
          <w:w w:val="100"/>
          <w:position w:val="0"/>
        </w:rPr>
        <w:t>要求终止合同，钱客多退还预收货款</w:t>
      </w:r>
      <w:r>
        <w:rPr>
          <w:color w:val="000000"/>
          <w:spacing w:val="0"/>
          <w:w w:val="100"/>
          <w:position w:val="0"/>
        </w:rPr>
        <w:t>3,401,840.08</w:t>
      </w:r>
      <w:r>
        <w:rPr>
          <w:color w:val="000000"/>
          <w:spacing w:val="0"/>
          <w:w w:val="100"/>
          <w:position w:val="0"/>
        </w:rPr>
        <w:t xml:space="preserve">元中的 </w:t>
      </w:r>
      <w:r>
        <w:rPr>
          <w:color w:val="000000"/>
          <w:spacing w:val="0"/>
          <w:w w:val="100"/>
          <w:position w:val="0"/>
        </w:rPr>
        <w:t>990,490.05</w:t>
      </w:r>
      <w:r>
        <w:rPr>
          <w:color w:val="000000"/>
          <w:spacing w:val="0"/>
          <w:w w:val="100"/>
          <w:position w:val="0"/>
        </w:rPr>
        <w:t>元后终止合同，上述预收货款扣除退还金额后的</w:t>
      </w:r>
      <w:r>
        <w:rPr>
          <w:color w:val="000000"/>
          <w:spacing w:val="0"/>
          <w:w w:val="100"/>
          <w:position w:val="0"/>
        </w:rPr>
        <w:t>2,411,350.03</w:t>
      </w:r>
      <w:r>
        <w:rPr>
          <w:color w:val="000000"/>
          <w:spacing w:val="0"/>
          <w:w w:val="100"/>
          <w:position w:val="0"/>
        </w:rPr>
        <w:t>元计入营业外收入。</w:t>
      </w:r>
      <w:r>
        <w:br w:type="page"/>
      </w:r>
    </w:p>
    <w:p>
      <w:pPr>
        <w:pStyle w:val="Style27"/>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7</w:t>
      </w:r>
      <w:bookmarkEnd w:id="1775"/>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73"/>
      <w:bookmarkEnd w:id="1774"/>
      <w:bookmarkEnd w:id="17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145,975.00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148,110.98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145,975.00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非流动资产毁损报废损失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25,596.30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25,596.30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25,596.30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25,596.30</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62,961.55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39,019.09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62,961.55</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234,532.85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196,786.82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234,532.85</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7</w:t>
      </w:r>
      <w:bookmarkEnd w:id="1779"/>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77"/>
      <w:bookmarkEnd w:id="1778"/>
      <w:bookmarkEnd w:id="1780"/>
    </w:p>
    <w:p>
      <w:pPr>
        <w:pStyle w:val="Style27"/>
        <w:keepNext/>
        <w:keepLines/>
        <w:widowControl w:val="0"/>
        <w:shd w:val="clear" w:color="auto" w:fill="auto"/>
        <w:bidi w:val="0"/>
        <w:spacing w:before="0" w:line="240" w:lineRule="auto"/>
        <w:ind w:left="0" w:right="0" w:firstLine="0"/>
        <w:jc w:val="left"/>
      </w:pPr>
      <w:bookmarkStart w:id="1777" w:name="bookmark1777"/>
      <w:bookmarkStart w:id="1778" w:name="bookmark1778"/>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77"/>
      <w:bookmarkEnd w:id="1778"/>
      <w:bookmarkEnd w:id="17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8,534,062.36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6,415,571.36</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-2,441,479.84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-11,063,432.38</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6,092,582.52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-4,647,861.02</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4" w:name="bookmark17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82"/>
      <w:bookmarkEnd w:id="1783"/>
      <w:bookmarkEnd w:id="17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59,175,256.28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8,876,288.44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-1,267,458.96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-4,280,581.59</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2,087,274.69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-2,084,754.32</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3,794,355.12</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研发费用加计扣除</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-543,175.20</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税率调整导致年初递延所得税资产</w:t>
            </w:r>
            <w:r>
              <w:rPr>
                <w:color w:val="000000"/>
                <w:spacing w:val="0"/>
                <w:w w:val="100"/>
                <w:position w:val="0"/>
              </w:rPr>
              <w:t>/</w:t>
            </w:r>
            <w:r>
              <w:rPr>
                <w:rFonts w:ascii="SimSun" w:eastAsia="SimSun" w:hAnsi="SimSun" w:cs="SimSun"/>
                <w:color w:val="000000"/>
                <w:spacing w:val="0"/>
                <w:w w:val="100"/>
                <w:position w:val="0"/>
              </w:rPr>
              <w:t>负债余额的变化</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-1,241,618.63</w:t>
            </w:r>
          </w:p>
        </w:tc>
      </w:tr>
      <w:tr>
        <w:trPr>
          <w:trHeight w:val="41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商誉减值的影响</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752,252.97</w:t>
            </w:r>
          </w:p>
        </w:tc>
      </w:tr>
    </w:tbl>
    <w:p>
      <w:pPr>
        <w:spacing w:lineRule="exact" w:line="1"/>
        <w:rPr>
          <w:sz w:val="2"/>
          <w:szCs w:val="2"/>
        </w:rPr>
      </w:pPr>
      <w:r>
        <w:br w:type="page"/>
      </w:r>
    </w:p>
    <w:tbl>
      <w:tblPr>
        <w:tblOverlap w:val="never"/>
        <w:jc w:val="center"/>
        <w:tblLayout w:type="fixed"/>
      </w:tblPr>
      <w:tblGrid>
        <w:gridCol w:w="4781"/>
        <w:gridCol w:w="4800"/>
      </w:tblGrid>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6,092,582.52</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78" w:val="left"/>
        </w:tabs>
        <w:bidi w:val="0"/>
        <w:spacing w:before="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7</w:t>
      </w:r>
      <w:bookmarkEnd w:id="178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85"/>
      <w:bookmarkEnd w:id="1786"/>
      <w:bookmarkEnd w:id="178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57</w:t>
      </w:r>
      <w:r>
        <w:rPr>
          <w:color w:val="000000"/>
          <w:spacing w:val="0"/>
          <w:w w:val="100"/>
          <w:position w:val="0"/>
        </w:rPr>
        <w:t>。</w:t>
      </w:r>
    </w:p>
    <w:p>
      <w:pPr>
        <w:pStyle w:val="Style27"/>
        <w:keepNext/>
        <w:keepLines/>
        <w:widowControl w:val="0"/>
        <w:shd w:val="clear" w:color="auto" w:fill="auto"/>
        <w:tabs>
          <w:tab w:pos="478" w:val="left"/>
        </w:tabs>
        <w:bidi w:val="0"/>
        <w:spacing w:before="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7</w:t>
      </w:r>
      <w:bookmarkEnd w:id="1791"/>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89"/>
      <w:bookmarkEnd w:id="1790"/>
      <w:bookmarkEnd w:id="1792"/>
    </w:p>
    <w:p>
      <w:pPr>
        <w:pStyle w:val="Style27"/>
        <w:keepNext/>
        <w:keepLines/>
        <w:widowControl w:val="0"/>
        <w:shd w:val="clear" w:color="auto" w:fill="auto"/>
        <w:bidi w:val="0"/>
        <w:spacing w:before="0" w:line="240" w:lineRule="auto"/>
        <w:ind w:left="0" w:right="0" w:firstLine="0"/>
        <w:jc w:val="left"/>
      </w:pPr>
      <w:bookmarkStart w:id="1789" w:name="bookmark1789"/>
      <w:bookmarkStart w:id="1790" w:name="bookmark1790"/>
      <w:bookmarkStart w:id="1793" w:name="bookmark17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89"/>
      <w:bookmarkEnd w:id="1790"/>
      <w:bookmarkEnd w:id="17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3,001,333.43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7,593,048.56</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8,676,152.02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14,179,768.23</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1,405,960.01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4,794,438.14</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净额法核算收入的代收款项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492,756,000.00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w:t>
            </w:r>
            <w:r>
              <w:rPr>
                <w:color w:val="000000"/>
                <w:spacing w:val="0"/>
                <w:w w:val="100"/>
                <w:position w:val="0"/>
              </w:rPr>
              <w:t>3</w:t>
            </w:r>
            <w:r>
              <w:rPr>
                <w:rFonts w:ascii="SimSun" w:eastAsia="SimSun" w:hAnsi="SimSun" w:cs="SimSun"/>
                <w:color w:val="000000"/>
                <w:spacing w:val="0"/>
                <w:w w:val="100"/>
                <w:position w:val="0"/>
              </w:rPr>
              <w:t>个月以上到期的保函保证金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2,434,000.00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4,716,990.39</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257,243.66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239,473.79</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15,774,689.12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524,279,719.11</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27"/>
        <w:keepNext/>
        <w:keepLines/>
        <w:widowControl w:val="0"/>
        <w:shd w:val="clear" w:color="auto" w:fill="auto"/>
        <w:bidi w:val="0"/>
        <w:spacing w:before="0" w:line="240" w:lineRule="auto"/>
        <w:ind w:left="0" w:right="0" w:firstLine="0"/>
        <w:jc w:val="left"/>
      </w:pPr>
      <w:bookmarkStart w:id="1794" w:name="bookmark1794"/>
      <w:bookmarkStart w:id="1795" w:name="bookmark1795"/>
      <w:bookmarkStart w:id="1796" w:name="bookmark17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94"/>
      <w:bookmarkEnd w:id="1795"/>
      <w:bookmarkEnd w:id="17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59,946,109.44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77,860,608.47</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w:t>
            </w:r>
            <w:r>
              <w:rPr>
                <w:color w:val="000000"/>
                <w:spacing w:val="0"/>
                <w:w w:val="100"/>
                <w:position w:val="0"/>
              </w:rPr>
              <w:t>3</w:t>
            </w:r>
            <w:r>
              <w:rPr>
                <w:rFonts w:ascii="SimSun" w:eastAsia="SimSun" w:hAnsi="SimSun" w:cs="SimSun"/>
                <w:color w:val="000000"/>
                <w:spacing w:val="0"/>
                <w:w w:val="100"/>
                <w:position w:val="0"/>
              </w:rPr>
              <w:t>个月以上到期的保函保证金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715,434.16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6,935,608.64</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3,896,727.13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4,485,327.32</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991,952.03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1,894,792.06</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捐赠支出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145,975.00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148,110.98</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204,955.99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2,287,320.47</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65,901,153.75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93,611,767.94</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27"/>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w:t>
      </w:r>
      <w:bookmarkEnd w:id="179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97"/>
      <w:bookmarkEnd w:id="1798"/>
      <w:bookmarkEnd w:id="1800"/>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87"/>
        <w:gridCol w:w="3197"/>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27"/>
        <w:keepNext/>
        <w:keepLines/>
        <w:widowControl w:val="0"/>
        <w:shd w:val="clear" w:color="auto" w:fill="auto"/>
        <w:bidi w:val="0"/>
        <w:spacing w:before="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w:t>
      </w:r>
      <w:bookmarkEnd w:id="180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01"/>
      <w:bookmarkEnd w:id="1802"/>
      <w:bookmarkEnd w:id="18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深圳一卡易科技股份有限公司现金及 现金等价物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88,700,521.91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88,700,521.91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27"/>
        <w:keepNext/>
        <w:keepLines/>
        <w:widowControl w:val="0"/>
        <w:shd w:val="clear" w:color="auto" w:fill="auto"/>
        <w:bidi w:val="0"/>
        <w:spacing w:before="0" w:line="240" w:lineRule="auto"/>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05"/>
      <w:bookmarkEnd w:id="1806"/>
      <w:bookmarkEnd w:id="18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27"/>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09"/>
      <w:bookmarkEnd w:id="1810"/>
      <w:bookmarkEnd w:id="18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偿还租赁负债本金及利息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1,510,956.23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1,510,956.23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27"/>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7</w:t>
      </w:r>
      <w:bookmarkEnd w:id="181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13"/>
      <w:bookmarkEnd w:id="1814"/>
      <w:bookmarkEnd w:id="1816"/>
    </w:p>
    <w:p>
      <w:pPr>
        <w:pStyle w:val="Style27"/>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7" w:name="bookmark18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13"/>
      <w:bookmarkEnd w:id="1814"/>
      <w:bookmarkEnd w:id="18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53,082,673.76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-26,472,407.44</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13,769,182.60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118,051,913.53</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02" w:lineRule="exact"/>
              <w:ind w:left="0" w:right="0" w:firstLine="820"/>
              <w:jc w:val="left"/>
            </w:pPr>
            <w:r>
              <w:rPr>
                <w:rFonts w:ascii="SimSun" w:eastAsia="SimSun" w:hAnsi="SimSun" w:cs="SimSun"/>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29,952,256.61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25,423,303.79</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1,532,514.23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无形资产摊销</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4,149,249.59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19,587,890.07</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6,837,540.97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7,025,140.56</w:t>
            </w:r>
          </w:p>
        </w:tc>
      </w:tr>
      <w:tr>
        <w:trPr>
          <w:trHeight w:val="102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-29,593.98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1,023,212.06</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07" w:lineRule="exact"/>
              <w:ind w:left="0" w:right="0" w:firstLine="820"/>
              <w:jc w:val="left"/>
            </w:pPr>
            <w:r>
              <w:rPr>
                <w:rFonts w:ascii="SimSun" w:eastAsia="SimSun" w:hAnsi="SimSun" w:cs="SimSun"/>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9,656.75</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100" w:line="240" w:lineRule="auto"/>
              <w:ind w:left="0" w:right="0" w:firstLine="820"/>
              <w:jc w:val="left"/>
            </w:pPr>
            <w:r>
              <w:rPr>
                <w:rFonts w:ascii="SimSun" w:eastAsia="SimSun" w:hAnsi="SimSun" w:cs="SimSun"/>
                <w:color w:val="000000"/>
                <w:spacing w:val="0"/>
                <w:w w:val="100"/>
                <w:position w:val="0"/>
              </w:rPr>
              <w:t>公允价值变动损失（收益以</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-4,850,792.37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-3,542,886.64</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财务费用（收益以“一”号填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2,961,041.22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1,629,180.66</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投资损失（收益以“一”号填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-52,130,497.30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-27,627,189.19</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07" w:lineRule="exact"/>
              <w:ind w:left="0" w:right="0" w:firstLine="820"/>
              <w:jc w:val="left"/>
            </w:pPr>
            <w:r>
              <w:rPr>
                <w:rFonts w:ascii="SimSun" w:eastAsia="SimSun" w:hAnsi="SimSun" w:cs="SimSun"/>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-3,676,327.73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-648,655.19</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07" w:lineRule="exact"/>
              <w:ind w:left="0" w:right="0" w:firstLine="820"/>
              <w:jc w:val="left"/>
            </w:pPr>
            <w:r>
              <w:rPr>
                <w:rFonts w:ascii="SimSun" w:eastAsia="SimSun" w:hAnsi="SimSun" w:cs="SimSun"/>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1,234,847.89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-10,414,777.19</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2,777,823.33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-46,711,187.86</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5" w:lineRule="exact"/>
              <w:ind w:left="0" w:right="0" w:firstLine="820"/>
              <w:jc w:val="left"/>
            </w:pPr>
            <w:r>
              <w:rPr>
                <w:rFonts w:ascii="SimSun" w:eastAsia="SimSun" w:hAnsi="SimSun" w:cs="SimSun"/>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-2,905,478.74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455,194,823.92</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exact"/>
              <w:ind w:left="0" w:right="0" w:firstLine="820"/>
              <w:jc w:val="left"/>
            </w:pPr>
            <w:r>
              <w:rPr>
                <w:rFonts w:ascii="SimSun" w:eastAsia="SimSun" w:hAnsi="SimSun" w:cs="SimSun"/>
                <w:color w:val="000000"/>
                <w:spacing w:val="0"/>
                <w:w w:val="100"/>
                <w:position w:val="0"/>
              </w:rPr>
              <w:t>经营性应付项目的增加（减少 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-2,938,603.51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2,627,435.25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12,569,200.00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62,323,335.02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515,155,453.08</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194,134,979.71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459,658,611.46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459,658,611.46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497,972,770.37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886,347.38</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-265,523,631.75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-39,200,506.29</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818" w:name="bookmark1818"/>
      <w:bookmarkStart w:id="1819" w:name="bookmark1819"/>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18"/>
      <w:bookmarkEnd w:id="1819"/>
      <w:bookmarkEnd w:id="18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bookmarkStart w:id="1824" w:name="bookmark1824"/>
      <w:r>
        <w:rPr>
          <w:color w:val="000000"/>
          <w:spacing w:val="0"/>
          <w:w w:val="100"/>
          <w:position w:val="0"/>
        </w:rPr>
        <w:t>（</w:t>
      </w:r>
      <w:bookmarkEnd w:id="1823"/>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21"/>
      <w:bookmarkEnd w:id="1822"/>
      <w:bookmarkEnd w:id="18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25"/>
      <w:bookmarkEnd w:id="1826"/>
      <w:bookmarkEnd w:id="18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194,134,979.71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459,658,611.46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142,506.96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113,411.98</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193,992,322.95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459,545,199.48</w:t>
            </w: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64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149.80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194,134,979.71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459,658,611.46</w:t>
            </w:r>
          </w:p>
        </w:tc>
      </w:tr>
    </w:tbl>
    <w:p>
      <w:pPr>
        <w:widowControl w:val="0"/>
        <w:spacing w:after="5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8</w:t>
      </w:r>
      <w:bookmarkEnd w:id="1831"/>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29"/>
      <w:bookmarkEnd w:id="1830"/>
      <w:bookmarkEnd w:id="1832"/>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说明对上年期末余额进行调整的“其他，，项目名称及调整金额等事项:</w:t>
      </w:r>
    </w:p>
    <w:p>
      <w:pPr>
        <w:pStyle w:val="Style27"/>
        <w:keepNext/>
        <w:keepLines/>
        <w:widowControl w:val="0"/>
        <w:shd w:val="clear" w:color="auto" w:fill="auto"/>
        <w:tabs>
          <w:tab w:pos="483" w:val="left"/>
        </w:tabs>
        <w:bidi w:val="0"/>
        <w:spacing w:before="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8</w:t>
      </w:r>
      <w:bookmarkEnd w:id="1835"/>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33"/>
      <w:bookmarkEnd w:id="1834"/>
      <w:bookmarkEnd w:id="18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7,353,325.32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保函及履约保证金</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78,358,452.55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抵押（注）</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17,450,268.05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抵押（注）</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103,162,045.92</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720" w:line="240" w:lineRule="auto"/>
        <w:ind w:left="0" w:right="0" w:firstLine="0"/>
        <w:jc w:val="left"/>
      </w:pPr>
      <w:r>
        <w:rPr>
          <w:color w:val="000000"/>
          <w:spacing w:val="0"/>
          <w:w w:val="100"/>
          <w:position w:val="0"/>
        </w:rPr>
        <w:t>注：详见第三节六、</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7"/>
        <w:keepNext/>
        <w:keepLines/>
        <w:widowControl w:val="0"/>
        <w:shd w:val="clear" w:color="auto" w:fill="auto"/>
        <w:bidi w:val="0"/>
        <w:spacing w:before="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8</w:t>
      </w:r>
      <w:bookmarkEnd w:id="1839"/>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37"/>
      <w:bookmarkEnd w:id="1838"/>
      <w:bookmarkEnd w:id="1840"/>
    </w:p>
    <w:p>
      <w:pPr>
        <w:pStyle w:val="Style27"/>
        <w:keepNext/>
        <w:keepLines/>
        <w:widowControl w:val="0"/>
        <w:shd w:val="clear" w:color="auto" w:fill="auto"/>
        <w:bidi w:val="0"/>
        <w:spacing w:before="0" w:line="240" w:lineRule="auto"/>
        <w:ind w:left="0" w:right="0" w:firstLine="0"/>
        <w:jc w:val="left"/>
      </w:pPr>
      <w:bookmarkStart w:id="1837" w:name="bookmark1837"/>
      <w:bookmarkStart w:id="1838" w:name="bookmark1838"/>
      <w:bookmarkStart w:id="1841" w:name="bookmark18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37"/>
      <w:bookmarkEnd w:id="1838"/>
      <w:bookmarkEnd w:id="18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7,164,751.30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45,680,304.86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226,286.73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6.7119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1,518,813.90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新加坡元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55,380.70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4.7179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261,280.60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林吉特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1,553,125.00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1.5266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2,371,000.63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420,109.96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2,678,495.07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640"/>
              <w:jc w:val="left"/>
            </w:pPr>
            <w:r>
              <w:rPr>
                <w:rFonts w:ascii="SimSun" w:eastAsia="SimSun" w:hAnsi="SimSun" w:cs="SimSun"/>
                <w:color w:val="000000"/>
                <w:spacing w:val="0"/>
                <w:w w:val="100"/>
                <w:position w:val="0"/>
              </w:rPr>
              <w:t>新加坡元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32.55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1780" w:right="0" w:firstLine="0"/>
              <w:jc w:val="left"/>
            </w:pPr>
            <w:r>
              <w:rPr>
                <w:color w:val="000000"/>
                <w:spacing w:val="0"/>
                <w:w w:val="100"/>
                <w:position w:val="0"/>
              </w:rPr>
              <w:t>4.7179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153.57</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877,552.35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5,595,010.52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其中：新加坡元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98,965.34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4.7179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466,908.58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其中：新加坡元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21,863.75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4.7179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103,150.99</w:t>
            </w:r>
          </w:p>
        </w:tc>
      </w:tr>
      <w:tr>
        <w:trPr>
          <w:trHeight w:val="41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林吉特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1.5266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1,984.58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326" w:lineRule="exact"/>
        <w:ind w:left="0" w:right="0" w:firstLine="0"/>
        <w:jc w:val="left"/>
      </w:pPr>
      <w:bookmarkStart w:id="1842" w:name="bookmark1842"/>
      <w:bookmarkStart w:id="1843" w:name="bookmark1843"/>
      <w:bookmarkStart w:id="1844" w:name="bookmark18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42"/>
      <w:bookmarkEnd w:id="1843"/>
      <w:bookmarkEnd w:id="1844"/>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3840"/>
        <w:gridCol w:w="2693"/>
        <w:gridCol w:w="2702"/>
      </w:tblGrid>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记账本位币</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恒宝国际有限责任公司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新加坡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恒宝科技(印度)私人有限公司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印度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印度卢比</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恒宝(中东非洲)有限责任公司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肯尼亚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肯尼亚先令</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Modularsoft Sdn.Bhd.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马来西亚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林吉特</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Asia Smart Cards Centre(M)Sdn.Bhd.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马来西亚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林吉特</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Chipstone Technologies 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新加坡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Keyfort Pte.Ltd.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新加坡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PT.Chipstone Technologies Indonesia</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印度尼西亚</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印度尼西亚卢比</w:t>
            </w:r>
          </w:p>
        </w:tc>
      </w:tr>
    </w:tbl>
    <w:p>
      <w:pPr>
        <w:widowControl w:val="0"/>
        <w:spacing w:after="619" w:line="1" w:lineRule="exact"/>
      </w:pPr>
    </w:p>
    <w:p>
      <w:pPr>
        <w:pStyle w:val="Style27"/>
        <w:keepNext/>
        <w:keepLines/>
        <w:widowControl w:val="0"/>
        <w:shd w:val="clear" w:color="auto" w:fill="auto"/>
        <w:tabs>
          <w:tab w:pos="483" w:val="left"/>
        </w:tabs>
        <w:bidi w:val="0"/>
        <w:spacing w:before="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8</w:t>
      </w:r>
      <w:bookmarkEnd w:id="1847"/>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45"/>
      <w:bookmarkEnd w:id="1846"/>
      <w:bookmarkEnd w:id="184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7"/>
        <w:keepNext/>
        <w:keepLines/>
        <w:widowControl w:val="0"/>
        <w:shd w:val="clear" w:color="auto" w:fill="auto"/>
        <w:tabs>
          <w:tab w:pos="483" w:val="left"/>
        </w:tabs>
        <w:bidi w:val="0"/>
        <w:spacing w:before="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8</w:t>
      </w:r>
      <w:bookmarkEnd w:id="1851"/>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49"/>
      <w:bookmarkEnd w:id="1850"/>
      <w:bookmarkEnd w:id="1852"/>
    </w:p>
    <w:p>
      <w:pPr>
        <w:pStyle w:val="Style27"/>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3" w:name="bookmark18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49"/>
      <w:bookmarkEnd w:id="1850"/>
      <w:bookmarkEnd w:id="18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计入当期损益的金额</w:t>
            </w:r>
          </w:p>
        </w:tc>
      </w:tr>
      <w:tr>
        <w:trPr>
          <w:trHeight w:val="102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江苏省丹阳高新技术产业开 发区科技发展资助类项目资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697,600.00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697,600.00</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知识产权战略推进计划补助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120,000.00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188,322.29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188,322.29</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省科学技术奖配套奖励资金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100,000.00</w:t>
            </w: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5G</w:t>
            </w:r>
            <w:r>
              <w:rPr>
                <w:rFonts w:ascii="SimSun" w:eastAsia="SimSun" w:hAnsi="SimSun" w:cs="SimSun"/>
                <w:color w:val="000000"/>
                <w:spacing w:val="0"/>
                <w:w w:val="100"/>
                <w:position w:val="0"/>
              </w:rPr>
              <w:t>移动通信网络身份识别</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模块研发及产业化补助资金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324,027.34</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丹阳市省级商务发展专项资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500,000.00</w:t>
            </w:r>
          </w:p>
        </w:tc>
      </w:tr>
      <w:tr>
        <w:trPr>
          <w:trHeight w:val="72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丹阳市促进实体发展专项资 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330,000.00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330,000.00</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丹阳市商务局信保保费项目 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21,000.00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丹阳市科学技术局项目补贴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100,000.00</w:t>
            </w: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新加坡人力资源部就业支持 计戈</w:t>
            </w:r>
            <w:r>
              <w:rPr>
                <w:color w:val="000000"/>
                <w:spacing w:val="0"/>
                <w:w w:val="100"/>
                <w:position w:val="0"/>
              </w:rPr>
              <w:t>U jss sheme</w:t>
            </w:r>
            <w:r>
              <w:rPr>
                <w:rFonts w:ascii="SimSun" w:eastAsia="SimSun" w:hAnsi="SimSun" w:cs="SimSun"/>
                <w:color w:val="000000"/>
                <w:spacing w:val="0"/>
                <w:w w:val="100"/>
                <w:position w:val="0"/>
              </w:rPr>
              <w:t>、</w:t>
            </w:r>
            <w:r>
              <w:rPr>
                <w:color w:val="000000"/>
                <w:spacing w:val="0"/>
                <w:w w:val="100"/>
                <w:position w:val="0"/>
              </w:rPr>
              <w:t>mom subsidy</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76,208.34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76,208.34</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马来西亚疫情政府就业补助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78,669.75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78,669.75</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年进口贴息项目资金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197,700.00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197,700.00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支持企业扩大进口项目补助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50,000.00</w:t>
            </w: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知识产权示范企业创建奖励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100,000.00</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人才工作服务站建设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丹阳市青年就业见习补助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2,444.00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2,444.00</w:t>
            </w: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数字资产密保硬件及管理系 统平台研发与产业化项目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53,137.74</w:t>
            </w: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数字资产密保硬件及管理系 统平台研发与产业化项目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107,692.30</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养老保险基金补贴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15,840.00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15,840.00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失业保险返还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1,167.64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1,167.64</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社保返还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183,000.00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183,000.00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科技奖励扶持经费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122,800.00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122,800.00</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年度建邺高新区促进 产业高质量发展政策资金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20,000.00</w:t>
            </w:r>
          </w:p>
        </w:tc>
      </w:tr>
      <w:tr>
        <w:trPr>
          <w:trHeight w:val="102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建邺区</w:t>
            </w:r>
            <w:r>
              <w:rPr>
                <w:color w:val="000000"/>
                <w:spacing w:val="0"/>
                <w:w w:val="100"/>
                <w:position w:val="0"/>
              </w:rPr>
              <w:t>2020</w:t>
            </w:r>
            <w:r>
              <w:rPr>
                <w:rFonts w:ascii="SimSun" w:eastAsia="SimSun" w:hAnsi="SimSun" w:cs="SimSun"/>
                <w:color w:val="000000"/>
                <w:spacing w:val="0"/>
                <w:w w:val="100"/>
                <w:position w:val="0"/>
              </w:rPr>
              <w:t>年度第二批 省高新技术企业培育资金 （培育贡献奖励）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150,000.00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税收扶持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3,405,600.00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3,405,600.00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10,800.00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10,800.00</w:t>
            </w:r>
          </w:p>
        </w:tc>
      </w:tr>
      <w:tr>
        <w:trPr>
          <w:trHeight w:val="40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8,676,152.02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6,961,009.40</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854" w:name="bookmark1854"/>
      <w:bookmarkStart w:id="1855" w:name="bookmark1855"/>
      <w:bookmarkStart w:id="1856" w:name="bookmark18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54"/>
      <w:bookmarkEnd w:id="1855"/>
      <w:bookmarkEnd w:id="185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8</w:t>
      </w:r>
      <w:bookmarkEnd w:id="1859"/>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57"/>
      <w:bookmarkEnd w:id="1858"/>
      <w:bookmarkEnd w:id="1860"/>
    </w:p>
    <w:p>
      <w:pPr>
        <w:pStyle w:val="Style23"/>
        <w:keepNext/>
        <w:keepLines/>
        <w:widowControl w:val="0"/>
        <w:shd w:val="clear" w:color="auto" w:fill="auto"/>
        <w:bidi w:val="0"/>
        <w:spacing w:before="0" w:after="36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sz w:val="24"/>
          <w:szCs w:val="24"/>
        </w:rPr>
        <w:t>八</w:t>
      </w:r>
      <w:bookmarkEnd w:id="1863"/>
      <w:r>
        <w:rPr>
          <w:color w:val="000000"/>
          <w:spacing w:val="0"/>
          <w:w w:val="100"/>
          <w:position w:val="0"/>
          <w:sz w:val="24"/>
          <w:szCs w:val="24"/>
        </w:rPr>
        <w:t>、合并范围的变更</w:t>
      </w:r>
      <w:bookmarkEnd w:id="1861"/>
      <w:bookmarkEnd w:id="1862"/>
      <w:bookmarkEnd w:id="1864"/>
    </w:p>
    <w:p>
      <w:pPr>
        <w:pStyle w:val="Style27"/>
        <w:keepNext/>
        <w:keepLines/>
        <w:widowControl w:val="0"/>
        <w:shd w:val="clear" w:color="auto" w:fill="auto"/>
        <w:bidi w:val="0"/>
        <w:spacing w:before="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1</w:t>
      </w:r>
      <w:bookmarkEnd w:id="1867"/>
      <w:r>
        <w:rPr>
          <w:color w:val="000000"/>
          <w:spacing w:val="0"/>
          <w:w w:val="100"/>
          <w:position w:val="0"/>
        </w:rPr>
        <w:t>、非同一控制下企业合并</w:t>
      </w:r>
      <w:bookmarkEnd w:id="1865"/>
      <w:bookmarkEnd w:id="1866"/>
      <w:bookmarkEnd w:id="1868"/>
    </w:p>
    <w:p>
      <w:pPr>
        <w:pStyle w:val="Style27"/>
        <w:keepNext/>
        <w:keepLines/>
        <w:widowControl w:val="0"/>
        <w:shd w:val="clear" w:color="auto" w:fill="auto"/>
        <w:bidi w:val="0"/>
        <w:spacing w:before="0" w:line="240" w:lineRule="auto"/>
        <w:ind w:left="0" w:right="0" w:firstLine="0"/>
        <w:jc w:val="left"/>
      </w:pPr>
      <w:bookmarkStart w:id="1865" w:name="bookmark1865"/>
      <w:bookmarkStart w:id="1866" w:name="bookmark1866"/>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65"/>
      <w:bookmarkEnd w:id="1866"/>
      <w:bookmarkEnd w:id="18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6"/>
        <w:gridCol w:w="1061"/>
        <w:gridCol w:w="1070"/>
      </w:tblGrid>
      <w:tr>
        <w:trPr>
          <w:trHeight w:val="135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被购买方 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股权取得 时点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股权取得 成本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股权取得 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股权取得 方式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购买日的</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购买日至 期末被购 买方的收 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购买日至 期末被购 买方的净 利润</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870" w:name="bookmark1870"/>
      <w:bookmarkStart w:id="1871" w:name="bookmark1871"/>
      <w:bookmarkStart w:id="1872" w:name="bookmark18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70"/>
      <w:bookmarkEnd w:id="1871"/>
      <w:bookmarkEnd w:id="18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商誉</w:t>
            </w:r>
            <w:r>
              <w:rPr>
                <w:color w:val="000000"/>
                <w:spacing w:val="0"/>
                <w:w w:val="100"/>
                <w:position w:val="0"/>
              </w:rPr>
              <w:t>/</w:t>
            </w:r>
            <w:r>
              <w:rPr>
                <w:rFonts w:ascii="SimSun" w:eastAsia="SimSun" w:hAnsi="SimSun" w:cs="SimSun"/>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73"/>
      <w:bookmarkEnd w:id="1874"/>
      <w:bookmarkEnd w:id="18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购买日账面价值</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55" w:lineRule="exact"/>
        <w:ind w:left="0" w:right="0" w:firstLine="0"/>
        <w:jc w:val="both"/>
      </w:pPr>
      <w:r>
        <w:rPr>
          <w:color w:val="000000"/>
          <w:spacing w:val="0"/>
          <w:w w:val="100"/>
          <w:position w:val="0"/>
        </w:rPr>
        <w:t>可辨认资产、负债公允价值的确定方法：</w:t>
      </w:r>
    </w:p>
    <w:p>
      <w:pPr>
        <w:pStyle w:val="Style18"/>
        <w:keepNext w:val="0"/>
        <w:keepLines w:val="0"/>
        <w:widowControl w:val="0"/>
        <w:shd w:val="clear" w:color="auto" w:fill="auto"/>
        <w:bidi w:val="0"/>
        <w:spacing w:before="0" w:after="0" w:line="355" w:lineRule="exact"/>
        <w:ind w:left="0" w:right="0" w:firstLine="0"/>
        <w:jc w:val="both"/>
      </w:pPr>
      <w:r>
        <w:rPr>
          <w:color w:val="000000"/>
          <w:spacing w:val="0"/>
          <w:w w:val="100"/>
          <w:position w:val="0"/>
        </w:rPr>
        <w:t>企业合并中承担的被购买方的或有负债：</w:t>
      </w:r>
    </w:p>
    <w:p>
      <w:pPr>
        <w:pStyle w:val="Style18"/>
        <w:keepNext w:val="0"/>
        <w:keepLines w:val="0"/>
        <w:widowControl w:val="0"/>
        <w:shd w:val="clear" w:color="auto" w:fill="auto"/>
        <w:bidi w:val="0"/>
        <w:spacing w:before="0" w:after="360" w:line="355" w:lineRule="exact"/>
        <w:ind w:left="0" w:right="0" w:firstLine="0"/>
        <w:jc w:val="both"/>
      </w:pPr>
      <w:r>
        <w:rPr>
          <w:color w:val="000000"/>
          <w:spacing w:val="0"/>
          <w:w w:val="100"/>
          <w:position w:val="0"/>
        </w:rPr>
        <w:t>其他说明：</w:t>
      </w:r>
    </w:p>
    <w:p>
      <w:pPr>
        <w:pStyle w:val="Style48"/>
        <w:keepNext w:val="0"/>
        <w:keepLines w:val="0"/>
        <w:widowControl w:val="0"/>
        <w:numPr>
          <w:ilvl w:val="0"/>
          <w:numId w:val="79"/>
        </w:numPr>
        <w:shd w:val="clear" w:color="auto" w:fill="auto"/>
        <w:tabs>
          <w:tab w:pos="498" w:val="left"/>
        </w:tabs>
        <w:bidi w:val="0"/>
        <w:spacing w:before="0" w:after="240" w:line="240" w:lineRule="auto"/>
        <w:ind w:left="0" w:right="0" w:firstLine="0"/>
        <w:jc w:val="both"/>
      </w:pPr>
      <w:bookmarkStart w:id="1877" w:name="bookmark1877"/>
      <w:bookmarkEnd w:id="1877"/>
      <w:r>
        <w:rPr>
          <w:color w:val="000000"/>
          <w:spacing w:val="0"/>
          <w:w w:val="100"/>
          <w:position w:val="0"/>
        </w:rPr>
        <w:t>购买日之前持有的股权按照公允价值重新计量产生的利得或损失</w:t>
      </w:r>
    </w:p>
    <w:p>
      <w:pPr>
        <w:pStyle w:val="Style18"/>
        <w:keepNext w:val="0"/>
        <w:keepLines w:val="0"/>
        <w:widowControl w:val="0"/>
        <w:shd w:val="clear" w:color="auto" w:fill="auto"/>
        <w:bidi w:val="0"/>
        <w:spacing w:before="0" w:after="360" w:line="355" w:lineRule="exact"/>
        <w:ind w:left="0" w:right="0" w:firstLine="0"/>
        <w:jc w:val="both"/>
      </w:pPr>
      <w:r>
        <w:rPr>
          <w:color w:val="000000"/>
          <w:spacing w:val="0"/>
          <w:w w:val="100"/>
          <w:position w:val="0"/>
        </w:rPr>
        <w:t>是否存在通过多次交易分步实现企业合并且在报告期内取得控制权的交易 口是"否</w:t>
      </w:r>
    </w:p>
    <w:p>
      <w:pPr>
        <w:pStyle w:val="Style48"/>
        <w:keepNext w:val="0"/>
        <w:keepLines w:val="0"/>
        <w:widowControl w:val="0"/>
        <w:numPr>
          <w:ilvl w:val="0"/>
          <w:numId w:val="79"/>
        </w:numPr>
        <w:shd w:val="clear" w:color="auto" w:fill="auto"/>
        <w:tabs>
          <w:tab w:pos="498" w:val="left"/>
        </w:tabs>
        <w:bidi w:val="0"/>
        <w:spacing w:before="0" w:line="240" w:lineRule="auto"/>
        <w:ind w:left="0" w:right="0" w:firstLine="0"/>
        <w:jc w:val="both"/>
      </w:pPr>
      <w:bookmarkStart w:id="1878" w:name="bookmark1878"/>
      <w:bookmarkEnd w:id="1878"/>
      <w:r>
        <w:rPr>
          <w:color w:val="000000"/>
          <w:spacing w:val="0"/>
          <w:w w:val="100"/>
          <w:position w:val="0"/>
        </w:rPr>
        <w:t>购买日或合并当期期末无法合理确定合并对价或被购买方可辨认资产、负债公允价值的相关说明</w:t>
      </w:r>
    </w:p>
    <w:p>
      <w:pPr>
        <w:pStyle w:val="Style48"/>
        <w:keepNext w:val="0"/>
        <w:keepLines w:val="0"/>
        <w:widowControl w:val="0"/>
        <w:numPr>
          <w:ilvl w:val="0"/>
          <w:numId w:val="79"/>
        </w:numPr>
        <w:shd w:val="clear" w:color="auto" w:fill="auto"/>
        <w:tabs>
          <w:tab w:pos="498" w:val="left"/>
        </w:tabs>
        <w:bidi w:val="0"/>
        <w:spacing w:before="0" w:line="240" w:lineRule="auto"/>
        <w:ind w:left="0" w:right="0" w:firstLine="0"/>
        <w:jc w:val="both"/>
      </w:pPr>
      <w:bookmarkStart w:id="1879" w:name="bookmark1879"/>
      <w:bookmarkEnd w:id="1879"/>
      <w:r>
        <w:rPr>
          <w:color w:val="000000"/>
          <w:spacing w:val="0"/>
          <w:w w:val="100"/>
          <w:position w:val="0"/>
        </w:rPr>
        <w:t>其他说明</w:t>
      </w:r>
    </w:p>
    <w:p>
      <w:pPr>
        <w:pStyle w:val="Style48"/>
        <w:keepNext w:val="0"/>
        <w:keepLines w:val="0"/>
        <w:widowControl w:val="0"/>
        <w:shd w:val="clear" w:color="auto" w:fill="auto"/>
        <w:bidi w:val="0"/>
        <w:spacing w:before="0" w:line="240" w:lineRule="auto"/>
        <w:ind w:left="0" w:right="0" w:firstLine="0"/>
        <w:jc w:val="both"/>
      </w:pPr>
      <w:bookmarkStart w:id="1880" w:name="bookmark1880"/>
      <w:r>
        <w:rPr>
          <w:rFonts w:ascii="Times New Roman" w:eastAsia="Times New Roman" w:hAnsi="Times New Roman" w:cs="Times New Roman"/>
          <w:color w:val="000000"/>
          <w:spacing w:val="0"/>
          <w:w w:val="100"/>
          <w:position w:val="0"/>
        </w:rPr>
        <w:t>2</w:t>
      </w:r>
      <w:bookmarkEnd w:id="1880"/>
      <w:r>
        <w:rPr>
          <w:color w:val="000000"/>
          <w:spacing w:val="0"/>
          <w:w w:val="100"/>
          <w:position w:val="0"/>
        </w:rPr>
        <w:t>、同一控制下企业合并</w:t>
      </w:r>
    </w:p>
    <w:p>
      <w:pPr>
        <w:pStyle w:val="Style48"/>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p>
    <w:p>
      <w:pPr>
        <w:pStyle w:val="Style18"/>
        <w:keepNext w:val="0"/>
        <w:keepLines w:val="0"/>
        <w:widowControl w:val="0"/>
        <w:shd w:val="clear" w:color="auto" w:fill="auto"/>
        <w:bidi w:val="0"/>
        <w:spacing w:before="0" w:after="80" w:line="355" w:lineRule="exact"/>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1"/>
        <w:gridCol w:w="1066"/>
        <w:gridCol w:w="1066"/>
        <w:gridCol w:w="1061"/>
        <w:gridCol w:w="1075"/>
      </w:tblGrid>
      <w:tr>
        <w:trPr>
          <w:trHeight w:val="166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160" w:right="0" w:firstLine="0"/>
              <w:jc w:val="left"/>
            </w:pPr>
            <w:r>
              <w:rPr>
                <w:rFonts w:ascii="SimSun" w:eastAsia="SimSun" w:hAnsi="SimSun" w:cs="SimSun"/>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构成同一</w:t>
            </w:r>
          </w:p>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控制下企</w:t>
            </w:r>
          </w:p>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业合并的</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合并日的 确定依据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合并当期 期初至合 并日被合 并方的收 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合并当期</w:t>
            </w:r>
          </w:p>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期初至合</w:t>
            </w:r>
          </w:p>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并日被合</w:t>
            </w:r>
          </w:p>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并方的净</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比较期间</w:t>
            </w:r>
          </w:p>
          <w:p>
            <w:pPr>
              <w:pStyle w:val="Style20"/>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被合并方</w:t>
            </w:r>
          </w:p>
          <w:p>
            <w:pPr>
              <w:pStyle w:val="Style20"/>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比较期间 被合并方 的净利润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881" w:name="bookmark1881"/>
      <w:bookmarkStart w:id="1882" w:name="bookmark1882"/>
      <w:bookmarkStart w:id="1883" w:name="bookmark18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81"/>
      <w:bookmarkEnd w:id="1882"/>
      <w:bookmarkEnd w:id="18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或有对价及其变动的说明: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84"/>
      <w:bookmarkEnd w:id="1885"/>
      <w:bookmarkEnd w:id="18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企业合并中承担的被合并方的或有负债：</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3</w:t>
      </w:r>
      <w:bookmarkEnd w:id="1890"/>
      <w:r>
        <w:rPr>
          <w:color w:val="000000"/>
          <w:spacing w:val="0"/>
          <w:w w:val="100"/>
          <w:position w:val="0"/>
        </w:rPr>
        <w:t>、反向购买</w:t>
      </w:r>
      <w:bookmarkEnd w:id="1888"/>
      <w:bookmarkEnd w:id="1889"/>
      <w:bookmarkEnd w:id="1891"/>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交易基本信息、交易构成反向购买的依据、上市公司保留的资产、负债是否构成业务及其依据、合并成本的确定、按照权益 </w:t>
      </w:r>
      <w:r>
        <w:rPr>
          <w:color w:val="000000"/>
          <w:spacing w:val="0"/>
          <w:w w:val="100"/>
          <w:position w:val="0"/>
        </w:rPr>
        <w:t>性交易处理时调整权益的金额及其计算：</w:t>
      </w:r>
    </w:p>
    <w:p>
      <w:pPr>
        <w:pStyle w:val="Style27"/>
        <w:keepNext/>
        <w:keepLines/>
        <w:widowControl w:val="0"/>
        <w:shd w:val="clear" w:color="auto" w:fill="auto"/>
        <w:tabs>
          <w:tab w:pos="378" w:val="left"/>
        </w:tabs>
        <w:bidi w:val="0"/>
        <w:spacing w:before="0" w:after="24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4</w:t>
      </w:r>
      <w:bookmarkEnd w:id="1894"/>
      <w:r>
        <w:rPr>
          <w:color w:val="000000"/>
          <w:spacing w:val="0"/>
          <w:w w:val="100"/>
          <w:position w:val="0"/>
        </w:rPr>
        <w:t>、</w:t>
        <w:tab/>
        <w:t>处置子公司</w:t>
      </w:r>
      <w:bookmarkEnd w:id="1892"/>
      <w:bookmarkEnd w:id="1893"/>
      <w:bookmarkEnd w:id="1895"/>
    </w:p>
    <w:p>
      <w:pPr>
        <w:pStyle w:val="Style18"/>
        <w:keepNext w:val="0"/>
        <w:keepLines w:val="0"/>
        <w:widowControl w:val="0"/>
        <w:shd w:val="clear" w:color="auto" w:fill="auto"/>
        <w:bidi w:val="0"/>
        <w:spacing w:before="0" w:after="0" w:line="350" w:lineRule="exact"/>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340" w:line="350" w:lineRule="exact"/>
        <w:ind w:left="0" w:right="0" w:firstLine="0"/>
        <w:jc w:val="left"/>
      </w:pPr>
      <w:r>
        <w:rPr>
          <w:color w:val="000000"/>
          <w:spacing w:val="0"/>
          <w:w w:val="100"/>
          <w:position w:val="0"/>
        </w:rPr>
        <w:t>是否存在通过多次交易分步处置对子公司投资且在本期丧失控制权的情形 口是"否</w:t>
      </w:r>
    </w:p>
    <w:p>
      <w:pPr>
        <w:pStyle w:val="Style27"/>
        <w:keepNext/>
        <w:keepLines/>
        <w:widowControl w:val="0"/>
        <w:shd w:val="clear" w:color="auto" w:fill="auto"/>
        <w:tabs>
          <w:tab w:pos="378" w:val="left"/>
        </w:tabs>
        <w:bidi w:val="0"/>
        <w:spacing w:before="0" w:after="24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5</w:t>
      </w:r>
      <w:bookmarkEnd w:id="1898"/>
      <w:r>
        <w:rPr>
          <w:color w:val="000000"/>
          <w:spacing w:val="0"/>
          <w:w w:val="100"/>
          <w:position w:val="0"/>
        </w:rPr>
        <w:t>、</w:t>
        <w:tab/>
        <w:t>其他原因的合并范围变动</w:t>
      </w:r>
      <w:bookmarkEnd w:id="1896"/>
      <w:bookmarkEnd w:id="1897"/>
      <w:bookmarkEnd w:id="1899"/>
    </w:p>
    <w:p>
      <w:pPr>
        <w:pStyle w:val="Style18"/>
        <w:keepNext w:val="0"/>
        <w:keepLines w:val="0"/>
        <w:widowControl w:val="0"/>
        <w:shd w:val="clear" w:color="auto" w:fill="auto"/>
        <w:bidi w:val="0"/>
        <w:spacing w:before="0" w:after="0" w:line="333" w:lineRule="exact"/>
        <w:ind w:left="0" w:right="0" w:firstLine="0"/>
        <w:jc w:val="left"/>
      </w:pPr>
      <w:r>
        <w:rPr>
          <w:color w:val="000000"/>
          <w:spacing w:val="0"/>
          <w:w w:val="100"/>
          <w:position w:val="0"/>
        </w:rPr>
        <w:t>说明其他原因导致的合并范围变动（如，新设子公司、清算子公司等）及其相关情况：</w:t>
      </w:r>
    </w:p>
    <w:p>
      <w:pPr>
        <w:pStyle w:val="Style18"/>
        <w:keepNext w:val="0"/>
        <w:keepLines w:val="0"/>
        <w:widowControl w:val="0"/>
        <w:shd w:val="clear" w:color="auto" w:fill="auto"/>
        <w:bidi w:val="0"/>
        <w:spacing w:before="0" w:after="340" w:line="315" w:lineRule="exact"/>
        <w:ind w:left="0" w:right="0"/>
        <w:jc w:val="both"/>
      </w:pPr>
      <w:r>
        <w:rPr>
          <w:color w:val="000000"/>
          <w:spacing w:val="0"/>
          <w:w w:val="100"/>
          <w:position w:val="0"/>
        </w:rPr>
        <w:t>公司于2021年3月31日召开第七届董事会第十二次临时会议、第七届监事会第九次临时会议审议通过了《关于深圳一卡 易股份科技股份有限公司不再纳入公司合并报表范围的议案》，一卡易股份本期不再纳入公司合并报表范围。同时，深圳一 卡易股份科技股份有限公司子公司深圳钱客多信息科技有限公司及深圳一卡易网络科技有限公司本期不再纳入公司合并报 表范围。</w:t>
      </w:r>
    </w:p>
    <w:p>
      <w:pPr>
        <w:pStyle w:val="Style27"/>
        <w:keepNext/>
        <w:keepLines/>
        <w:widowControl w:val="0"/>
        <w:shd w:val="clear" w:color="auto" w:fill="auto"/>
        <w:tabs>
          <w:tab w:pos="378" w:val="left"/>
        </w:tabs>
        <w:bidi w:val="0"/>
        <w:spacing w:before="0" w:after="340" w:line="240" w:lineRule="auto"/>
        <w:ind w:left="0" w:right="0" w:firstLine="0"/>
        <w:jc w:val="both"/>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6</w:t>
      </w:r>
      <w:bookmarkEnd w:id="1902"/>
      <w:r>
        <w:rPr>
          <w:color w:val="000000"/>
          <w:spacing w:val="0"/>
          <w:w w:val="100"/>
          <w:position w:val="0"/>
        </w:rPr>
        <w:t>、</w:t>
        <w:tab/>
        <w:t>其他</w:t>
      </w:r>
      <w:bookmarkEnd w:id="1900"/>
      <w:bookmarkEnd w:id="1901"/>
      <w:bookmarkEnd w:id="1903"/>
    </w:p>
    <w:p>
      <w:pPr>
        <w:pStyle w:val="Style23"/>
        <w:keepNext/>
        <w:keepLines/>
        <w:widowControl w:val="0"/>
        <w:shd w:val="clear" w:color="auto" w:fill="auto"/>
        <w:bidi w:val="0"/>
        <w:spacing w:before="0" w:after="340" w:line="240" w:lineRule="auto"/>
        <w:ind w:left="0" w:right="0" w:firstLine="0"/>
        <w:jc w:val="both"/>
      </w:pPr>
      <w:bookmarkStart w:id="1904" w:name="bookmark1904"/>
      <w:bookmarkStart w:id="1905" w:name="bookmark1905"/>
      <w:bookmarkStart w:id="1906" w:name="bookmark1906"/>
      <w:bookmarkStart w:id="1907" w:name="bookmark1907"/>
      <w:r>
        <w:rPr>
          <w:color w:val="000000"/>
          <w:spacing w:val="0"/>
          <w:w w:val="100"/>
          <w:position w:val="0"/>
          <w:sz w:val="24"/>
          <w:szCs w:val="24"/>
        </w:rPr>
        <w:t>九</w:t>
      </w:r>
      <w:bookmarkEnd w:id="1906"/>
      <w:r>
        <w:rPr>
          <w:color w:val="000000"/>
          <w:spacing w:val="0"/>
          <w:w w:val="100"/>
          <w:position w:val="0"/>
          <w:sz w:val="24"/>
          <w:szCs w:val="24"/>
        </w:rPr>
        <w:t>、在其他主体中的权益</w:t>
      </w:r>
      <w:bookmarkEnd w:id="1904"/>
      <w:bookmarkEnd w:id="1905"/>
      <w:bookmarkEnd w:id="1907"/>
    </w:p>
    <w:p>
      <w:pPr>
        <w:pStyle w:val="Style27"/>
        <w:keepNext/>
        <w:keepLines/>
        <w:widowControl w:val="0"/>
        <w:shd w:val="clear" w:color="auto" w:fill="auto"/>
        <w:bidi w:val="0"/>
        <w:spacing w:before="0" w:after="340" w:line="240" w:lineRule="auto"/>
        <w:ind w:left="0" w:right="0" w:firstLine="0"/>
        <w:jc w:val="both"/>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1</w:t>
      </w:r>
      <w:bookmarkEnd w:id="1910"/>
      <w:r>
        <w:rPr>
          <w:color w:val="000000"/>
          <w:spacing w:val="0"/>
          <w:w w:val="100"/>
          <w:position w:val="0"/>
        </w:rPr>
        <w:t>、在子公司中的权益</w:t>
      </w:r>
      <w:bookmarkEnd w:id="1908"/>
      <w:bookmarkEnd w:id="1909"/>
      <w:bookmarkEnd w:id="1911"/>
    </w:p>
    <w:p>
      <w:pPr>
        <w:pStyle w:val="Style27"/>
        <w:keepNext/>
        <w:keepLines/>
        <w:widowControl w:val="0"/>
        <w:shd w:val="clear" w:color="auto" w:fill="auto"/>
        <w:bidi w:val="0"/>
        <w:spacing w:before="0" w:after="340" w:line="240" w:lineRule="auto"/>
        <w:ind w:left="0" w:right="0" w:firstLine="0"/>
        <w:jc w:val="both"/>
      </w:pPr>
      <w:bookmarkStart w:id="1908" w:name="bookmark1908"/>
      <w:bookmarkStart w:id="1909" w:name="bookmark1909"/>
      <w:bookmarkStart w:id="1912" w:name="bookmark19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08"/>
      <w:bookmarkEnd w:id="1909"/>
      <w:bookmarkEnd w:id="1912"/>
    </w:p>
    <w:tbl>
      <w:tblPr>
        <w:tblOverlap w:val="never"/>
        <w:jc w:val="center"/>
        <w:tblLayout w:type="fixed"/>
      </w:tblPr>
      <w:tblGrid>
        <w:gridCol w:w="1373"/>
        <w:gridCol w:w="1368"/>
        <w:gridCol w:w="1368"/>
        <w:gridCol w:w="1368"/>
        <w:gridCol w:w="1363"/>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江苏恒宝智能 系统技术有限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北京东方英卡</w:t>
            </w:r>
          </w:p>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数字信息技术</w:t>
            </w:r>
          </w:p>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恒宝国际有限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恒宝科技（印 度）私人有限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Modularsoft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Sdn.Bhd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马来西亚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马来西亚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企业合并取得</w:t>
            </w:r>
          </w:p>
        </w:tc>
      </w:tr>
      <w:tr>
        <w:trPr>
          <w:trHeight w:val="72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Asia Smart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Cards</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马来西亚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马来西亚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非同一控制下</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企业合并取得</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3"/>
      </w:tblGrid>
      <w:tr>
        <w:trPr>
          <w:trHeight w:val="67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Centre(M)Sdn.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Bhd.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Chipstone</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Technologies</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Pte.Ltd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Keyfort Pte.Ltd</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云宝金服（北 京）科技有限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云玥科技（上 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恒宝（中东非 洲）有限责任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肯尼亚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肯尼亚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PT.Chipstone</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Technologies</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Indonesia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印度尼西亚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印度尼西亚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海南省恒宝数 字科技有限公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海南澄迈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海南澄迈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软件和信息技</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恒宝物联网有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江苏镇江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江苏镇江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软件和信息技</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恒宝润芯数字</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科技推广和应 用服务业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1913" w:name="bookmark1913"/>
      <w:bookmarkStart w:id="1914" w:name="bookmark1914"/>
      <w:bookmarkStart w:id="1915" w:name="bookmark19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13"/>
      <w:bookmarkEnd w:id="1914"/>
      <w:bookmarkEnd w:id="191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本期归属于少数股东 的损益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本期向少数股东宣告 分派的股利</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期末少数股东权益余 额</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w:t>
      </w:r>
      <w:bookmarkEnd w:id="191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16"/>
      <w:bookmarkEnd w:id="1917"/>
      <w:bookmarkEnd w:id="191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4"/>
        <w:gridCol w:w="734"/>
        <w:gridCol w:w="739"/>
        <w:gridCol w:w="734"/>
        <w:gridCol w:w="734"/>
        <w:gridCol w:w="734"/>
        <w:gridCol w:w="739"/>
        <w:gridCol w:w="74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 司名 称</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流动</w:t>
            </w:r>
          </w:p>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资产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动资</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资产</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流动</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动负</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负债</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流动</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动资</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资产</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流动</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动负</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债</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负债</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子公司名 称</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经营活动</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现金流量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经营活动</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现金流量</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98" w:val="left"/>
        </w:tabs>
        <w:bidi w:val="0"/>
        <w:spacing w:before="0" w:line="240" w:lineRule="auto"/>
        <w:ind w:left="0" w:right="0" w:firstLine="0"/>
        <w:jc w:val="left"/>
      </w:pPr>
      <w:bookmarkStart w:id="1920" w:name="bookmark1920"/>
      <w:bookmarkStart w:id="1921" w:name="bookmark1921"/>
      <w:bookmarkStart w:id="1922" w:name="bookmark1922"/>
      <w:bookmarkStart w:id="1923" w:name="bookmark1923"/>
      <w:r>
        <w:rPr>
          <w:color w:val="000000"/>
          <w:spacing w:val="0"/>
          <w:w w:val="100"/>
          <w:position w:val="0"/>
        </w:rPr>
        <w:t>（</w:t>
      </w:r>
      <w:bookmarkEnd w:id="192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20"/>
      <w:bookmarkEnd w:id="1921"/>
      <w:bookmarkEnd w:id="1923"/>
    </w:p>
    <w:p>
      <w:pPr>
        <w:pStyle w:val="Style27"/>
        <w:keepNext/>
        <w:keepLines/>
        <w:widowControl w:val="0"/>
        <w:shd w:val="clear" w:color="auto" w:fill="auto"/>
        <w:tabs>
          <w:tab w:pos="498" w:val="left"/>
        </w:tabs>
        <w:bidi w:val="0"/>
        <w:spacing w:before="0" w:line="240" w:lineRule="auto"/>
        <w:ind w:left="0" w:right="0" w:firstLine="0"/>
        <w:jc w:val="left"/>
      </w:pPr>
      <w:bookmarkStart w:id="1920" w:name="bookmark1920"/>
      <w:bookmarkStart w:id="1921" w:name="bookmark1921"/>
      <w:bookmarkStart w:id="1924" w:name="bookmark1924"/>
      <w:bookmarkStart w:id="1925" w:name="bookmark1925"/>
      <w:r>
        <w:rPr>
          <w:color w:val="000000"/>
          <w:spacing w:val="0"/>
          <w:w w:val="100"/>
          <w:position w:val="0"/>
        </w:rPr>
        <w:t>（</w:t>
      </w:r>
      <w:bookmarkEnd w:id="192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20"/>
      <w:bookmarkEnd w:id="1921"/>
      <w:bookmarkEnd w:id="1925"/>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2</w:t>
      </w:r>
      <w:bookmarkEnd w:id="1928"/>
      <w:r>
        <w:rPr>
          <w:color w:val="000000"/>
          <w:spacing w:val="0"/>
          <w:w w:val="100"/>
          <w:position w:val="0"/>
        </w:rPr>
        <w:t>、在子公司的所有者权益份额发生变化且仍控制子公司的交易</w:t>
      </w:r>
      <w:bookmarkEnd w:id="1926"/>
      <w:bookmarkEnd w:id="1927"/>
      <w:bookmarkEnd w:id="1929"/>
    </w:p>
    <w:p>
      <w:pPr>
        <w:pStyle w:val="Style27"/>
        <w:keepNext/>
        <w:keepLines/>
        <w:widowControl w:val="0"/>
        <w:shd w:val="clear" w:color="auto" w:fill="auto"/>
        <w:tabs>
          <w:tab w:pos="498" w:val="left"/>
        </w:tabs>
        <w:bidi w:val="0"/>
        <w:spacing w:before="0" w:line="240" w:lineRule="auto"/>
        <w:ind w:left="0" w:right="0" w:firstLine="0"/>
        <w:jc w:val="left"/>
      </w:pPr>
      <w:bookmarkStart w:id="1926" w:name="bookmark1926"/>
      <w:bookmarkStart w:id="1927" w:name="bookmark1927"/>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26"/>
      <w:bookmarkEnd w:id="1927"/>
      <w:bookmarkEnd w:id="1931"/>
    </w:p>
    <w:p>
      <w:pPr>
        <w:pStyle w:val="Style27"/>
        <w:keepNext/>
        <w:keepLines/>
        <w:widowControl w:val="0"/>
        <w:shd w:val="clear" w:color="auto" w:fill="auto"/>
        <w:tabs>
          <w:tab w:pos="498" w:val="left"/>
        </w:tabs>
        <w:bidi w:val="0"/>
        <w:spacing w:before="0" w:line="240" w:lineRule="auto"/>
        <w:ind w:left="0" w:right="0" w:firstLine="0"/>
        <w:jc w:val="left"/>
      </w:pPr>
      <w:bookmarkStart w:id="1926" w:name="bookmark1926"/>
      <w:bookmarkStart w:id="1927" w:name="bookmark1927"/>
      <w:bookmarkStart w:id="1932" w:name="bookmark1932"/>
      <w:bookmarkStart w:id="1933" w:name="bookmark1933"/>
      <w:r>
        <w:rPr>
          <w:color w:val="000000"/>
          <w:spacing w:val="0"/>
          <w:w w:val="100"/>
          <w:position w:val="0"/>
        </w:rPr>
        <w:t>（</w:t>
      </w:r>
      <w:bookmarkEnd w:id="193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26"/>
      <w:bookmarkEnd w:id="1927"/>
      <w:bookmarkEnd w:id="19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购买成本</w:t>
            </w:r>
            <w:r>
              <w:rPr>
                <w:color w:val="000000"/>
                <w:spacing w:val="0"/>
                <w:w w:val="100"/>
                <w:position w:val="0"/>
              </w:rPr>
              <w:t>/</w:t>
            </w:r>
            <w:r>
              <w:rPr>
                <w:rFonts w:ascii="SimSun" w:eastAsia="SimSun" w:hAnsi="SimSun" w:cs="SimSun"/>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购买成本</w:t>
            </w:r>
            <w:r>
              <w:rPr>
                <w:color w:val="000000"/>
                <w:spacing w:val="0"/>
                <w:w w:val="100"/>
                <w:position w:val="0"/>
              </w:rPr>
              <w:t>/</w:t>
            </w:r>
            <w:r>
              <w:rPr>
                <w:rFonts w:ascii="SimSun" w:eastAsia="SimSun" w:hAnsi="SimSun" w:cs="SimSun"/>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减：按取得</w:t>
            </w:r>
            <w:r>
              <w:rPr>
                <w:color w:val="000000"/>
                <w:spacing w:val="0"/>
                <w:w w:val="100"/>
                <w:position w:val="0"/>
              </w:rPr>
              <w:t>/</w:t>
            </w:r>
            <w:r>
              <w:rPr>
                <w:rFonts w:ascii="SimSun" w:eastAsia="SimSun" w:hAnsi="SimSun" w:cs="SimSun"/>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3</w:t>
      </w:r>
      <w:bookmarkEnd w:id="1936"/>
      <w:r>
        <w:rPr>
          <w:color w:val="000000"/>
          <w:spacing w:val="0"/>
          <w:w w:val="100"/>
          <w:position w:val="0"/>
        </w:rPr>
        <w:t>、在合营安排或联营企业中的权益</w:t>
      </w:r>
      <w:bookmarkEnd w:id="1934"/>
      <w:bookmarkEnd w:id="1935"/>
      <w:bookmarkEnd w:id="1937"/>
    </w:p>
    <w:p>
      <w:pPr>
        <w:pStyle w:val="Style27"/>
        <w:keepNext/>
        <w:keepLines/>
        <w:widowControl w:val="0"/>
        <w:shd w:val="clear" w:color="auto" w:fill="auto"/>
        <w:bidi w:val="0"/>
        <w:spacing w:before="0" w:line="240" w:lineRule="auto"/>
        <w:ind w:left="0" w:right="0" w:firstLine="0"/>
        <w:jc w:val="left"/>
      </w:pPr>
      <w:bookmarkStart w:id="1934" w:name="bookmark1934"/>
      <w:bookmarkStart w:id="1935" w:name="bookmark1935"/>
      <w:bookmarkStart w:id="1938" w:name="bookmark19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34"/>
      <w:bookmarkEnd w:id="1935"/>
      <w:bookmarkEnd w:id="1938"/>
    </w:p>
    <w:tbl>
      <w:tblPr>
        <w:tblOverlap w:val="never"/>
        <w:jc w:val="center"/>
        <w:tblLayout w:type="fixed"/>
      </w:tblPr>
      <w:tblGrid>
        <w:gridCol w:w="1373"/>
        <w:gridCol w:w="1368"/>
        <w:gridCol w:w="1368"/>
        <w:gridCol w:w="1368"/>
        <w:gridCol w:w="1363"/>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上海恒毓投资 中心（有限合 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27"/>
        <w:keepNext/>
        <w:keepLines/>
        <w:widowControl w:val="0"/>
        <w:shd w:val="clear" w:color="auto" w:fill="auto"/>
        <w:bidi w:val="0"/>
        <w:spacing w:before="0" w:line="240" w:lineRule="auto"/>
        <w:ind w:left="0" w:right="0" w:firstLine="0"/>
        <w:jc w:val="left"/>
      </w:pPr>
      <w:bookmarkStart w:id="1939" w:name="bookmark1939"/>
      <w:bookmarkStart w:id="1940" w:name="bookmark1940"/>
      <w:bookmarkStart w:id="1941" w:name="bookmark19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39"/>
      <w:bookmarkEnd w:id="1940"/>
      <w:bookmarkEnd w:id="19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numPr>
          <w:ilvl w:val="0"/>
          <w:numId w:val="81"/>
        </w:numPr>
        <w:shd w:val="clear" w:color="auto" w:fill="auto"/>
        <w:bidi w:val="0"/>
        <w:spacing w:before="0" w:after="380" w:line="240" w:lineRule="auto"/>
        <w:ind w:left="0" w:right="0" w:firstLine="0"/>
        <w:jc w:val="left"/>
      </w:pPr>
      <w:bookmarkStart w:id="1942" w:name="bookmark1942"/>
      <w:bookmarkStart w:id="1943" w:name="bookmark1943"/>
      <w:bookmarkStart w:id="1944" w:name="bookmark1944"/>
      <w:bookmarkStart w:id="1945" w:name="bookmark1945"/>
      <w:bookmarkEnd w:id="1944"/>
      <w:r>
        <w:rPr>
          <w:color w:val="000000"/>
          <w:spacing w:val="0"/>
          <w:w w:val="100"/>
          <w:position w:val="0"/>
        </w:rPr>
        <w:t>重要联营企业的主要财务信息</w:t>
      </w:r>
      <w:bookmarkEnd w:id="1942"/>
      <w:bookmarkEnd w:id="1943"/>
      <w:bookmarkEnd w:id="19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122,445,377.30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101,809,419.63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360,269,306.00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448,157,545.81</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482,714,683.30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549,966,965.44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26,981,871.00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26,981,871.00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455,732,812.30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549,966,965.44</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179,558,728.05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216,686,984.39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170,732,650.33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216,686,984.39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125,333.33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59,016,730.20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8,958,245.32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6,413,292.33</w:t>
            </w:r>
          </w:p>
        </w:tc>
      </w:tr>
    </w:tbl>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59,016,730.20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15,371,537.65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bookmarkStart w:id="1949" w:name="bookmark1949"/>
      <w:r>
        <w:rPr>
          <w:color w:val="000000"/>
          <w:spacing w:val="0"/>
          <w:w w:val="100"/>
          <w:position w:val="0"/>
        </w:rPr>
        <w:t>（</w:t>
      </w:r>
      <w:bookmarkEnd w:id="1948"/>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46"/>
      <w:bookmarkEnd w:id="1947"/>
      <w:bookmarkEnd w:id="19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⑸</w:t>
      </w:r>
      <w:bookmarkEnd w:id="1952"/>
      <w:r>
        <w:rPr>
          <w:color w:val="000000"/>
          <w:spacing w:val="0"/>
          <w:w w:val="100"/>
          <w:position w:val="0"/>
        </w:rPr>
        <w:t>合营企业或联营企业向本公司转移资金的能力存在重大限制的说明</w:t>
      </w:r>
      <w:bookmarkEnd w:id="1950"/>
      <w:bookmarkEnd w:id="1951"/>
      <w:bookmarkEnd w:id="1953"/>
    </w:p>
    <w:p>
      <w:pPr>
        <w:pStyle w:val="Style27"/>
        <w:keepNext/>
        <w:keepLines/>
        <w:widowControl w:val="0"/>
        <w:shd w:val="clear" w:color="auto" w:fill="auto"/>
        <w:bidi w:val="0"/>
        <w:spacing w:before="0" w:line="240" w:lineRule="auto"/>
        <w:ind w:left="0" w:right="0" w:firstLine="0"/>
        <w:jc w:val="left"/>
      </w:pPr>
      <w:bookmarkStart w:id="1950" w:name="bookmark1950"/>
      <w:bookmarkStart w:id="1951" w:name="bookmark1951"/>
      <w:bookmarkStart w:id="1954" w:name="bookmark1954"/>
      <w:bookmarkStart w:id="1955" w:name="bookmark1955"/>
      <w:r>
        <w:rPr>
          <w:color w:val="000000"/>
          <w:spacing w:val="0"/>
          <w:w w:val="100"/>
          <w:position w:val="0"/>
        </w:rPr>
        <w:t>（</w:t>
      </w:r>
      <w:bookmarkEnd w:id="1954"/>
      <w:r>
        <w:rPr>
          <w:rFonts w:ascii="Times New Roman" w:eastAsia="Times New Roman" w:hAnsi="Times New Roman" w:cs="Times New Roman"/>
          <w:color w:val="000000"/>
          <w:spacing w:val="0"/>
          <w:w w:val="100"/>
          <w:position w:val="0"/>
        </w:rPr>
        <w:t>6</w:t>
      </w:r>
      <w:r>
        <w:rPr>
          <w:color w:val="000000"/>
          <w:spacing w:val="0"/>
          <w:w w:val="100"/>
          <w:position w:val="0"/>
        </w:rPr>
        <w:t>）合营企业或联营企业发生的超额亏损</w:t>
      </w:r>
      <w:bookmarkEnd w:id="1950"/>
      <w:bookmarkEnd w:id="1951"/>
      <w:bookmarkEnd w:id="195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0"/>
        <w:gridCol w:w="2405"/>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本期末累积未确认的损失</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98" w:val="left"/>
        </w:tabs>
        <w:bidi w:val="0"/>
        <w:spacing w:before="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56"/>
      <w:bookmarkEnd w:id="1957"/>
      <w:bookmarkEnd w:id="1959"/>
    </w:p>
    <w:p>
      <w:pPr>
        <w:pStyle w:val="Style27"/>
        <w:keepNext/>
        <w:keepLines/>
        <w:widowControl w:val="0"/>
        <w:shd w:val="clear" w:color="auto" w:fill="auto"/>
        <w:tabs>
          <w:tab w:pos="498" w:val="left"/>
        </w:tabs>
        <w:bidi w:val="0"/>
        <w:spacing w:before="0" w:line="240" w:lineRule="auto"/>
        <w:ind w:left="0" w:right="0" w:firstLine="0"/>
        <w:jc w:val="left"/>
      </w:pPr>
      <w:bookmarkStart w:id="1956" w:name="bookmark1956"/>
      <w:bookmarkStart w:id="1957" w:name="bookmark1957"/>
      <w:bookmarkStart w:id="1960" w:name="bookmark1960"/>
      <w:bookmarkStart w:id="1961" w:name="bookmark1961"/>
      <w:r>
        <w:rPr>
          <w:color w:val="000000"/>
          <w:spacing w:val="0"/>
          <w:w w:val="100"/>
          <w:position w:val="0"/>
        </w:rPr>
        <w:t>（</w:t>
      </w:r>
      <w:bookmarkEnd w:id="1960"/>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56"/>
      <w:bookmarkEnd w:id="1957"/>
      <w:bookmarkEnd w:id="1961"/>
    </w:p>
    <w:p>
      <w:pPr>
        <w:pStyle w:val="Style27"/>
        <w:keepNext/>
        <w:keepLines/>
        <w:widowControl w:val="0"/>
        <w:shd w:val="clear" w:color="auto" w:fill="auto"/>
        <w:bidi w:val="0"/>
        <w:spacing w:before="0" w:line="240" w:lineRule="auto"/>
        <w:ind w:left="0" w:right="0" w:firstLine="0"/>
        <w:jc w:val="left"/>
      </w:pPr>
      <w:bookmarkStart w:id="1956" w:name="bookmark1956"/>
      <w:bookmarkStart w:id="1957" w:name="bookmark1957"/>
      <w:bookmarkStart w:id="1962" w:name="bookmark1962"/>
      <w:bookmarkStart w:id="1963" w:name="bookmark1963"/>
      <w:r>
        <w:rPr>
          <w:rFonts w:ascii="Times New Roman" w:eastAsia="Times New Roman" w:hAnsi="Times New Roman" w:cs="Times New Roman"/>
          <w:color w:val="000000"/>
          <w:spacing w:val="0"/>
          <w:w w:val="100"/>
          <w:position w:val="0"/>
        </w:rPr>
        <w:t>4</w:t>
      </w:r>
      <w:bookmarkEnd w:id="1962"/>
      <w:r>
        <w:rPr>
          <w:color w:val="000000"/>
          <w:spacing w:val="0"/>
          <w:w w:val="100"/>
          <w:position w:val="0"/>
        </w:rPr>
        <w:t>、重要的共同经营</w:t>
      </w:r>
      <w:bookmarkEnd w:id="1956"/>
      <w:bookmarkEnd w:id="1957"/>
      <w:bookmarkEnd w:id="1963"/>
    </w:p>
    <w:tbl>
      <w:tblPr>
        <w:tblOverlap w:val="never"/>
        <w:jc w:val="center"/>
        <w:tblLayout w:type="fixed"/>
      </w:tblPr>
      <w:tblGrid>
        <w:gridCol w:w="1598"/>
        <w:gridCol w:w="1594"/>
        <w:gridCol w:w="1594"/>
        <w:gridCol w:w="1594"/>
        <w:gridCol w:w="1598"/>
        <w:gridCol w:w="159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r>
    </w:tbl>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1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24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5</w:t>
      </w:r>
      <w:bookmarkEnd w:id="1966"/>
      <w:r>
        <w:rPr>
          <w:color w:val="000000"/>
          <w:spacing w:val="0"/>
          <w:w w:val="100"/>
          <w:position w:val="0"/>
        </w:rPr>
        <w:t>、在未纳入合并财务报表范围的结构化主体中的权益</w:t>
      </w:r>
      <w:bookmarkEnd w:id="1964"/>
      <w:bookmarkEnd w:id="1965"/>
      <w:bookmarkEnd w:id="1967"/>
    </w:p>
    <w:p>
      <w:pPr>
        <w:pStyle w:val="Style18"/>
        <w:keepNext w:val="0"/>
        <w:keepLines w:val="0"/>
        <w:widowControl w:val="0"/>
        <w:shd w:val="clear" w:color="auto" w:fill="auto"/>
        <w:bidi w:val="0"/>
        <w:spacing w:before="0" w:after="360" w:line="355" w:lineRule="exact"/>
        <w:ind w:left="0" w:right="0" w:firstLine="0"/>
        <w:jc w:val="left"/>
        <w:sectPr>
          <w:footnotePr>
            <w:pos w:val="pageBottom"/>
            <w:numFmt w:val="decimal"/>
            <w:numRestart w:val="continuous"/>
          </w:footnotePr>
          <w:pgSz w:w="11900" w:h="16840"/>
          <w:pgMar w:top="1336" w:right="1099" w:bottom="1488" w:left="1090" w:header="0" w:footer="3" w:gutter="0"/>
          <w:cols w:space="720"/>
          <w:noEndnote/>
          <w:rtlGutter w:val="0"/>
          <w:docGrid w:linePitch="360"/>
        </w:sectPr>
      </w:pPr>
      <w:r>
        <w:rPr>
          <w:color w:val="000000"/>
          <w:spacing w:val="0"/>
          <w:w w:val="100"/>
          <w:position w:val="0"/>
        </w:rPr>
        <w:t>未纳入合并财务报表范围的结构化主体的相关说明：</w:t>
      </w:r>
    </w:p>
    <w:p>
      <w:pPr>
        <w:pStyle w:val="Style27"/>
        <w:keepNext/>
        <w:keepLines/>
        <w:widowControl w:val="0"/>
        <w:shd w:val="clear" w:color="auto" w:fill="auto"/>
        <w:bidi w:val="0"/>
        <w:spacing w:before="0" w:after="32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6</w:t>
      </w:r>
      <w:bookmarkEnd w:id="1970"/>
      <w:r>
        <w:rPr>
          <w:color w:val="000000"/>
          <w:spacing w:val="0"/>
          <w:w w:val="100"/>
          <w:position w:val="0"/>
        </w:rPr>
        <w:t>、其他</w:t>
      </w:r>
      <w:bookmarkEnd w:id="1968"/>
      <w:bookmarkEnd w:id="1969"/>
      <w:bookmarkEnd w:id="1971"/>
    </w:p>
    <w:p>
      <w:pPr>
        <w:pStyle w:val="Style23"/>
        <w:keepNext/>
        <w:keepLines/>
        <w:widowControl w:val="0"/>
        <w:shd w:val="clear" w:color="auto" w:fill="auto"/>
        <w:bidi w:val="0"/>
        <w:spacing w:before="0" w:after="240" w:line="240" w:lineRule="auto"/>
        <w:ind w:left="0" w:right="0" w:firstLine="0"/>
        <w:jc w:val="left"/>
      </w:pPr>
      <w:bookmarkStart w:id="1972" w:name="bookmark1972"/>
      <w:bookmarkStart w:id="1973" w:name="bookmark1973"/>
      <w:bookmarkStart w:id="1974" w:name="bookmark1974"/>
      <w:r>
        <w:rPr>
          <w:color w:val="000000"/>
          <w:spacing w:val="0"/>
          <w:w w:val="100"/>
          <w:position w:val="0"/>
          <w:sz w:val="24"/>
          <w:szCs w:val="24"/>
        </w:rPr>
        <w:t>十、与金融工具相关的风险</w:t>
      </w:r>
      <w:bookmarkEnd w:id="1972"/>
      <w:bookmarkEnd w:id="1973"/>
      <w:bookmarkEnd w:id="1974"/>
    </w:p>
    <w:p>
      <w:pPr>
        <w:pStyle w:val="Style18"/>
        <w:keepNext w:val="0"/>
        <w:keepLines w:val="0"/>
        <w:widowControl w:val="0"/>
        <w:shd w:val="clear" w:color="auto" w:fill="auto"/>
        <w:bidi w:val="0"/>
        <w:spacing w:before="0" w:after="40" w:line="314" w:lineRule="exact"/>
        <w:ind w:left="0" w:right="0"/>
        <w:jc w:val="both"/>
      </w:pPr>
      <w:r>
        <w:rPr>
          <w:color w:val="000000"/>
          <w:spacing w:val="0"/>
          <w:w w:val="100"/>
          <w:position w:val="0"/>
        </w:rPr>
        <w:t>公司在经营过程中面临各种金融风险：市场风险、信用风险和流动性风险。</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公司风险管理的基本策略是确定和分析所面临的各种风险，建立适当的风险承受底线并进行风险管理，并及时可靠地对 各种风险进行监督，从而将风险控制在限定的范围之内。</w:t>
      </w:r>
    </w:p>
    <w:p>
      <w:pPr>
        <w:pStyle w:val="Style18"/>
        <w:keepNext w:val="0"/>
        <w:keepLines w:val="0"/>
        <w:widowControl w:val="0"/>
        <w:shd w:val="clear" w:color="auto" w:fill="auto"/>
        <w:bidi w:val="0"/>
        <w:spacing w:before="0" w:after="40" w:line="314" w:lineRule="exact"/>
        <w:ind w:left="0" w:right="0"/>
        <w:jc w:val="both"/>
      </w:pPr>
      <w:bookmarkStart w:id="1975" w:name="bookmark1975"/>
      <w:r>
        <w:rPr>
          <w:b/>
          <w:bCs/>
          <w:color w:val="000000"/>
          <w:spacing w:val="0"/>
          <w:w w:val="100"/>
          <w:position w:val="0"/>
        </w:rPr>
        <w:t>1</w:t>
      </w:r>
      <w:bookmarkEnd w:id="1975"/>
      <w:r>
        <w:rPr>
          <w:b/>
          <w:bCs/>
          <w:color w:val="000000"/>
          <w:spacing w:val="0"/>
          <w:w w:val="100"/>
          <w:position w:val="0"/>
        </w:rPr>
        <w:t>、市场风险</w:t>
      </w:r>
    </w:p>
    <w:p>
      <w:pPr>
        <w:pStyle w:val="Style18"/>
        <w:keepNext w:val="0"/>
        <w:keepLines w:val="0"/>
        <w:widowControl w:val="0"/>
        <w:shd w:val="clear" w:color="auto" w:fill="auto"/>
        <w:tabs>
          <w:tab w:pos="820" w:val="left"/>
        </w:tabs>
        <w:bidi w:val="0"/>
        <w:spacing w:before="0" w:after="40" w:line="314" w:lineRule="exact"/>
        <w:ind w:left="0" w:right="0"/>
        <w:jc w:val="both"/>
      </w:pPr>
      <w:bookmarkStart w:id="1976" w:name="bookmark1976"/>
      <w:r>
        <w:rPr>
          <w:color w:val="000000"/>
          <w:spacing w:val="0"/>
          <w:w w:val="100"/>
          <w:position w:val="0"/>
        </w:rPr>
        <w:t>（</w:t>
      </w:r>
      <w:bookmarkEnd w:id="1976"/>
      <w:r>
        <w:rPr>
          <w:color w:val="000000"/>
          <w:spacing w:val="0"/>
          <w:w w:val="100"/>
          <w:position w:val="0"/>
        </w:rPr>
        <w:t>1）</w:t>
        <w:tab/>
        <w:t>汇率风险</w:t>
      </w:r>
    </w:p>
    <w:p>
      <w:pPr>
        <w:pStyle w:val="Style18"/>
        <w:keepNext w:val="0"/>
        <w:keepLines w:val="0"/>
        <w:widowControl w:val="0"/>
        <w:shd w:val="clear" w:color="auto" w:fill="auto"/>
        <w:bidi w:val="0"/>
        <w:spacing w:before="0" w:after="40" w:line="314" w:lineRule="exact"/>
        <w:ind w:left="0" w:right="0"/>
        <w:jc w:val="both"/>
      </w:pPr>
      <w:r>
        <w:rPr>
          <w:color w:val="000000"/>
          <w:spacing w:val="0"/>
          <w:w w:val="100"/>
          <w:position w:val="0"/>
        </w:rPr>
        <w:t>公司面临的汇率风险主要来自于公司境外子公司以外币计价的资产和负债以及公司以外币进行的采购和销售业务。公司 的其它主要业务活动以人民币计价结算。截至2021年12月31日止，除本报告附注七、82所述资产及负债的外币余额外，公司 的其他资产及负债均为人民币余额。上述外币余额的资产和负债产生的汇率风险可能对公司的经营业绩产生影响。</w:t>
      </w:r>
    </w:p>
    <w:p>
      <w:pPr>
        <w:pStyle w:val="Style18"/>
        <w:keepNext w:val="0"/>
        <w:keepLines w:val="0"/>
        <w:widowControl w:val="0"/>
        <w:shd w:val="clear" w:color="auto" w:fill="auto"/>
        <w:tabs>
          <w:tab w:pos="820" w:val="left"/>
        </w:tabs>
        <w:bidi w:val="0"/>
        <w:spacing w:before="0" w:after="40" w:line="314" w:lineRule="exact"/>
        <w:ind w:left="0" w:right="0"/>
        <w:jc w:val="left"/>
      </w:pPr>
      <w:bookmarkStart w:id="1977" w:name="bookmark1977"/>
      <w:r>
        <w:rPr>
          <w:color w:val="000000"/>
          <w:spacing w:val="0"/>
          <w:w w:val="100"/>
          <w:position w:val="0"/>
        </w:rPr>
        <w:t>（</w:t>
      </w:r>
      <w:bookmarkEnd w:id="1977"/>
      <w:r>
        <w:rPr>
          <w:color w:val="000000"/>
          <w:spacing w:val="0"/>
          <w:w w:val="100"/>
          <w:position w:val="0"/>
        </w:rPr>
        <w:t>2）</w:t>
        <w:tab/>
        <w:t>利率风险</w:t>
      </w:r>
    </w:p>
    <w:p>
      <w:pPr>
        <w:pStyle w:val="Style18"/>
        <w:keepNext w:val="0"/>
        <w:keepLines w:val="0"/>
        <w:widowControl w:val="0"/>
        <w:shd w:val="clear" w:color="auto" w:fill="auto"/>
        <w:bidi w:val="0"/>
        <w:spacing w:before="0" w:after="40" w:line="314" w:lineRule="exact"/>
        <w:ind w:left="0" w:right="0"/>
        <w:jc w:val="left"/>
      </w:pPr>
      <w:r>
        <w:rPr>
          <w:color w:val="000000"/>
          <w:spacing w:val="0"/>
          <w:w w:val="100"/>
          <w:position w:val="0"/>
        </w:rPr>
        <w:t>公司的利率风险产生于银行借款等带息债务。固定利率的金融负债使公司面临公允价值利率风险。</w:t>
      </w:r>
    </w:p>
    <w:p>
      <w:pPr>
        <w:pStyle w:val="Style18"/>
        <w:keepNext w:val="0"/>
        <w:keepLines w:val="0"/>
        <w:widowControl w:val="0"/>
        <w:shd w:val="clear" w:color="auto" w:fill="auto"/>
        <w:tabs>
          <w:tab w:pos="820" w:val="left"/>
        </w:tabs>
        <w:bidi w:val="0"/>
        <w:spacing w:before="0" w:after="40" w:line="314" w:lineRule="exact"/>
        <w:ind w:left="0" w:right="0"/>
        <w:jc w:val="left"/>
      </w:pPr>
      <w:bookmarkStart w:id="1978" w:name="bookmark1978"/>
      <w:r>
        <w:rPr>
          <w:color w:val="000000"/>
          <w:spacing w:val="0"/>
          <w:w w:val="100"/>
          <w:position w:val="0"/>
        </w:rPr>
        <w:t>（</w:t>
      </w:r>
      <w:bookmarkEnd w:id="1978"/>
      <w:r>
        <w:rPr>
          <w:color w:val="000000"/>
          <w:spacing w:val="0"/>
          <w:w w:val="100"/>
          <w:position w:val="0"/>
        </w:rPr>
        <w:t>3）</w:t>
        <w:tab/>
        <w:t>其他价格风险</w:t>
      </w:r>
    </w:p>
    <w:p>
      <w:pPr>
        <w:pStyle w:val="Style18"/>
        <w:keepNext w:val="0"/>
        <w:keepLines w:val="0"/>
        <w:widowControl w:val="0"/>
        <w:shd w:val="clear" w:color="auto" w:fill="auto"/>
        <w:bidi w:val="0"/>
        <w:spacing w:before="0" w:after="40" w:line="314" w:lineRule="exact"/>
        <w:ind w:left="0" w:right="0"/>
        <w:jc w:val="left"/>
      </w:pPr>
      <w:r>
        <w:rPr>
          <w:color w:val="000000"/>
          <w:spacing w:val="0"/>
          <w:w w:val="100"/>
          <w:position w:val="0"/>
        </w:rPr>
        <w:t>公司持有的其他金融资产投资，管理层认为这些投资活动面临的市场价格风险是可以接受的。</w:t>
      </w:r>
    </w:p>
    <w:p>
      <w:pPr>
        <w:pStyle w:val="Style18"/>
        <w:keepNext w:val="0"/>
        <w:keepLines w:val="0"/>
        <w:widowControl w:val="0"/>
        <w:shd w:val="clear" w:color="auto" w:fill="auto"/>
        <w:bidi w:val="0"/>
        <w:spacing w:before="0" w:after="80" w:line="314" w:lineRule="exact"/>
        <w:ind w:left="0" w:right="0"/>
        <w:jc w:val="left"/>
      </w:pPr>
      <w:r>
        <w:rPr>
          <w:color w:val="000000"/>
          <w:spacing w:val="0"/>
          <w:w w:val="100"/>
          <w:position w:val="0"/>
        </w:rPr>
        <w:t>公司持有的其他金融资产投资列示如下：</w:t>
      </w:r>
    </w:p>
    <w:tbl>
      <w:tblPr>
        <w:tblOverlap w:val="never"/>
        <w:jc w:val="center"/>
        <w:tblLayout w:type="fixed"/>
      </w:tblPr>
      <w:tblGrid>
        <w:gridCol w:w="3130"/>
        <w:gridCol w:w="3048"/>
        <w:gridCol w:w="3058"/>
      </w:tblGrid>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上年年末余额</w:t>
            </w:r>
          </w:p>
        </w:tc>
      </w:tr>
      <w:tr>
        <w:trPr>
          <w:trHeight w:val="42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交易性金融资产（理财产品）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978,790,638.37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863,892,886.64</w:t>
            </w:r>
          </w:p>
        </w:tc>
      </w:tr>
      <w:tr>
        <w:trPr>
          <w:trHeight w:val="42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6,030,000.00</w:t>
            </w:r>
          </w:p>
        </w:tc>
      </w:tr>
      <w:tr>
        <w:trPr>
          <w:trHeight w:val="437"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981,790,638.</w:t>
            </w:r>
            <w:r>
              <w:rPr>
                <w:rFonts w:ascii="SimSun" w:eastAsia="SimSun" w:hAnsi="SimSun" w:cs="SimSun"/>
                <w:color w:val="000000"/>
                <w:spacing w:val="0"/>
                <w:w w:val="100"/>
                <w:position w:val="0"/>
              </w:rPr>
              <w:t>37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869,922,886.64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jc w:val="both"/>
      </w:pPr>
      <w:bookmarkStart w:id="1979" w:name="bookmark1979"/>
      <w:r>
        <w:rPr>
          <w:b/>
          <w:bCs/>
          <w:color w:val="000000"/>
          <w:spacing w:val="0"/>
          <w:w w:val="100"/>
          <w:position w:val="0"/>
        </w:rPr>
        <w:t>2</w:t>
      </w:r>
      <w:bookmarkEnd w:id="1979"/>
      <w:r>
        <w:rPr>
          <w:b/>
          <w:bCs/>
          <w:color w:val="000000"/>
          <w:spacing w:val="0"/>
          <w:w w:val="100"/>
          <w:position w:val="0"/>
        </w:rPr>
        <w:t>、信用风险</w:t>
      </w:r>
    </w:p>
    <w:p>
      <w:pPr>
        <w:pStyle w:val="Style18"/>
        <w:keepNext w:val="0"/>
        <w:keepLines w:val="0"/>
        <w:widowControl w:val="0"/>
        <w:shd w:val="clear" w:color="auto" w:fill="auto"/>
        <w:bidi w:val="0"/>
        <w:spacing w:before="0" w:after="40" w:line="240" w:lineRule="auto"/>
        <w:ind w:left="0" w:right="0"/>
        <w:jc w:val="both"/>
      </w:pPr>
      <w:r>
        <w:rPr>
          <w:color w:val="000000"/>
          <w:spacing w:val="0"/>
          <w:w w:val="100"/>
          <w:position w:val="0"/>
        </w:rPr>
        <w:t>公司对信用风险按组合分类进行管理。信用风险主要产生于银行存款、应收账款、其他应收款和应收票据等。</w:t>
      </w:r>
    </w:p>
    <w:p>
      <w:pPr>
        <w:pStyle w:val="Style18"/>
        <w:keepNext w:val="0"/>
        <w:keepLines w:val="0"/>
        <w:widowControl w:val="0"/>
        <w:shd w:val="clear" w:color="auto" w:fill="auto"/>
        <w:bidi w:val="0"/>
        <w:spacing w:before="0" w:after="40" w:line="307" w:lineRule="exact"/>
        <w:ind w:left="0" w:right="0"/>
        <w:jc w:val="both"/>
      </w:pPr>
      <w:r>
        <w:rPr>
          <w:color w:val="000000"/>
          <w:spacing w:val="0"/>
          <w:w w:val="100"/>
          <w:position w:val="0"/>
        </w:rPr>
        <w:t>公司银行存款主要存放于国有银行和其他信用评级较高的银行，公司认为其不存在重大的信用风险，不会产生因对方单 位违约而导致的任何重大损失。</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对于应收账款、其他应收款和应收票据，公司设定相关政策以控制信用风险敞口。公司基于对客户的财务状况、从第三 方获取担保的可能性、信用记录及其它因素诸如目前市场状况等评估客户的信用资质并设置相应信用期。定期对客户信用记 录进行监控，对于信用记录不良的客户，公司会采用书面催款、缩短信用期或取消信用期等方式，以确保公司的整体信用风 险在可控的范围内。此外，公司于每个资产负债表日审核每一单项应收款的回收情况，以确保就无法回收的款项计提充分的 坏账准备。因此，公司管理层认为所承担的信用风险已经大为降低。</w:t>
      </w:r>
    </w:p>
    <w:p>
      <w:pPr>
        <w:pStyle w:val="Style18"/>
        <w:keepNext w:val="0"/>
        <w:keepLines w:val="0"/>
        <w:widowControl w:val="0"/>
        <w:shd w:val="clear" w:color="auto" w:fill="auto"/>
        <w:bidi w:val="0"/>
        <w:spacing w:before="0" w:after="40" w:line="312" w:lineRule="exact"/>
        <w:ind w:left="0" w:right="0"/>
        <w:jc w:val="both"/>
      </w:pPr>
      <w:bookmarkStart w:id="1980" w:name="bookmark1980"/>
      <w:r>
        <w:rPr>
          <w:b/>
          <w:bCs/>
          <w:color w:val="000000"/>
          <w:spacing w:val="0"/>
          <w:w w:val="100"/>
          <w:position w:val="0"/>
        </w:rPr>
        <w:t>3</w:t>
      </w:r>
      <w:bookmarkEnd w:id="1980"/>
      <w:r>
        <w:rPr>
          <w:b/>
          <w:bCs/>
          <w:color w:val="000000"/>
          <w:spacing w:val="0"/>
          <w:w w:val="100"/>
          <w:position w:val="0"/>
        </w:rPr>
        <w:t>、流动风险</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流动风险为公司在到期日无法履行其财务义务的风险。公司管理流动性风险的方法是确保有足够的资金流动性来履行到 期债务，而不至于造成不可接受的损失或对企业信誉造成损害。公司定期分析负债结构和期限，以确保有充裕的资金。公司 管理层对银行借款的使用情况进行监控并确保遵守借款协议。同时与金融机构进行融资磋商，以保持一定的授信额度，降低 流动性风险。</w:t>
      </w:r>
    </w:p>
    <w:p>
      <w:pPr>
        <w:pStyle w:val="Style23"/>
        <w:keepNext/>
        <w:keepLines/>
        <w:widowControl w:val="0"/>
        <w:shd w:val="clear" w:color="auto" w:fill="auto"/>
        <w:bidi w:val="0"/>
        <w:spacing w:before="0" w:after="320" w:line="240" w:lineRule="auto"/>
        <w:ind w:left="0" w:right="0" w:firstLine="0"/>
        <w:jc w:val="left"/>
      </w:pPr>
      <w:bookmarkStart w:id="1981" w:name="bookmark1981"/>
      <w:bookmarkStart w:id="1982" w:name="bookmark1982"/>
      <w:bookmarkStart w:id="1983" w:name="bookmark1983"/>
      <w:r>
        <w:rPr>
          <w:color w:val="000000"/>
          <w:spacing w:val="0"/>
          <w:w w:val="100"/>
          <w:position w:val="0"/>
          <w:sz w:val="24"/>
          <w:szCs w:val="24"/>
        </w:rPr>
        <w:t>十一、公允价值的披露</w:t>
      </w:r>
      <w:bookmarkEnd w:id="1981"/>
      <w:bookmarkEnd w:id="1982"/>
      <w:bookmarkEnd w:id="1983"/>
    </w:p>
    <w:p>
      <w:pPr>
        <w:pStyle w:val="Style27"/>
        <w:keepNext/>
        <w:keepLines/>
        <w:widowControl w:val="0"/>
        <w:shd w:val="clear" w:color="auto" w:fill="auto"/>
        <w:bidi w:val="0"/>
        <w:spacing w:before="0" w:after="40" w:line="240" w:lineRule="auto"/>
        <w:ind w:left="0" w:right="0" w:firstLine="0"/>
        <w:jc w:val="left"/>
      </w:pPr>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84"/>
      <w:bookmarkEnd w:id="1985"/>
      <w:bookmarkEnd w:id="1986"/>
      <w:r>
        <w:br w:type="page"/>
      </w:r>
    </w:p>
    <w:tbl>
      <w:tblPr>
        <w:tblOverlap w:val="never"/>
        <w:jc w:val="center"/>
        <w:tblLayout w:type="fixed"/>
      </w:tblPr>
      <w:tblGrid>
        <w:gridCol w:w="1997"/>
        <w:gridCol w:w="1838"/>
        <w:gridCol w:w="1910"/>
        <w:gridCol w:w="1915"/>
        <w:gridCol w:w="192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第一层次公允价值计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第二层次公允价值计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一、持续的公允价值计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978,790,638.37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978,790,638.37</w:t>
            </w:r>
          </w:p>
        </w:tc>
      </w:tr>
      <w:tr>
        <w:trPr>
          <w:trHeight w:val="102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以公允价值计量且其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978,790,638.37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978,790,638.37</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209,888.00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209,888.00</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979,000,526.37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982,000,526.37</w:t>
            </w:r>
          </w:p>
        </w:tc>
      </w:tr>
      <w:tr>
        <w:trPr>
          <w:trHeight w:val="725"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left"/>
      </w:pPr>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987"/>
      <w:bookmarkEnd w:id="1988"/>
      <w:bookmarkEnd w:id="1989"/>
    </w:p>
    <w:p>
      <w:pPr>
        <w:pStyle w:val="Style18"/>
        <w:keepNext w:val="0"/>
        <w:keepLines w:val="0"/>
        <w:widowControl w:val="0"/>
        <w:shd w:val="clear" w:color="auto" w:fill="auto"/>
        <w:bidi w:val="0"/>
        <w:spacing w:before="0" w:after="360" w:line="307" w:lineRule="exact"/>
        <w:ind w:left="0" w:right="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8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3</w:t>
      </w:r>
      <w:bookmarkEnd w:id="1992"/>
      <w:r>
        <w:rPr>
          <w:color w:val="000000"/>
          <w:spacing w:val="0"/>
          <w:w w:val="100"/>
          <w:position w:val="0"/>
        </w:rPr>
        <w:t>、</w:t>
        <w:tab/>
        <w:t>持续和非持续第二层次公允价值计量项目，采用的估值技术和重要参数的定性及定量信息</w:t>
      </w:r>
      <w:bookmarkEnd w:id="1990"/>
      <w:bookmarkEnd w:id="1991"/>
      <w:bookmarkEnd w:id="1993"/>
    </w:p>
    <w:p>
      <w:pPr>
        <w:pStyle w:val="Style18"/>
        <w:keepNext w:val="0"/>
        <w:keepLines w:val="0"/>
        <w:widowControl w:val="0"/>
        <w:shd w:val="clear" w:color="auto" w:fill="auto"/>
        <w:tabs>
          <w:tab w:pos="820" w:val="left"/>
        </w:tabs>
        <w:bidi w:val="0"/>
        <w:spacing w:before="0" w:after="0" w:line="307" w:lineRule="exact"/>
        <w:ind w:left="0" w:right="0"/>
        <w:jc w:val="left"/>
      </w:pPr>
      <w:bookmarkStart w:id="1994" w:name="bookmark1994"/>
      <w:r>
        <w:rPr>
          <w:color w:val="000000"/>
          <w:spacing w:val="0"/>
          <w:w w:val="100"/>
          <w:position w:val="0"/>
        </w:rPr>
        <w:t>（</w:t>
      </w:r>
      <w:bookmarkEnd w:id="1994"/>
      <w:r>
        <w:rPr>
          <w:color w:val="000000"/>
          <w:spacing w:val="0"/>
          <w:w w:val="100"/>
          <w:position w:val="0"/>
        </w:rPr>
        <w:t>1）</w:t>
        <w:tab/>
        <w:t>公司持有的银行理财产品和证券投资公允价值根据本金加上截止资产负债表日的预期收益确定；</w:t>
      </w:r>
    </w:p>
    <w:p>
      <w:pPr>
        <w:pStyle w:val="Style18"/>
        <w:keepNext w:val="0"/>
        <w:keepLines w:val="0"/>
        <w:widowControl w:val="0"/>
        <w:shd w:val="clear" w:color="auto" w:fill="auto"/>
        <w:tabs>
          <w:tab w:pos="820" w:val="left"/>
        </w:tabs>
        <w:bidi w:val="0"/>
        <w:spacing w:before="0" w:after="720" w:line="307" w:lineRule="exact"/>
        <w:ind w:left="0" w:right="0"/>
        <w:jc w:val="left"/>
      </w:pPr>
      <w:bookmarkStart w:id="1995" w:name="bookmark1995"/>
      <w:r>
        <w:rPr>
          <w:color w:val="000000"/>
          <w:spacing w:val="0"/>
          <w:w w:val="100"/>
          <w:position w:val="0"/>
        </w:rPr>
        <w:t>（</w:t>
      </w:r>
      <w:bookmarkEnd w:id="1995"/>
      <w:r>
        <w:rPr>
          <w:color w:val="000000"/>
          <w:spacing w:val="0"/>
          <w:w w:val="100"/>
          <w:position w:val="0"/>
        </w:rPr>
        <w:t>2）</w:t>
        <w:tab/>
        <w:t>对于持有的银行承兑汇票，其剩余期限较短，且预期以背书方式出售，故采用票面价值确定其公允价值。</w:t>
      </w:r>
    </w:p>
    <w:p>
      <w:pPr>
        <w:pStyle w:val="Style27"/>
        <w:keepNext/>
        <w:keepLines/>
        <w:widowControl w:val="0"/>
        <w:shd w:val="clear" w:color="auto" w:fill="auto"/>
        <w:tabs>
          <w:tab w:pos="378" w:val="left"/>
        </w:tabs>
        <w:bidi w:val="0"/>
        <w:spacing w:before="0" w:after="280" w:line="240" w:lineRule="auto"/>
        <w:ind w:left="0" w:right="0" w:firstLine="0"/>
        <w:jc w:val="left"/>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4</w:t>
      </w:r>
      <w:bookmarkEnd w:id="1998"/>
      <w:r>
        <w:rPr>
          <w:color w:val="000000"/>
          <w:spacing w:val="0"/>
          <w:w w:val="100"/>
          <w:position w:val="0"/>
        </w:rPr>
        <w:t>、</w:t>
        <w:tab/>
        <w:t>持续和非持续第三层次公允价值计量项目，采用的估值技术和重要参数的定性及定量信息</w:t>
      </w:r>
      <w:bookmarkEnd w:id="1996"/>
      <w:bookmarkEnd w:id="1997"/>
      <w:bookmarkEnd w:id="1999"/>
    </w:p>
    <w:p>
      <w:pPr>
        <w:pStyle w:val="Style18"/>
        <w:keepNext w:val="0"/>
        <w:keepLines w:val="0"/>
        <w:widowControl w:val="0"/>
        <w:shd w:val="clear" w:color="auto" w:fill="auto"/>
        <w:bidi w:val="0"/>
        <w:spacing w:before="0" w:after="280" w:line="307" w:lineRule="exact"/>
        <w:ind w:left="0" w:right="0"/>
        <w:jc w:val="both"/>
        <w:sectPr>
          <w:footnotePr>
            <w:pos w:val="pageBottom"/>
            <w:numFmt w:val="decimal"/>
            <w:numRestart w:val="continuous"/>
          </w:footnotePr>
          <w:pgSz w:w="11900" w:h="16840"/>
          <w:pgMar w:top="1441" w:right="1108" w:bottom="2161" w:left="1106" w:header="0" w:footer="3" w:gutter="0"/>
          <w:cols w:space="720"/>
          <w:noEndnote/>
          <w:rtlGutter w:val="0"/>
          <w:docGrid w:linePitch="360"/>
        </w:sectPr>
      </w:pPr>
      <w:r>
        <w:rPr>
          <w:color w:val="000000"/>
          <w:spacing w:val="0"/>
          <w:w w:val="100"/>
          <w:position w:val="0"/>
        </w:rPr>
        <w:t>对于不在活跃市场上交易的金融工具，公司采用估值技术确定其公允价值。因被投资企业江苏丹阳农村商业银行股份有 限公司的经营环境和经营情况、财务状况未发生重大变化，所以公司按投资成本作为公允价值的合理估计进行计量。</w:t>
      </w:r>
    </w:p>
    <w:p>
      <w:pPr>
        <w:pStyle w:val="Style48"/>
        <w:keepNext w:val="0"/>
        <w:keepLines w:val="0"/>
        <w:widowControl w:val="0"/>
        <w:shd w:val="clear" w:color="auto" w:fill="auto"/>
        <w:tabs>
          <w:tab w:pos="378" w:val="left"/>
        </w:tabs>
        <w:bidi w:val="0"/>
        <w:spacing w:before="180" w:after="340" w:line="240" w:lineRule="auto"/>
        <w:ind w:left="0" w:right="0" w:firstLine="0"/>
        <w:jc w:val="left"/>
      </w:pPr>
      <w:bookmarkStart w:id="2000" w:name="bookmark2000"/>
      <w:r>
        <w:rPr>
          <w:rFonts w:ascii="Times New Roman" w:eastAsia="Times New Roman" w:hAnsi="Times New Roman" w:cs="Times New Roman"/>
          <w:color w:val="000000"/>
          <w:spacing w:val="0"/>
          <w:w w:val="100"/>
          <w:position w:val="0"/>
        </w:rPr>
        <w:t>5</w:t>
      </w:r>
      <w:bookmarkEnd w:id="2000"/>
      <w:r>
        <w:rPr>
          <w:color w:val="000000"/>
          <w:spacing w:val="0"/>
          <w:w w:val="100"/>
          <w:position w:val="0"/>
        </w:rPr>
        <w:t>、</w:t>
        <w:tab/>
        <w:t>持续的第三层次公允价值计量项目，期初与期末账面价值间的调节信息及不可观察参数敏感性分析</w:t>
      </w: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2001" w:name="bookmark2001"/>
      <w:r>
        <w:rPr>
          <w:rFonts w:ascii="Times New Roman" w:eastAsia="Times New Roman" w:hAnsi="Times New Roman" w:cs="Times New Roman"/>
          <w:color w:val="000000"/>
          <w:spacing w:val="0"/>
          <w:w w:val="100"/>
          <w:position w:val="0"/>
        </w:rPr>
        <w:t>6</w:t>
      </w:r>
      <w:bookmarkEnd w:id="2001"/>
      <w:r>
        <w:rPr>
          <w:color w:val="000000"/>
          <w:spacing w:val="0"/>
          <w:w w:val="100"/>
          <w:position w:val="0"/>
        </w:rPr>
        <w:t>、</w:t>
        <w:tab/>
        <w:t>持续的公允价值计量项目，本期内发生各层级之间转换的，转换的原因及确定转换时点的政策</w:t>
      </w: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2002" w:name="bookmark2002"/>
      <w:r>
        <w:rPr>
          <w:rFonts w:ascii="Times New Roman" w:eastAsia="Times New Roman" w:hAnsi="Times New Roman" w:cs="Times New Roman"/>
          <w:color w:val="000000"/>
          <w:spacing w:val="0"/>
          <w:w w:val="100"/>
          <w:position w:val="0"/>
        </w:rPr>
        <w:t>7</w:t>
      </w:r>
      <w:bookmarkEnd w:id="2002"/>
      <w:r>
        <w:rPr>
          <w:color w:val="000000"/>
          <w:spacing w:val="0"/>
          <w:w w:val="100"/>
          <w:position w:val="0"/>
        </w:rPr>
        <w:t>、</w:t>
        <w:tab/>
        <w:t>本期内发生的估值技术变更及变更原因</w:t>
      </w: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2003" w:name="bookmark2003"/>
      <w:r>
        <w:rPr>
          <w:rFonts w:ascii="Times New Roman" w:eastAsia="Times New Roman" w:hAnsi="Times New Roman" w:cs="Times New Roman"/>
          <w:color w:val="000000"/>
          <w:spacing w:val="0"/>
          <w:w w:val="100"/>
          <w:position w:val="0"/>
        </w:rPr>
        <w:t>8</w:t>
      </w:r>
      <w:bookmarkEnd w:id="2003"/>
      <w:r>
        <w:rPr>
          <w:color w:val="000000"/>
          <w:spacing w:val="0"/>
          <w:w w:val="100"/>
          <w:position w:val="0"/>
        </w:rPr>
        <w:t>、</w:t>
        <w:tab/>
        <w:t>不以公允价值计量的金融资产和金融负债的公允价值情况</w:t>
      </w: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2004" w:name="bookmark2004"/>
      <w:r>
        <w:rPr>
          <w:rFonts w:ascii="Times New Roman" w:eastAsia="Times New Roman" w:hAnsi="Times New Roman" w:cs="Times New Roman"/>
          <w:color w:val="000000"/>
          <w:spacing w:val="0"/>
          <w:w w:val="100"/>
          <w:position w:val="0"/>
        </w:rPr>
        <w:t>9</w:t>
      </w:r>
      <w:bookmarkEnd w:id="2004"/>
      <w:r>
        <w:rPr>
          <w:color w:val="000000"/>
          <w:spacing w:val="0"/>
          <w:w w:val="100"/>
          <w:position w:val="0"/>
        </w:rPr>
        <w:t>、</w:t>
        <w:tab/>
        <w:t>其他</w:t>
      </w:r>
    </w:p>
    <w:p>
      <w:pPr>
        <w:pStyle w:val="Style23"/>
        <w:keepNext/>
        <w:keepLines/>
        <w:widowControl w:val="0"/>
        <w:shd w:val="clear" w:color="auto" w:fill="auto"/>
        <w:bidi w:val="0"/>
        <w:spacing w:before="0" w:after="340" w:line="240" w:lineRule="auto"/>
        <w:ind w:left="0" w:right="0" w:firstLine="0"/>
        <w:jc w:val="left"/>
      </w:pPr>
      <w:bookmarkStart w:id="2005" w:name="bookmark2005"/>
      <w:bookmarkStart w:id="2006" w:name="bookmark2006"/>
      <w:bookmarkStart w:id="2007" w:name="bookmark2007"/>
      <w:r>
        <w:rPr>
          <w:color w:val="000000"/>
          <w:spacing w:val="0"/>
          <w:w w:val="100"/>
          <w:position w:val="0"/>
          <w:sz w:val="24"/>
          <w:szCs w:val="24"/>
        </w:rPr>
        <w:t>十二、关联方及关联交易</w:t>
      </w:r>
      <w:bookmarkEnd w:id="2005"/>
      <w:bookmarkEnd w:id="2006"/>
      <w:bookmarkEnd w:id="2007"/>
    </w:p>
    <w:p>
      <w:pPr>
        <w:pStyle w:val="Style4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598"/>
        <w:gridCol w:w="1594"/>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母公司对本企业 的表决权比例</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本企业最终控制方是钱京。</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年12月</w:t>
      </w:r>
      <w:r>
        <w:rPr>
          <w:rFonts w:ascii="Times New Roman" w:eastAsia="Times New Roman" w:hAnsi="Times New Roman" w:cs="Times New Roman"/>
          <w:color w:val="000000"/>
          <w:spacing w:val="0"/>
          <w:w w:val="100"/>
          <w:position w:val="0"/>
        </w:rPr>
        <w:t>3</w:t>
      </w:r>
      <w:r>
        <w:rPr>
          <w:color w:val="000000"/>
          <w:spacing w:val="0"/>
          <w:w w:val="100"/>
          <w:position w:val="0"/>
        </w:rPr>
        <w:t>1日，钱京先生对本企业的持股比例和表决权比例均为20.65%。</w:t>
      </w: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2008" w:name="bookmark2008"/>
      <w:r>
        <w:rPr>
          <w:rFonts w:ascii="Times New Roman" w:eastAsia="Times New Roman" w:hAnsi="Times New Roman" w:cs="Times New Roman"/>
          <w:color w:val="000000"/>
          <w:spacing w:val="0"/>
          <w:w w:val="100"/>
          <w:position w:val="0"/>
        </w:rPr>
        <w:t>2</w:t>
      </w:r>
      <w:bookmarkEnd w:id="2008"/>
      <w:r>
        <w:rPr>
          <w:color w:val="000000"/>
          <w:spacing w:val="0"/>
          <w:w w:val="100"/>
          <w:position w:val="0"/>
        </w:rPr>
        <w:t>、</w:t>
        <w:tab/>
        <w:t>本企业的子公司情况</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本企业子公司的情况详见附注“九、在其他主体中的权益</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2009" w:name="bookmark2009"/>
      <w:r>
        <w:rPr>
          <w:rFonts w:ascii="Times New Roman" w:eastAsia="Times New Roman" w:hAnsi="Times New Roman" w:cs="Times New Roman"/>
          <w:color w:val="000000"/>
          <w:spacing w:val="0"/>
          <w:w w:val="100"/>
          <w:position w:val="0"/>
        </w:rPr>
        <w:t>3</w:t>
      </w:r>
      <w:bookmarkEnd w:id="2009"/>
      <w:r>
        <w:rPr>
          <w:color w:val="000000"/>
          <w:spacing w:val="0"/>
          <w:w w:val="100"/>
          <w:position w:val="0"/>
        </w:rPr>
        <w:t>、</w:t>
        <w:tab/>
        <w:t>本企业合营和联营企业情况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本企业重要的合营或联营企业详见附注“九、在其他主体中的权益</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bl>
    <w:p>
      <w:pPr>
        <w:widowControl w:val="0"/>
        <w:spacing w:after="99" w:line="1" w:lineRule="exact"/>
      </w:pP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48"/>
        <w:keepNext w:val="0"/>
        <w:keepLines w:val="0"/>
        <w:widowControl w:val="0"/>
        <w:shd w:val="clear" w:color="auto" w:fill="auto"/>
        <w:bidi w:val="0"/>
        <w:spacing w:before="0" w:after="340" w:line="240" w:lineRule="auto"/>
        <w:ind w:left="0" w:right="0" w:firstLine="0"/>
        <w:jc w:val="both"/>
      </w:pPr>
      <w:bookmarkStart w:id="2010" w:name="bookmark2010"/>
      <w:r>
        <w:rPr>
          <w:rFonts w:ascii="Times New Roman" w:eastAsia="Times New Roman" w:hAnsi="Times New Roman" w:cs="Times New Roman"/>
          <w:color w:val="000000"/>
          <w:spacing w:val="0"/>
          <w:w w:val="100"/>
          <w:position w:val="0"/>
        </w:rPr>
        <w:t>4</w:t>
      </w:r>
      <w:bookmarkEnd w:id="2010"/>
      <w:r>
        <w:rPr>
          <w:color w:val="000000"/>
          <w:spacing w:val="0"/>
          <w:w w:val="100"/>
          <w:position w:val="0"/>
        </w:rPr>
        <w:t>、其他关联方情况</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bl>
    <w:p>
      <w:pPr>
        <w:widowControl w:val="0"/>
        <w:spacing w:after="99" w:line="1" w:lineRule="exact"/>
      </w:pP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48"/>
        <w:keepNext w:val="0"/>
        <w:keepLines w:val="0"/>
        <w:widowControl w:val="0"/>
        <w:shd w:val="clear" w:color="auto" w:fill="auto"/>
        <w:bidi w:val="0"/>
        <w:spacing w:before="0" w:after="340" w:line="240" w:lineRule="auto"/>
        <w:ind w:left="0" w:right="0" w:firstLine="0"/>
        <w:jc w:val="both"/>
      </w:pPr>
      <w:bookmarkStart w:id="2011" w:name="bookmark2011"/>
      <w:r>
        <w:rPr>
          <w:rFonts w:ascii="Times New Roman" w:eastAsia="Times New Roman" w:hAnsi="Times New Roman" w:cs="Times New Roman"/>
          <w:color w:val="000000"/>
          <w:spacing w:val="0"/>
          <w:w w:val="100"/>
          <w:position w:val="0"/>
        </w:rPr>
        <w:t>5</w:t>
      </w:r>
      <w:bookmarkEnd w:id="2011"/>
      <w:r>
        <w:rPr>
          <w:color w:val="000000"/>
          <w:spacing w:val="0"/>
          <w:w w:val="100"/>
          <w:position w:val="0"/>
        </w:rPr>
        <w:t>、关联交易情况</w:t>
      </w:r>
    </w:p>
    <w:p>
      <w:pPr>
        <w:pStyle w:val="Style48"/>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r>
        <w:br w:type="page"/>
      </w:r>
    </w:p>
    <w:tbl>
      <w:tblPr>
        <w:tblOverlap w:val="never"/>
        <w:jc w:val="center"/>
        <w:tblLayout w:type="fixed"/>
      </w:tblPr>
      <w:tblGrid>
        <w:gridCol w:w="1541"/>
        <w:gridCol w:w="1454"/>
        <w:gridCol w:w="1454"/>
        <w:gridCol w:w="1709"/>
        <w:gridCol w:w="1704"/>
        <w:gridCol w:w="1718"/>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56"/>
        <w:gridCol w:w="2664"/>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购销商品、提供和接受劳务的关联交易说明</w:t>
      </w:r>
    </w:p>
    <w:p>
      <w:pPr>
        <w:pStyle w:val="Style27"/>
        <w:keepNext/>
        <w:keepLines/>
        <w:widowControl w:val="0"/>
        <w:shd w:val="clear" w:color="auto" w:fill="auto"/>
        <w:bidi w:val="0"/>
        <w:spacing w:before="0" w:line="240" w:lineRule="auto"/>
        <w:ind w:left="0" w:right="0" w:firstLine="0"/>
        <w:jc w:val="both"/>
      </w:pPr>
      <w:bookmarkStart w:id="2012" w:name="bookmark2012"/>
      <w:bookmarkStart w:id="2013" w:name="bookmark2013"/>
      <w:bookmarkStart w:id="2014" w:name="bookmark20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12"/>
      <w:bookmarkEnd w:id="2013"/>
      <w:bookmarkEnd w:id="2014"/>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430"/>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委托方</w:t>
            </w:r>
            <w:r>
              <w:rPr>
                <w:color w:val="000000"/>
                <w:spacing w:val="0"/>
                <w:w w:val="100"/>
                <w:position w:val="0"/>
              </w:rPr>
              <w:t>/</w:t>
            </w:r>
            <w:r>
              <w:rPr>
                <w:rFonts w:ascii="SimSun" w:eastAsia="SimSun" w:hAnsi="SimSun" w:cs="SimSun"/>
                <w:color w:val="000000"/>
                <w:spacing w:val="0"/>
                <w:w w:val="100"/>
                <w:position w:val="0"/>
              </w:rPr>
              <w:t>出包方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受托方</w:t>
            </w:r>
            <w:r>
              <w:rPr>
                <w:color w:val="000000"/>
                <w:spacing w:val="0"/>
                <w:w w:val="100"/>
                <w:position w:val="0"/>
              </w:rPr>
              <w:t>/</w:t>
            </w:r>
            <w:r>
              <w:rPr>
                <w:rFonts w:ascii="SimSun" w:eastAsia="SimSun" w:hAnsi="SimSun" w:cs="SimSun"/>
                <w:color w:val="000000"/>
                <w:spacing w:val="0"/>
                <w:w w:val="100"/>
                <w:position w:val="0"/>
              </w:rPr>
              <w:t>承包方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承包资产 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承包起始 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承包终止 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托管收益</w:t>
            </w:r>
            <w:r>
              <w:rPr>
                <w:color w:val="000000"/>
                <w:spacing w:val="0"/>
                <w:w w:val="100"/>
                <w:position w:val="0"/>
              </w:rPr>
              <w:t>/</w:t>
            </w:r>
            <w:r>
              <w:rPr>
                <w:rFonts w:ascii="SimSun" w:eastAsia="SimSun" w:hAnsi="SimSun" w:cs="SimSun"/>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本期确认的托 管收益</w:t>
            </w:r>
            <w:r>
              <w:rPr>
                <w:color w:val="000000"/>
                <w:spacing w:val="0"/>
                <w:w w:val="100"/>
                <w:position w:val="0"/>
              </w:rPr>
              <w:t>/</w:t>
            </w:r>
            <w:r>
              <w:rPr>
                <w:rFonts w:ascii="SimSun" w:eastAsia="SimSun" w:hAnsi="SimSun" w:cs="SimSun"/>
                <w:color w:val="000000"/>
                <w:spacing w:val="0"/>
                <w:w w:val="100"/>
                <w:position w:val="0"/>
              </w:rPr>
              <w:t>承包收 益</w:t>
            </w:r>
          </w:p>
        </w:tc>
      </w:tr>
      <w:tr>
        <w:trPr>
          <w:trHeight w:val="1109" w:hRule="exact"/>
        </w:trPr>
        <w:tc>
          <w:tcPr>
            <w:gridSpan w:val="7"/>
            <w:tcBorders>
              <w:top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关联托管</w:t>
            </w:r>
            <w:r>
              <w:rPr>
                <w:color w:val="000000"/>
                <w:spacing w:val="0"/>
                <w:w w:val="100"/>
                <w:position w:val="0"/>
              </w:rPr>
              <w:t>/</w:t>
            </w:r>
            <w:r>
              <w:rPr>
                <w:rFonts w:ascii="SimSun" w:eastAsia="SimSun" w:hAnsi="SimSun" w:cs="SimSun"/>
                <w:color w:val="000000"/>
                <w:spacing w:val="0"/>
                <w:w w:val="100"/>
                <w:position w:val="0"/>
              </w:rPr>
              <w:t>承包情况说明</w:t>
            </w:r>
          </w:p>
          <w:p>
            <w:pPr>
              <w:pStyle w:val="Style20"/>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本公司委托管理</w:t>
            </w:r>
            <w:r>
              <w:rPr>
                <w:color w:val="000000"/>
                <w:spacing w:val="0"/>
                <w:w w:val="100"/>
                <w:position w:val="0"/>
              </w:rPr>
              <w:t>/</w:t>
            </w:r>
            <w:r>
              <w:rPr>
                <w:rFonts w:ascii="SimSun" w:eastAsia="SimSun" w:hAnsi="SimSun" w:cs="SimSun"/>
                <w:color w:val="000000"/>
                <w:spacing w:val="0"/>
                <w:w w:val="100"/>
                <w:position w:val="0"/>
              </w:rPr>
              <w:t>出包情况表：</w:t>
            </w:r>
          </w:p>
          <w:p>
            <w:pPr>
              <w:pStyle w:val="Style20"/>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委托方</w:t>
            </w:r>
            <w:r>
              <w:rPr>
                <w:color w:val="000000"/>
                <w:spacing w:val="0"/>
                <w:w w:val="100"/>
                <w:position w:val="0"/>
              </w:rPr>
              <w:t>/</w:t>
            </w:r>
            <w:r>
              <w:rPr>
                <w:rFonts w:ascii="SimSun" w:eastAsia="SimSun" w:hAnsi="SimSun" w:cs="SimSun"/>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受托方</w:t>
            </w:r>
            <w:r>
              <w:rPr>
                <w:color w:val="000000"/>
                <w:spacing w:val="0"/>
                <w:w w:val="100"/>
                <w:position w:val="0"/>
              </w:rPr>
              <w:t>/</w:t>
            </w:r>
            <w:r>
              <w:rPr>
                <w:rFonts w:ascii="SimSun" w:eastAsia="SimSun" w:hAnsi="SimSun" w:cs="SimSun"/>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托管费</w:t>
            </w:r>
            <w:r>
              <w:rPr>
                <w:color w:val="000000"/>
                <w:spacing w:val="0"/>
                <w:w w:val="100"/>
                <w:position w:val="0"/>
              </w:rPr>
              <w:t>/</w:t>
            </w:r>
            <w:r>
              <w:rPr>
                <w:rFonts w:ascii="SimSun" w:eastAsia="SimSun" w:hAnsi="SimSun" w:cs="SimSun"/>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本期确认的托 管费</w:t>
            </w:r>
            <w:r>
              <w:rPr>
                <w:color w:val="000000"/>
                <w:spacing w:val="0"/>
                <w:w w:val="100"/>
                <w:position w:val="0"/>
              </w:rPr>
              <w:t>/</w:t>
            </w:r>
            <w:r>
              <w:rPr>
                <w:rFonts w:ascii="SimSun" w:eastAsia="SimSun" w:hAnsi="SimSun" w:cs="SimSun"/>
                <w:color w:val="000000"/>
                <w:spacing w:val="0"/>
                <w:w w:val="100"/>
                <w:position w:val="0"/>
              </w:rPr>
              <w:t>出包费</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59" w:line="1" w:lineRule="exact"/>
      </w:pPr>
    </w:p>
    <w:p>
      <w:pPr>
        <w:pStyle w:val="Style27"/>
        <w:keepNext/>
        <w:keepLines/>
        <w:widowControl w:val="0"/>
        <w:shd w:val="clear" w:color="auto" w:fill="auto"/>
        <w:bidi w:val="0"/>
        <w:spacing w:before="0" w:line="240" w:lineRule="auto"/>
        <w:ind w:left="0" w:right="0" w:firstLine="0"/>
        <w:jc w:val="both"/>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15"/>
      <w:bookmarkEnd w:id="2016"/>
      <w:bookmarkEnd w:id="2018"/>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390"/>
        <w:gridCol w:w="2395"/>
        <w:gridCol w:w="2390"/>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上期确认的租赁费</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27"/>
        <w:keepNext/>
        <w:keepLines/>
        <w:widowControl w:val="0"/>
        <w:shd w:val="clear" w:color="auto" w:fill="auto"/>
        <w:bidi w:val="0"/>
        <w:spacing w:before="0" w:line="240" w:lineRule="auto"/>
        <w:ind w:left="0" w:right="0" w:firstLine="0"/>
        <w:jc w:val="both"/>
      </w:pPr>
      <w:bookmarkStart w:id="2019" w:name="bookmark2019"/>
      <w:bookmarkStart w:id="2020" w:name="bookmark2020"/>
      <w:bookmarkStart w:id="2021" w:name="bookmark2021"/>
      <w:bookmarkStart w:id="2022" w:name="bookmark2022"/>
      <w:r>
        <w:rPr>
          <w:color w:val="000000"/>
          <w:spacing w:val="0"/>
          <w:w w:val="100"/>
          <w:position w:val="0"/>
        </w:rPr>
        <w:t>（</w:t>
      </w:r>
      <w:bookmarkEnd w:id="202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19"/>
      <w:bookmarkEnd w:id="2020"/>
      <w:bookmarkEnd w:id="2022"/>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本公司作为担保方</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担保是否已经履行完 毕</w:t>
            </w:r>
          </w:p>
        </w:tc>
      </w:tr>
      <w:tr>
        <w:trPr>
          <w:trHeight w:val="41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恒宝润芯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760"/>
              <w:jc w:val="left"/>
            </w:pPr>
            <w:r>
              <w:rPr>
                <w:color w:val="000000"/>
                <w:spacing w:val="0"/>
                <w:w w:val="100"/>
                <w:position w:val="0"/>
              </w:rPr>
              <w:t>61,000,000.00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100" w:right="0" w:firstLine="0"/>
              <w:jc w:val="center"/>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15"/>
        <w:gridCol w:w="1915"/>
        <w:gridCol w:w="1915"/>
        <w:gridCol w:w="197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担保是否已经履行完 毕</w:t>
            </w:r>
          </w:p>
        </w:tc>
      </w:tr>
      <w:tr>
        <w:trPr>
          <w:trHeight w:val="1627" w:hRule="exact"/>
        </w:trPr>
        <w:tc>
          <w:tcPr>
            <w:gridSpan w:val="2"/>
            <w:tcBorders>
              <w:top w:val="single" w:sz="4"/>
            </w:tcBorders>
            <w:shd w:val="clear" w:color="auto" w:fill="FFFFFF"/>
            <w:vAlign w:val="top"/>
          </w:tcPr>
          <w:p>
            <w:pPr>
              <w:pStyle w:val="Style20"/>
              <w:keepNext w:val="0"/>
              <w:keepLines w:val="0"/>
              <w:widowControl w:val="0"/>
              <w:shd w:val="clear" w:color="auto" w:fill="auto"/>
              <w:bidi w:val="0"/>
              <w:spacing w:before="100" w:after="360" w:line="240" w:lineRule="auto"/>
              <w:ind w:left="0" w:right="0" w:firstLine="0"/>
              <w:jc w:val="left"/>
            </w:pPr>
            <w:r>
              <w:rPr>
                <w:rFonts w:ascii="SimSun" w:eastAsia="SimSun" w:hAnsi="SimSun" w:cs="SimSun"/>
                <w:color w:val="000000"/>
                <w:spacing w:val="0"/>
                <w:w w:val="100"/>
                <w:position w:val="0"/>
              </w:rPr>
              <w:t>关联担保情况说明</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5</w:t>
            </w:r>
            <w:r>
              <w:rPr>
                <w:rFonts w:ascii="SimSun" w:eastAsia="SimSun" w:hAnsi="SimSun" w:cs="SimSun"/>
                <w:b/>
                <w:bCs/>
                <w:color w:val="000000"/>
                <w:spacing w:val="0"/>
                <w:w w:val="100"/>
                <w:position w:val="0"/>
                <w:sz w:val="20"/>
                <w:szCs w:val="20"/>
              </w:rPr>
              <w:t>）关联方资金拆借</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拆借金额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起始日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bl>
    <w:p>
      <w:pPr>
        <w:pStyle w:val="Style25"/>
        <w:keepNext w:val="0"/>
        <w:keepLines w:val="0"/>
        <w:widowControl w:val="0"/>
        <w:pBdr>
          <w:top w:val="single" w:sz="0" w:space="26" w:color="D3D3D3"/>
          <w:left w:val="single" w:sz="0" w:space="0" w:color="D3D3D3"/>
          <w:bottom w:val="single" w:sz="0" w:space="7" w:color="D3D3D3"/>
          <w:right w:val="single" w:sz="0" w:space="0" w:color="D3D3D3"/>
        </w:pBdr>
        <w:shd w:val="clear" w:color="auto" w:fill="D3D3D3"/>
        <w:bidi w:val="0"/>
        <w:spacing w:before="0" w:after="0" w:line="240" w:lineRule="auto"/>
        <w:ind w:left="91" w:right="0" w:firstLine="0"/>
        <w:jc w:val="left"/>
      </w:pPr>
      <w:r>
        <w:rPr>
          <w:color w:val="000000"/>
          <w:spacing w:val="0"/>
          <w:w w:val="100"/>
          <w:position w:val="0"/>
        </w:rPr>
        <w:t>拆入</w:t>
      </w:r>
    </w:p>
    <w:p>
      <w:pPr>
        <w:widowControl w:val="0"/>
        <w:spacing w:after="159" w:line="1" w:lineRule="exact"/>
      </w:pPr>
    </w:p>
    <w:p>
      <w:pPr>
        <w:pStyle w:val="Style18"/>
        <w:keepNext w:val="0"/>
        <w:keepLines w:val="0"/>
        <w:widowControl w:val="0"/>
        <w:pBdr>
          <w:top w:val="single" w:sz="0" w:space="26" w:color="D3D3D3"/>
          <w:left w:val="single" w:sz="0" w:space="0" w:color="D3D3D3"/>
          <w:bottom w:val="single" w:sz="0" w:space="7" w:color="D3D3D3"/>
          <w:right w:val="single" w:sz="0" w:space="0" w:color="D3D3D3"/>
        </w:pBdr>
        <w:shd w:val="clear" w:color="auto" w:fill="D3D3D3"/>
        <w:bidi w:val="0"/>
        <w:spacing w:before="0" w:after="290" w:line="240" w:lineRule="auto"/>
        <w:ind w:left="0" w:right="0" w:firstLine="0"/>
        <w:jc w:val="left"/>
      </w:pPr>
      <w:r>
        <w:rPr>
          <w:color w:val="000000"/>
          <w:spacing w:val="0"/>
          <w:w w:val="100"/>
          <w:position w:val="0"/>
        </w:rPr>
        <w:t>拆出</w:t>
      </w:r>
    </w:p>
    <w:p>
      <w:pPr>
        <w:pStyle w:val="Style27"/>
        <w:keepNext/>
        <w:keepLines/>
        <w:widowControl w:val="0"/>
        <w:shd w:val="clear" w:color="auto" w:fill="auto"/>
        <w:bidi w:val="0"/>
        <w:spacing w:before="0" w:after="380" w:line="240" w:lineRule="auto"/>
        <w:ind w:left="0" w:right="0" w:firstLine="0"/>
        <w:jc w:val="left"/>
      </w:pPr>
      <w:bookmarkStart w:id="2023" w:name="bookmark2023"/>
      <w:bookmarkStart w:id="2024" w:name="bookmark2024"/>
      <w:bookmarkStart w:id="2025" w:name="bookmark2025"/>
      <w:bookmarkStart w:id="2026" w:name="bookmark2026"/>
      <w:r>
        <w:rPr>
          <w:color w:val="000000"/>
          <w:spacing w:val="0"/>
          <w:w w:val="100"/>
          <w:position w:val="0"/>
        </w:rPr>
        <w:t>（</w:t>
      </w:r>
      <w:bookmarkEnd w:id="202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23"/>
      <w:bookmarkEnd w:id="2024"/>
      <w:bookmarkEnd w:id="2026"/>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2027" w:name="bookmark2027"/>
      <w:bookmarkStart w:id="2028" w:name="bookmark2028"/>
      <w:bookmarkStart w:id="2029" w:name="bookmark2029"/>
      <w:bookmarkStart w:id="2030" w:name="bookmark2030"/>
      <w:r>
        <w:rPr>
          <w:color w:val="000000"/>
          <w:spacing w:val="0"/>
          <w:w w:val="100"/>
          <w:position w:val="0"/>
        </w:rPr>
        <w:t>（</w:t>
      </w:r>
      <w:bookmarkEnd w:id="202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27"/>
      <w:bookmarkEnd w:id="2028"/>
      <w:bookmarkEnd w:id="20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4,221,278.28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4,472,100.00</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both"/>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31"/>
      <w:bookmarkEnd w:id="2032"/>
      <w:bookmarkEnd w:id="2034"/>
    </w:p>
    <w:p>
      <w:pPr>
        <w:pStyle w:val="Style27"/>
        <w:keepNext/>
        <w:keepLines/>
        <w:widowControl w:val="0"/>
        <w:shd w:val="clear" w:color="auto" w:fill="auto"/>
        <w:bidi w:val="0"/>
        <w:spacing w:before="0" w:after="320" w:line="240" w:lineRule="auto"/>
        <w:ind w:left="0" w:right="0" w:firstLine="0"/>
        <w:jc w:val="both"/>
      </w:pPr>
      <w:bookmarkStart w:id="2031" w:name="bookmark2031"/>
      <w:bookmarkStart w:id="2032" w:name="bookmark2032"/>
      <w:bookmarkStart w:id="2035" w:name="bookmark2035"/>
      <w:bookmarkStart w:id="2036" w:name="bookmark2036"/>
      <w:r>
        <w:rPr>
          <w:rFonts w:ascii="Times New Roman" w:eastAsia="Times New Roman" w:hAnsi="Times New Roman" w:cs="Times New Roman"/>
          <w:color w:val="000000"/>
          <w:spacing w:val="0"/>
          <w:w w:val="100"/>
          <w:position w:val="0"/>
        </w:rPr>
        <w:t>6</w:t>
      </w:r>
      <w:bookmarkEnd w:id="2035"/>
      <w:r>
        <w:rPr>
          <w:color w:val="000000"/>
          <w:spacing w:val="0"/>
          <w:w w:val="100"/>
          <w:position w:val="0"/>
        </w:rPr>
        <w:t>、关联方应收应付款项</w:t>
      </w:r>
      <w:bookmarkEnd w:id="2031"/>
      <w:bookmarkEnd w:id="2032"/>
      <w:bookmarkEnd w:id="2036"/>
    </w:p>
    <w:p>
      <w:pPr>
        <w:pStyle w:val="Style27"/>
        <w:keepNext/>
        <w:keepLines/>
        <w:widowControl w:val="0"/>
        <w:shd w:val="clear" w:color="auto" w:fill="auto"/>
        <w:bidi w:val="0"/>
        <w:spacing w:before="0" w:after="320" w:line="240" w:lineRule="auto"/>
        <w:ind w:left="0" w:right="0" w:firstLine="0"/>
        <w:jc w:val="both"/>
      </w:pPr>
      <w:bookmarkStart w:id="2031" w:name="bookmark2031"/>
      <w:bookmarkStart w:id="2032" w:name="bookmark2032"/>
      <w:bookmarkStart w:id="2037" w:name="bookmark20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31"/>
      <w:bookmarkEnd w:id="2032"/>
      <w:bookmarkEnd w:id="203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2038" w:name="bookmark2038"/>
      <w:bookmarkStart w:id="2039" w:name="bookmark2039"/>
      <w:bookmarkStart w:id="2040" w:name="bookmark20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38"/>
      <w:bookmarkEnd w:id="2039"/>
      <w:bookmarkEnd w:id="204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7</w:t>
      </w:r>
      <w:bookmarkEnd w:id="2043"/>
      <w:r>
        <w:rPr>
          <w:color w:val="000000"/>
          <w:spacing w:val="0"/>
          <w:w w:val="100"/>
          <w:position w:val="0"/>
        </w:rPr>
        <w:t>、关联方承诺</w:t>
      </w:r>
      <w:bookmarkEnd w:id="2041"/>
      <w:bookmarkEnd w:id="2042"/>
      <w:bookmarkEnd w:id="2044"/>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after="340" w:line="240" w:lineRule="auto"/>
        <w:ind w:left="0" w:right="0" w:firstLine="0"/>
        <w:jc w:val="both"/>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8</w:t>
      </w:r>
      <w:bookmarkEnd w:id="2047"/>
      <w:r>
        <w:rPr>
          <w:color w:val="000000"/>
          <w:spacing w:val="0"/>
          <w:w w:val="100"/>
          <w:position w:val="0"/>
        </w:rPr>
        <w:t>、其他</w:t>
      </w:r>
      <w:bookmarkEnd w:id="2045"/>
      <w:bookmarkEnd w:id="2046"/>
      <w:bookmarkEnd w:id="2048"/>
    </w:p>
    <w:p>
      <w:pPr>
        <w:pStyle w:val="Style23"/>
        <w:keepNext/>
        <w:keepLines/>
        <w:widowControl w:val="0"/>
        <w:shd w:val="clear" w:color="auto" w:fill="auto"/>
        <w:bidi w:val="0"/>
        <w:spacing w:before="0" w:after="340" w:line="240" w:lineRule="auto"/>
        <w:ind w:left="0" w:right="0" w:firstLine="0"/>
        <w:jc w:val="both"/>
      </w:pPr>
      <w:bookmarkStart w:id="2049" w:name="bookmark2049"/>
      <w:bookmarkStart w:id="2050" w:name="bookmark2050"/>
      <w:bookmarkStart w:id="2051" w:name="bookmark2051"/>
      <w:r>
        <w:rPr>
          <w:color w:val="000000"/>
          <w:spacing w:val="0"/>
          <w:w w:val="100"/>
          <w:position w:val="0"/>
          <w:sz w:val="24"/>
          <w:szCs w:val="24"/>
        </w:rPr>
        <w:t>十三、股份支付</w:t>
      </w:r>
      <w:bookmarkEnd w:id="2049"/>
      <w:bookmarkEnd w:id="2050"/>
      <w:bookmarkEnd w:id="2051"/>
    </w:p>
    <w:p>
      <w:pPr>
        <w:pStyle w:val="Style27"/>
        <w:keepNext/>
        <w:keepLines/>
        <w:widowControl w:val="0"/>
        <w:shd w:val="clear" w:color="auto" w:fill="auto"/>
        <w:bidi w:val="0"/>
        <w:spacing w:before="0" w:after="340" w:line="240" w:lineRule="auto"/>
        <w:ind w:left="0" w:right="0" w:firstLine="0"/>
        <w:jc w:val="both"/>
      </w:pPr>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52"/>
      <w:bookmarkEnd w:id="2053"/>
      <w:bookmarkEnd w:id="2054"/>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15,060,000.00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530,000.00</w:t>
            </w:r>
          </w:p>
        </w:tc>
      </w:tr>
      <w:tr>
        <w:trPr>
          <w:trHeight w:val="25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 xml:space="preserve">公司截止期末发行在外的股票期权行权价格 </w:t>
            </w:r>
            <w:r>
              <w:rPr>
                <w:color w:val="000000"/>
                <w:spacing w:val="0"/>
                <w:w w:val="100"/>
                <w:position w:val="0"/>
              </w:rPr>
              <w:t>4.215-4.430</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股；有效期自股票期权首次授权登 记完成之日起至激励对象获授的股票期权全部行 权或注销之日止，最长不超过</w:t>
            </w:r>
            <w:r>
              <w:rPr>
                <w:color w:val="000000"/>
                <w:spacing w:val="0"/>
                <w:w w:val="100"/>
                <w:position w:val="0"/>
              </w:rPr>
              <w:t>60</w:t>
            </w:r>
            <w:r>
              <w:rPr>
                <w:rFonts w:ascii="SimSun" w:eastAsia="SimSun" w:hAnsi="SimSun" w:cs="SimSun"/>
                <w:color w:val="000000"/>
                <w:spacing w:val="0"/>
                <w:w w:val="100"/>
                <w:position w:val="0"/>
              </w:rPr>
              <w:t>个月；股票期权 的等待期分别为自相应部分股票期权授权登记完 成之日起</w:t>
            </w:r>
            <w:r>
              <w:rPr>
                <w:color w:val="000000"/>
                <w:spacing w:val="0"/>
                <w:w w:val="100"/>
                <w:position w:val="0"/>
              </w:rPr>
              <w:t>12</w:t>
            </w:r>
            <w:r>
              <w:rPr>
                <w:rFonts w:ascii="SimSun" w:eastAsia="SimSun" w:hAnsi="SimSun" w:cs="SimSun"/>
                <w:color w:val="000000"/>
                <w:spacing w:val="0"/>
                <w:w w:val="100"/>
                <w:position w:val="0"/>
              </w:rPr>
              <w:t>个月、</w:t>
            </w:r>
            <w:r>
              <w:rPr>
                <w:color w:val="000000"/>
                <w:spacing w:val="0"/>
                <w:w w:val="100"/>
                <w:position w:val="0"/>
              </w:rPr>
              <w:t>24</w:t>
            </w:r>
            <w:r>
              <w:rPr>
                <w:rFonts w:ascii="SimSun" w:eastAsia="SimSun" w:hAnsi="SimSun" w:cs="SimSun"/>
                <w:color w:val="000000"/>
                <w:spacing w:val="0"/>
                <w:w w:val="100"/>
                <w:position w:val="0"/>
              </w:rPr>
              <w:t>个月、</w:t>
            </w:r>
            <w:r>
              <w:rPr>
                <w:color w:val="000000"/>
                <w:spacing w:val="0"/>
                <w:w w:val="100"/>
                <w:position w:val="0"/>
              </w:rPr>
              <w:t>36</w:t>
            </w:r>
            <w:r>
              <w:rPr>
                <w:rFonts w:ascii="SimSun" w:eastAsia="SimSun" w:hAnsi="SimSun" w:cs="SimSun"/>
                <w:color w:val="000000"/>
                <w:spacing w:val="0"/>
                <w:w w:val="100"/>
                <w:position w:val="0"/>
              </w:rPr>
              <w:t>个月；分三次 行权，每次行权的股票期权比例为</w:t>
            </w:r>
            <w:r>
              <w:rPr>
                <w:color w:val="000000"/>
                <w:spacing w:val="0"/>
                <w:w w:val="100"/>
                <w:position w:val="0"/>
              </w:rPr>
              <w:t>30%</w:t>
            </w:r>
            <w:r>
              <w:rPr>
                <w:rFonts w:ascii="SimSun" w:eastAsia="SimSun" w:hAnsi="SimSun" w:cs="SimSun"/>
                <w:color w:val="000000"/>
                <w:spacing w:val="0"/>
                <w:w w:val="100"/>
                <w:position w:val="0"/>
              </w:rPr>
              <w:t>、</w:t>
            </w:r>
            <w:r>
              <w:rPr>
                <w:color w:val="000000"/>
                <w:spacing w:val="0"/>
                <w:w w:val="100"/>
                <w:position w:val="0"/>
              </w:rPr>
              <w:t>30%</w:t>
            </w:r>
            <w:r>
              <w:rPr>
                <w:rFonts w:ascii="SimSun" w:eastAsia="SimSun" w:hAnsi="SimSun" w:cs="SimSun"/>
                <w:color w:val="000000"/>
                <w:spacing w:val="0"/>
                <w:w w:val="100"/>
                <w:position w:val="0"/>
              </w:rPr>
              <w:t xml:space="preserve">、 </w:t>
            </w:r>
            <w:r>
              <w:rPr>
                <w:color w:val="000000"/>
                <w:spacing w:val="0"/>
                <w:w w:val="100"/>
                <w:position w:val="0"/>
              </w:rPr>
              <w:t>40%</w:t>
            </w: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55"/>
      <w:bookmarkEnd w:id="2056"/>
      <w:bookmarkEnd w:id="2057"/>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502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264" w:val="left"/>
              </w:tabs>
              <w:bidi w:val="0"/>
              <w:spacing w:before="0" w:after="40" w:line="32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授予的股票期权激励计划公司选择</w:t>
            </w:r>
            <w:r>
              <w:rPr>
                <w:color w:val="000000"/>
                <w:spacing w:val="0"/>
                <w:w w:val="100"/>
                <w:position w:val="0"/>
              </w:rPr>
              <w:t>Black-Scholes</w:t>
            </w:r>
            <w:r>
              <w:rPr>
                <w:rFonts w:ascii="SimSun" w:eastAsia="SimSun" w:hAnsi="SimSun" w:cs="SimSun"/>
                <w:color w:val="000000"/>
                <w:spacing w:val="0"/>
                <w:w w:val="100"/>
                <w:position w:val="0"/>
              </w:rPr>
              <w:t>模 型来计算授予日股票期权的公允价</w:t>
            </w:r>
          </w:p>
          <w:p>
            <w:pPr>
              <w:pStyle w:val="Style20"/>
              <w:keepNext w:val="0"/>
              <w:keepLines w:val="0"/>
              <w:widowControl w:val="0"/>
              <w:shd w:val="clear" w:color="auto" w:fill="auto"/>
              <w:bidi w:val="0"/>
              <w:spacing w:before="0" w:after="40" w:line="314" w:lineRule="exact"/>
              <w:ind w:left="0" w:right="0" w:firstLine="0"/>
              <w:jc w:val="both"/>
            </w:pPr>
            <w:r>
              <w:rPr>
                <w:rFonts w:ascii="SimSun" w:eastAsia="SimSun" w:hAnsi="SimSun" w:cs="SimSun"/>
                <w:color w:val="000000"/>
                <w:spacing w:val="0"/>
                <w:w w:val="100"/>
                <w:position w:val="0"/>
              </w:rPr>
              <w:t>值。</w:t>
            </w:r>
          </w:p>
          <w:p>
            <w:pPr>
              <w:pStyle w:val="Style20"/>
              <w:keepNext w:val="0"/>
              <w:keepLines w:val="0"/>
              <w:widowControl w:val="0"/>
              <w:shd w:val="clear" w:color="auto" w:fill="auto"/>
              <w:tabs>
                <w:tab w:pos="278" w:val="left"/>
              </w:tabs>
              <w:bidi w:val="0"/>
              <w:spacing w:before="0" w:after="100" w:line="31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授予的股票期权激励计划采用如下方式确定公允价</w:t>
            </w:r>
          </w:p>
          <w:p>
            <w:pPr>
              <w:pStyle w:val="Style20"/>
              <w:keepNext w:val="0"/>
              <w:keepLines w:val="0"/>
              <w:widowControl w:val="0"/>
              <w:shd w:val="clear" w:color="auto" w:fill="auto"/>
              <w:bidi w:val="0"/>
              <w:spacing w:before="0" w:after="100" w:line="314" w:lineRule="exact"/>
              <w:ind w:left="0" w:right="0" w:firstLine="0"/>
              <w:jc w:val="both"/>
            </w:pPr>
            <w:r>
              <w:rPr>
                <w:rFonts w:ascii="SimSun" w:eastAsia="SimSun" w:hAnsi="SimSun" w:cs="SimSun"/>
                <w:color w:val="000000"/>
                <w:spacing w:val="0"/>
                <w:w w:val="100"/>
                <w:position w:val="0"/>
              </w:rPr>
              <w:t>值：</w:t>
            </w:r>
          </w:p>
          <w:p>
            <w:pPr>
              <w:pStyle w:val="Style20"/>
              <w:keepNext w:val="0"/>
              <w:keepLines w:val="0"/>
              <w:widowControl w:val="0"/>
              <w:numPr>
                <w:ilvl w:val="0"/>
                <w:numId w:val="83"/>
              </w:numPr>
              <w:shd w:val="clear" w:color="auto" w:fill="auto"/>
              <w:tabs>
                <w:tab w:pos="408" w:val="left"/>
              </w:tabs>
              <w:bidi w:val="0"/>
              <w:spacing w:before="0" w:after="40" w:line="307" w:lineRule="exact"/>
              <w:ind w:left="0" w:right="0" w:firstLine="0"/>
              <w:jc w:val="both"/>
            </w:pPr>
            <w:r>
              <w:rPr>
                <w:rFonts w:ascii="SimSun" w:eastAsia="SimSun" w:hAnsi="SimSun" w:cs="SimSun"/>
                <w:color w:val="000000"/>
                <w:spacing w:val="0"/>
                <w:w w:val="100"/>
                <w:position w:val="0"/>
              </w:rPr>
              <w:t>首次授权部分股票期权行权价格不低于股票票面金 额，且不低于下列价格较高者的</w:t>
            </w:r>
            <w:r>
              <w:rPr>
                <w:color w:val="000000"/>
                <w:spacing w:val="0"/>
                <w:w w:val="100"/>
                <w:position w:val="0"/>
              </w:rPr>
              <w:t>70%</w:t>
            </w:r>
            <w:r>
              <w:rPr>
                <w:rFonts w:ascii="SimSun" w:eastAsia="SimSun" w:hAnsi="SimSun" w:cs="SimSun"/>
                <w:color w:val="000000"/>
                <w:spacing w:val="0"/>
                <w:w w:val="100"/>
                <w:position w:val="0"/>
              </w:rPr>
              <w:t>：</w:t>
            </w:r>
          </w:p>
          <w:p>
            <w:pPr>
              <w:pStyle w:val="Style20"/>
              <w:keepNext w:val="0"/>
              <w:keepLines w:val="0"/>
              <w:widowControl w:val="0"/>
              <w:shd w:val="clear" w:color="auto" w:fill="auto"/>
              <w:tabs>
                <w:tab w:pos="230" w:val="left"/>
              </w:tabs>
              <w:bidi w:val="0"/>
              <w:spacing w:before="0" w:after="40" w:line="310" w:lineRule="exact"/>
              <w:ind w:left="0" w:right="0" w:firstLine="0"/>
              <w:jc w:val="both"/>
            </w:pPr>
            <w:r>
              <w:rPr>
                <w:color w:val="000000"/>
                <w:spacing w:val="0"/>
                <w:w w:val="100"/>
                <w:position w:val="0"/>
              </w:rPr>
              <w:t>a</w:t>
            </w:r>
            <w:r>
              <w:rPr>
                <w:rFonts w:ascii="SimSun" w:eastAsia="SimSun" w:hAnsi="SimSun" w:cs="SimSun"/>
                <w:color w:val="000000"/>
                <w:spacing w:val="0"/>
                <w:w w:val="100"/>
                <w:position w:val="0"/>
              </w:rPr>
              <w:t>、</w:t>
              <w:tab/>
            </w:r>
            <w:r>
              <w:rPr>
                <w:rFonts w:ascii="SimSun" w:eastAsia="SimSun" w:hAnsi="SimSun" w:cs="SimSun"/>
                <w:color w:val="000000"/>
                <w:spacing w:val="0"/>
                <w:w w:val="100"/>
                <w:position w:val="0"/>
              </w:rPr>
              <w:t>股权激励计划草案公布前</w:t>
            </w:r>
            <w:r>
              <w:rPr>
                <w:color w:val="000000"/>
                <w:spacing w:val="0"/>
                <w:w w:val="100"/>
                <w:position w:val="0"/>
              </w:rPr>
              <w:t>1</w:t>
            </w:r>
            <w:r>
              <w:rPr>
                <w:rFonts w:ascii="SimSun" w:eastAsia="SimSun" w:hAnsi="SimSun" w:cs="SimSun"/>
                <w:color w:val="000000"/>
                <w:spacing w:val="0"/>
                <w:w w:val="100"/>
                <w:position w:val="0"/>
              </w:rPr>
              <w:t>个交易日的公司股票交易 均价(前</w:t>
            </w:r>
            <w:r>
              <w:rPr>
                <w:color w:val="000000"/>
                <w:spacing w:val="0"/>
                <w:w w:val="100"/>
                <w:position w:val="0"/>
              </w:rPr>
              <w:t>1</w:t>
            </w:r>
            <w:r>
              <w:rPr>
                <w:rFonts w:ascii="SimSun" w:eastAsia="SimSun" w:hAnsi="SimSun" w:cs="SimSun"/>
                <w:color w:val="000000"/>
                <w:spacing w:val="0"/>
                <w:w w:val="100"/>
                <w:position w:val="0"/>
              </w:rPr>
              <w:t>个交易日股票交易总额</w:t>
            </w:r>
            <w:r>
              <w:rPr>
                <w:color w:val="000000"/>
                <w:spacing w:val="0"/>
                <w:w w:val="100"/>
                <w:position w:val="0"/>
              </w:rPr>
              <w:t>/</w:t>
            </w:r>
            <w:r>
              <w:rPr>
                <w:rFonts w:ascii="SimSun" w:eastAsia="SimSun" w:hAnsi="SimSun" w:cs="SimSun"/>
                <w:color w:val="000000"/>
                <w:spacing w:val="0"/>
                <w:w w:val="100"/>
                <w:position w:val="0"/>
              </w:rPr>
              <w:t>前</w:t>
            </w:r>
            <w:r>
              <w:rPr>
                <w:color w:val="000000"/>
                <w:spacing w:val="0"/>
                <w:w w:val="100"/>
                <w:position w:val="0"/>
              </w:rPr>
              <w:t>1</w:t>
            </w:r>
            <w:r>
              <w:rPr>
                <w:rFonts w:ascii="SimSun" w:eastAsia="SimSun" w:hAnsi="SimSun" w:cs="SimSun"/>
                <w:color w:val="000000"/>
                <w:spacing w:val="0"/>
                <w:w w:val="100"/>
                <w:position w:val="0"/>
              </w:rPr>
              <w:t>个交易日股票交 易总量)，为</w:t>
            </w:r>
            <w:r>
              <w:rPr>
                <w:color w:val="000000"/>
                <w:spacing w:val="0"/>
                <w:w w:val="100"/>
                <w:position w:val="0"/>
              </w:rPr>
              <w:t>5.56</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p>
          <w:p>
            <w:pPr>
              <w:pStyle w:val="Style20"/>
              <w:keepNext w:val="0"/>
              <w:keepLines w:val="0"/>
              <w:widowControl w:val="0"/>
              <w:shd w:val="clear" w:color="auto" w:fill="auto"/>
              <w:tabs>
                <w:tab w:pos="278" w:val="left"/>
              </w:tabs>
              <w:bidi w:val="0"/>
              <w:spacing w:before="0" w:after="40" w:line="314" w:lineRule="exact"/>
              <w:ind w:left="0" w:right="0" w:firstLine="0"/>
              <w:jc w:val="both"/>
            </w:pPr>
            <w:r>
              <w:rPr>
                <w:color w:val="000000"/>
                <w:spacing w:val="0"/>
                <w:w w:val="100"/>
                <w:position w:val="0"/>
              </w:rPr>
              <w:t>b</w:t>
            </w:r>
            <w:r>
              <w:rPr>
                <w:rFonts w:ascii="SimSun" w:eastAsia="SimSun" w:hAnsi="SimSun" w:cs="SimSun"/>
                <w:color w:val="000000"/>
                <w:spacing w:val="0"/>
                <w:w w:val="100"/>
                <w:position w:val="0"/>
              </w:rPr>
              <w:t>、</w:t>
              <w:tab/>
            </w:r>
            <w:r>
              <w:rPr>
                <w:rFonts w:ascii="SimSun" w:eastAsia="SimSun" w:hAnsi="SimSun" w:cs="SimSun"/>
                <w:color w:val="000000"/>
                <w:spacing w:val="0"/>
                <w:w w:val="100"/>
                <w:position w:val="0"/>
              </w:rPr>
              <w:t>股权激励计划草案公布前</w:t>
            </w:r>
            <w:r>
              <w:rPr>
                <w:color w:val="000000"/>
                <w:spacing w:val="0"/>
                <w:w w:val="100"/>
                <w:position w:val="0"/>
              </w:rPr>
              <w:t>20</w:t>
            </w:r>
            <w:r>
              <w:rPr>
                <w:rFonts w:ascii="SimSun" w:eastAsia="SimSun" w:hAnsi="SimSun" w:cs="SimSun"/>
                <w:color w:val="000000"/>
                <w:spacing w:val="0"/>
                <w:w w:val="100"/>
                <w:position w:val="0"/>
              </w:rPr>
              <w:t>个交易日的公司股票交 易均价(前</w:t>
            </w:r>
            <w:r>
              <w:rPr>
                <w:color w:val="000000"/>
                <w:spacing w:val="0"/>
                <w:w w:val="100"/>
                <w:position w:val="0"/>
              </w:rPr>
              <w:t>20</w:t>
            </w:r>
            <w:r>
              <w:rPr>
                <w:rFonts w:ascii="SimSun" w:eastAsia="SimSun" w:hAnsi="SimSun" w:cs="SimSun"/>
                <w:color w:val="000000"/>
                <w:spacing w:val="0"/>
                <w:w w:val="100"/>
                <w:position w:val="0"/>
              </w:rPr>
              <w:t>个交易日股票交易总额</w:t>
            </w:r>
            <w:r>
              <w:rPr>
                <w:color w:val="000000"/>
                <w:spacing w:val="0"/>
                <w:w w:val="100"/>
                <w:position w:val="0"/>
              </w:rPr>
              <w:t>/</w:t>
            </w:r>
            <w:r>
              <w:rPr>
                <w:rFonts w:ascii="SimSun" w:eastAsia="SimSun" w:hAnsi="SimSun" w:cs="SimSun"/>
                <w:color w:val="000000"/>
                <w:spacing w:val="0"/>
                <w:w w:val="100"/>
                <w:position w:val="0"/>
              </w:rPr>
              <w:t>前</w:t>
            </w:r>
            <w:r>
              <w:rPr>
                <w:color w:val="000000"/>
                <w:spacing w:val="0"/>
                <w:w w:val="100"/>
                <w:position w:val="0"/>
              </w:rPr>
              <w:t>20</w:t>
            </w:r>
            <w:r>
              <w:rPr>
                <w:rFonts w:ascii="SimSun" w:eastAsia="SimSun" w:hAnsi="SimSun" w:cs="SimSun"/>
                <w:color w:val="000000"/>
                <w:spacing w:val="0"/>
                <w:w w:val="100"/>
                <w:position w:val="0"/>
              </w:rPr>
              <w:t>个交易日股 票交易总量)，为</w:t>
            </w:r>
            <w:r>
              <w:rPr>
                <w:color w:val="000000"/>
                <w:spacing w:val="0"/>
                <w:w w:val="100"/>
                <w:position w:val="0"/>
              </w:rPr>
              <w:t>6.32</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p>
          <w:p>
            <w:pPr>
              <w:pStyle w:val="Style20"/>
              <w:keepNext w:val="0"/>
              <w:keepLines w:val="0"/>
              <w:widowControl w:val="0"/>
              <w:numPr>
                <w:ilvl w:val="0"/>
                <w:numId w:val="83"/>
              </w:numPr>
              <w:shd w:val="clear" w:color="auto" w:fill="auto"/>
              <w:tabs>
                <w:tab w:pos="408" w:val="left"/>
              </w:tabs>
              <w:bidi w:val="0"/>
              <w:spacing w:before="0" w:after="40" w:line="322" w:lineRule="exact"/>
              <w:ind w:left="0" w:right="0" w:firstLine="0"/>
              <w:jc w:val="both"/>
            </w:pPr>
            <w:r>
              <w:rPr>
                <w:rFonts w:ascii="SimSun" w:eastAsia="SimSun" w:hAnsi="SimSun" w:cs="SimSun"/>
                <w:color w:val="000000"/>
                <w:spacing w:val="0"/>
                <w:w w:val="100"/>
                <w:position w:val="0"/>
              </w:rPr>
              <w:t>预留授权部分股票期权行权价格不低于股票票面金 额，且不低于下列价格较高者的</w:t>
            </w:r>
            <w:r>
              <w:rPr>
                <w:color w:val="000000"/>
                <w:spacing w:val="0"/>
                <w:w w:val="100"/>
                <w:position w:val="0"/>
              </w:rPr>
              <w:t>70%</w:t>
            </w:r>
            <w:r>
              <w:rPr>
                <w:rFonts w:ascii="SimSun" w:eastAsia="SimSun" w:hAnsi="SimSun" w:cs="SimSun"/>
                <w:color w:val="000000"/>
                <w:spacing w:val="0"/>
                <w:w w:val="100"/>
                <w:position w:val="0"/>
              </w:rPr>
              <w:t>：</w:t>
            </w:r>
          </w:p>
        </w:tc>
      </w:tr>
    </w:tbl>
    <w:tbl>
      <w:tblPr>
        <w:tblOverlap w:val="never"/>
        <w:jc w:val="center"/>
        <w:tblLayout w:type="fixed"/>
      </w:tblPr>
      <w:tblGrid>
        <w:gridCol w:w="4987"/>
        <w:gridCol w:w="4594"/>
      </w:tblGrid>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tabs>
                <w:tab w:pos="230" w:val="left"/>
              </w:tabs>
              <w:bidi w:val="0"/>
              <w:spacing w:before="0" w:after="40" w:line="312" w:lineRule="exact"/>
              <w:ind w:left="0" w:right="0" w:firstLine="0"/>
              <w:jc w:val="left"/>
            </w:pPr>
            <w:r>
              <w:rPr>
                <w:color w:val="000000"/>
                <w:spacing w:val="0"/>
                <w:w w:val="100"/>
                <w:position w:val="0"/>
              </w:rPr>
              <w:t>a</w:t>
            </w:r>
            <w:r>
              <w:rPr>
                <w:rFonts w:ascii="SimSun" w:eastAsia="SimSun" w:hAnsi="SimSun" w:cs="SimSun"/>
                <w:color w:val="000000"/>
                <w:spacing w:val="0"/>
                <w:w w:val="100"/>
                <w:position w:val="0"/>
              </w:rPr>
              <w:t>、</w:t>
              <w:tab/>
            </w:r>
            <w:r>
              <w:rPr>
                <w:rFonts w:ascii="SimSun" w:eastAsia="SimSun" w:hAnsi="SimSun" w:cs="SimSun"/>
                <w:color w:val="000000"/>
                <w:spacing w:val="0"/>
                <w:w w:val="100"/>
                <w:position w:val="0"/>
              </w:rPr>
              <w:t>预留股票期权授予董事会决议公布前</w:t>
            </w:r>
            <w:r>
              <w:rPr>
                <w:color w:val="000000"/>
                <w:spacing w:val="0"/>
                <w:w w:val="100"/>
                <w:position w:val="0"/>
              </w:rPr>
              <w:t>1</w:t>
            </w:r>
            <w:r>
              <w:rPr>
                <w:rFonts w:ascii="SimSun" w:eastAsia="SimSun" w:hAnsi="SimSun" w:cs="SimSun"/>
                <w:color w:val="000000"/>
                <w:spacing w:val="0"/>
                <w:w w:val="100"/>
                <w:position w:val="0"/>
              </w:rPr>
              <w:t>个交易日的公 司股票交易均价，为</w:t>
            </w:r>
            <w:r>
              <w:rPr>
                <w:color w:val="000000"/>
                <w:spacing w:val="0"/>
                <w:w w:val="100"/>
                <w:position w:val="0"/>
              </w:rPr>
              <w:t>6.32</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p>
          <w:p>
            <w:pPr>
              <w:pStyle w:val="Style20"/>
              <w:keepNext w:val="0"/>
              <w:keepLines w:val="0"/>
              <w:widowControl w:val="0"/>
              <w:shd w:val="clear" w:color="auto" w:fill="auto"/>
              <w:tabs>
                <w:tab w:pos="235" w:val="left"/>
              </w:tabs>
              <w:bidi w:val="0"/>
              <w:spacing w:before="0" w:after="0" w:line="317" w:lineRule="exact"/>
              <w:ind w:left="0" w:right="0" w:firstLine="0"/>
              <w:jc w:val="left"/>
            </w:pPr>
            <w:r>
              <w:rPr>
                <w:color w:val="000000"/>
                <w:spacing w:val="0"/>
                <w:w w:val="100"/>
                <w:position w:val="0"/>
              </w:rPr>
              <w:t>b</w:t>
            </w:r>
            <w:r>
              <w:rPr>
                <w:rFonts w:ascii="SimSun" w:eastAsia="SimSun" w:hAnsi="SimSun" w:cs="SimSun"/>
                <w:color w:val="000000"/>
                <w:spacing w:val="0"/>
                <w:w w:val="100"/>
                <w:position w:val="0"/>
              </w:rPr>
              <w:t>、</w:t>
              <w:tab/>
            </w:r>
            <w:r>
              <w:rPr>
                <w:rFonts w:ascii="SimSun" w:eastAsia="SimSun" w:hAnsi="SimSun" w:cs="SimSun"/>
                <w:color w:val="000000"/>
                <w:spacing w:val="0"/>
                <w:w w:val="100"/>
                <w:position w:val="0"/>
              </w:rPr>
              <w:t>预留股票期权授予董事会决议公布前</w:t>
            </w:r>
            <w:r>
              <w:rPr>
                <w:color w:val="000000"/>
                <w:spacing w:val="0"/>
                <w:w w:val="100"/>
                <w:position w:val="0"/>
              </w:rPr>
              <w:t>120</w:t>
            </w:r>
            <w:r>
              <w:rPr>
                <w:rFonts w:ascii="SimSun" w:eastAsia="SimSun" w:hAnsi="SimSun" w:cs="SimSun"/>
                <w:color w:val="000000"/>
                <w:spacing w:val="0"/>
                <w:w w:val="100"/>
                <w:position w:val="0"/>
              </w:rPr>
              <w:t>个交易日的 公司股票交易均价，为</w:t>
            </w:r>
            <w:r>
              <w:rPr>
                <w:color w:val="000000"/>
                <w:spacing w:val="0"/>
                <w:w w:val="100"/>
                <w:position w:val="0"/>
              </w:rPr>
              <w:t>5.96</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在等待期的每个资产负债表日，根据最新取得的可行权 人数变动、业绩指标完成情况等后续信息，修正预计可 行权的股票期权数量。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12,569,200.00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12,569,200.00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039" w:line="1" w:lineRule="exact"/>
      </w:pPr>
    </w:p>
    <w:p>
      <w:pPr>
        <w:pStyle w:val="Style27"/>
        <w:keepNext/>
        <w:keepLines/>
        <w:widowControl w:val="0"/>
        <w:shd w:val="clear" w:color="auto" w:fill="auto"/>
        <w:tabs>
          <w:tab w:pos="378" w:val="left"/>
        </w:tabs>
        <w:bidi w:val="0"/>
        <w:spacing w:before="0" w:after="260" w:line="240" w:lineRule="auto"/>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3</w:t>
      </w:r>
      <w:bookmarkEnd w:id="2060"/>
      <w:r>
        <w:rPr>
          <w:color w:val="000000"/>
          <w:spacing w:val="0"/>
          <w:w w:val="100"/>
          <w:position w:val="0"/>
        </w:rPr>
        <w:t>、</w:t>
        <w:tab/>
        <w:t>以现金结算的股份支付情况</w:t>
      </w:r>
      <w:bookmarkEnd w:id="2058"/>
      <w:bookmarkEnd w:id="2059"/>
      <w:bookmarkEnd w:id="2061"/>
    </w:p>
    <w:p>
      <w:pPr>
        <w:pStyle w:val="Style18"/>
        <w:keepNext w:val="0"/>
        <w:keepLines w:val="0"/>
        <w:widowControl w:val="0"/>
        <w:shd w:val="clear" w:color="auto" w:fill="auto"/>
        <w:bidi w:val="0"/>
        <w:spacing w:before="0" w:after="340" w:line="309" w:lineRule="exact"/>
        <w:ind w:left="0" w:right="0" w:firstLine="0"/>
        <w:jc w:val="left"/>
      </w:pPr>
      <w:r>
        <w:rPr>
          <w:color w:val="000000"/>
          <w:spacing w:val="0"/>
          <w:w w:val="100"/>
          <w:position w:val="0"/>
        </w:rPr>
        <w:t>口适用”不适用</w:t>
      </w:r>
    </w:p>
    <w:p>
      <w:pPr>
        <w:pStyle w:val="Style27"/>
        <w:keepNext/>
        <w:keepLines/>
        <w:widowControl w:val="0"/>
        <w:shd w:val="clear" w:color="auto" w:fill="auto"/>
        <w:tabs>
          <w:tab w:pos="378" w:val="left"/>
        </w:tabs>
        <w:bidi w:val="0"/>
        <w:spacing w:before="0" w:after="260" w:line="240" w:lineRule="auto"/>
        <w:ind w:left="0" w:right="0" w:firstLine="0"/>
        <w:jc w:val="left"/>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4</w:t>
      </w:r>
      <w:bookmarkEnd w:id="2064"/>
      <w:r>
        <w:rPr>
          <w:color w:val="000000"/>
          <w:spacing w:val="0"/>
          <w:w w:val="100"/>
          <w:position w:val="0"/>
        </w:rPr>
        <w:t>、</w:t>
        <w:tab/>
        <w:t>股份支付的修改、终止情况</w:t>
      </w:r>
      <w:bookmarkEnd w:id="2062"/>
      <w:bookmarkEnd w:id="2063"/>
      <w:bookmarkEnd w:id="2065"/>
    </w:p>
    <w:p>
      <w:pPr>
        <w:pStyle w:val="Style18"/>
        <w:keepNext w:val="0"/>
        <w:keepLines w:val="0"/>
        <w:widowControl w:val="0"/>
        <w:shd w:val="clear" w:color="auto" w:fill="auto"/>
        <w:bidi w:val="0"/>
        <w:spacing w:before="0" w:after="340" w:line="309" w:lineRule="exact"/>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5</w:t>
      </w:r>
      <w:bookmarkEnd w:id="2068"/>
      <w:r>
        <w:rPr>
          <w:color w:val="000000"/>
          <w:spacing w:val="0"/>
          <w:w w:val="100"/>
          <w:position w:val="0"/>
        </w:rPr>
        <w:t>、</w:t>
        <w:tab/>
        <w:t>其他</w:t>
      </w:r>
      <w:bookmarkEnd w:id="2066"/>
      <w:bookmarkEnd w:id="2067"/>
      <w:bookmarkEnd w:id="2069"/>
    </w:p>
    <w:p>
      <w:pPr>
        <w:pStyle w:val="Style23"/>
        <w:keepNext/>
        <w:keepLines/>
        <w:widowControl w:val="0"/>
        <w:shd w:val="clear" w:color="auto" w:fill="auto"/>
        <w:bidi w:val="0"/>
        <w:spacing w:before="0" w:after="340" w:line="240" w:lineRule="auto"/>
        <w:ind w:left="0" w:right="0" w:firstLine="0"/>
        <w:jc w:val="left"/>
      </w:pPr>
      <w:bookmarkStart w:id="2070" w:name="bookmark2070"/>
      <w:bookmarkStart w:id="2071" w:name="bookmark2071"/>
      <w:bookmarkStart w:id="2072" w:name="bookmark2072"/>
      <w:r>
        <w:rPr>
          <w:color w:val="000000"/>
          <w:spacing w:val="0"/>
          <w:w w:val="100"/>
          <w:position w:val="0"/>
          <w:sz w:val="24"/>
          <w:szCs w:val="24"/>
        </w:rPr>
        <w:t>十四、承诺及或有事项</w:t>
      </w:r>
      <w:bookmarkEnd w:id="2070"/>
      <w:bookmarkEnd w:id="2071"/>
      <w:bookmarkEnd w:id="2072"/>
    </w:p>
    <w:p>
      <w:pPr>
        <w:pStyle w:val="Style27"/>
        <w:keepNext/>
        <w:keepLines/>
        <w:widowControl w:val="0"/>
        <w:shd w:val="clear" w:color="auto" w:fill="auto"/>
        <w:bidi w:val="0"/>
        <w:spacing w:before="0" w:after="260" w:line="240" w:lineRule="auto"/>
        <w:ind w:left="0" w:right="0" w:firstLine="0"/>
        <w:jc w:val="left"/>
      </w:pPr>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73"/>
      <w:bookmarkEnd w:id="2074"/>
      <w:bookmarkEnd w:id="2075"/>
    </w:p>
    <w:p>
      <w:pPr>
        <w:pStyle w:val="Style18"/>
        <w:keepNext w:val="0"/>
        <w:keepLines w:val="0"/>
        <w:widowControl w:val="0"/>
        <w:shd w:val="clear" w:color="auto" w:fill="auto"/>
        <w:bidi w:val="0"/>
        <w:spacing w:before="0" w:after="40" w:line="309" w:lineRule="exact"/>
        <w:ind w:left="0" w:right="0" w:firstLine="0"/>
        <w:jc w:val="left"/>
      </w:pPr>
      <w:r>
        <w:rPr>
          <w:color w:val="000000"/>
          <w:spacing w:val="0"/>
          <w:w w:val="100"/>
          <w:position w:val="0"/>
        </w:rPr>
        <w:t>资产负债表日存在的重要承诺</w:t>
      </w:r>
    </w:p>
    <w:p>
      <w:pPr>
        <w:pStyle w:val="Style18"/>
        <w:keepNext w:val="0"/>
        <w:keepLines w:val="0"/>
        <w:widowControl w:val="0"/>
        <w:shd w:val="clear" w:color="auto" w:fill="auto"/>
        <w:tabs>
          <w:tab w:pos="820" w:val="left"/>
        </w:tabs>
        <w:bidi w:val="0"/>
        <w:spacing w:before="0" w:after="0" w:line="309" w:lineRule="exact"/>
        <w:ind w:left="0" w:right="0"/>
        <w:jc w:val="both"/>
      </w:pPr>
      <w:bookmarkStart w:id="2076" w:name="bookmark2076"/>
      <w:r>
        <w:rPr>
          <w:color w:val="000000"/>
          <w:spacing w:val="0"/>
          <w:w w:val="100"/>
          <w:position w:val="0"/>
        </w:rPr>
        <w:t>（</w:t>
      </w:r>
      <w:bookmarkEnd w:id="2076"/>
      <w:r>
        <w:rPr>
          <w:rFonts w:ascii="Times New Roman" w:eastAsia="Times New Roman" w:hAnsi="Times New Roman" w:cs="Times New Roman"/>
          <w:color w:val="000000"/>
          <w:spacing w:val="0"/>
          <w:w w:val="100"/>
          <w:position w:val="0"/>
        </w:rPr>
        <w:t>1</w:t>
      </w:r>
      <w:r>
        <w:rPr>
          <w:color w:val="000000"/>
          <w:spacing w:val="0"/>
          <w:w w:val="100"/>
          <w:position w:val="0"/>
        </w:rPr>
        <w:t>）</w:t>
        <w:tab/>
        <w:t>未结清的保函</w:t>
      </w:r>
    </w:p>
    <w:p>
      <w:pPr>
        <w:pStyle w:val="Style18"/>
        <w:keepNext w:val="0"/>
        <w:keepLines w:val="0"/>
        <w:widowControl w:val="0"/>
        <w:shd w:val="clear" w:color="auto" w:fill="auto"/>
        <w:bidi w:val="0"/>
        <w:spacing w:before="0" w:after="0" w:line="309" w:lineRule="exact"/>
        <w:ind w:left="0" w:right="0"/>
        <w:jc w:val="both"/>
      </w:pPr>
      <w:r>
        <w:rPr>
          <w:color w:val="000000"/>
          <w:spacing w:val="0"/>
          <w:w w:val="100"/>
          <w:position w:val="0"/>
        </w:rPr>
        <w:t>报告期末，公司在境内已开立但尚未结清的银行保函金额为人民币</w:t>
      </w:r>
      <w:r>
        <w:rPr>
          <w:color w:val="000000"/>
          <w:spacing w:val="0"/>
          <w:w w:val="100"/>
          <w:position w:val="0"/>
        </w:rPr>
        <w:t>8,351,000.00</w:t>
      </w:r>
      <w:r>
        <w:rPr>
          <w:color w:val="000000"/>
          <w:spacing w:val="0"/>
          <w:w w:val="100"/>
          <w:position w:val="0"/>
        </w:rPr>
        <w:t>元，美元</w:t>
      </w:r>
      <w:r>
        <w:rPr>
          <w:color w:val="000000"/>
          <w:spacing w:val="0"/>
          <w:w w:val="100"/>
          <w:position w:val="0"/>
        </w:rPr>
        <w:t>16,851.03</w:t>
      </w:r>
      <w:r>
        <w:rPr>
          <w:color w:val="000000"/>
          <w:spacing w:val="0"/>
          <w:w w:val="100"/>
          <w:position w:val="0"/>
        </w:rPr>
        <w:t>元，对应的保证金 金额为人民币</w:t>
      </w:r>
      <w:r>
        <w:rPr>
          <w:color w:val="000000"/>
          <w:spacing w:val="0"/>
          <w:w w:val="100"/>
          <w:position w:val="0"/>
        </w:rPr>
        <w:t>1,916,718.36</w:t>
      </w:r>
      <w:r>
        <w:rPr>
          <w:color w:val="000000"/>
          <w:spacing w:val="0"/>
          <w:w w:val="100"/>
          <w:position w:val="0"/>
        </w:rPr>
        <w:t>元；在境外已开立但尚未结清的银行保函金额为</w:t>
      </w:r>
      <w:r>
        <w:rPr>
          <w:color w:val="000000"/>
          <w:spacing w:val="0"/>
          <w:w w:val="100"/>
          <w:position w:val="0"/>
        </w:rPr>
        <w:t>139,352.00</w:t>
      </w:r>
      <w:r>
        <w:rPr>
          <w:color w:val="000000"/>
          <w:spacing w:val="0"/>
          <w:w w:val="100"/>
          <w:position w:val="0"/>
        </w:rPr>
        <w:t xml:space="preserve">美元，对应的保证金金额为 </w:t>
      </w:r>
      <w:r>
        <w:rPr>
          <w:color w:val="000000"/>
          <w:spacing w:val="0"/>
          <w:w w:val="100"/>
          <w:position w:val="0"/>
        </w:rPr>
        <w:t>139,352.00</w:t>
      </w:r>
      <w:r>
        <w:rPr>
          <w:color w:val="000000"/>
          <w:spacing w:val="0"/>
          <w:w w:val="100"/>
          <w:position w:val="0"/>
        </w:rPr>
        <w:t>美元。</w:t>
      </w:r>
    </w:p>
    <w:p>
      <w:pPr>
        <w:pStyle w:val="Style18"/>
        <w:keepNext w:val="0"/>
        <w:keepLines w:val="0"/>
        <w:widowControl w:val="0"/>
        <w:shd w:val="clear" w:color="auto" w:fill="auto"/>
        <w:tabs>
          <w:tab w:pos="820" w:val="left"/>
        </w:tabs>
        <w:bidi w:val="0"/>
        <w:spacing w:before="0" w:after="0" w:line="309" w:lineRule="exact"/>
        <w:ind w:left="0" w:right="0"/>
        <w:jc w:val="both"/>
      </w:pPr>
      <w:bookmarkStart w:id="2077" w:name="bookmark2077"/>
      <w:r>
        <w:rPr>
          <w:color w:val="000000"/>
          <w:spacing w:val="0"/>
          <w:w w:val="100"/>
          <w:position w:val="0"/>
        </w:rPr>
        <w:t>（</w:t>
      </w:r>
      <w:bookmarkEnd w:id="2077"/>
      <w:r>
        <w:rPr>
          <w:color w:val="000000"/>
          <w:spacing w:val="0"/>
          <w:w w:val="100"/>
          <w:position w:val="0"/>
        </w:rPr>
        <w:t>2）</w:t>
        <w:tab/>
        <w:t>授信额度及使用情况</w:t>
      </w:r>
    </w:p>
    <w:p>
      <w:pPr>
        <w:pStyle w:val="Style18"/>
        <w:keepNext w:val="0"/>
        <w:keepLines w:val="0"/>
        <w:widowControl w:val="0"/>
        <w:shd w:val="clear" w:color="auto" w:fill="auto"/>
        <w:bidi w:val="0"/>
        <w:spacing w:before="0" w:after="0" w:line="309" w:lineRule="exact"/>
        <w:ind w:left="0" w:right="0"/>
        <w:jc w:val="both"/>
      </w:pPr>
      <w:r>
        <w:rPr>
          <w:color w:val="000000"/>
          <w:spacing w:val="0"/>
          <w:w w:val="100"/>
          <w:position w:val="0"/>
        </w:rPr>
        <w:t>公司以其所有的座落于北京西城区金融大街的不动产为抵押，向中国农业银行股份有限公司丹阳支行取得</w:t>
      </w:r>
      <w:r>
        <w:rPr>
          <w:color w:val="000000"/>
          <w:spacing w:val="0"/>
          <w:w w:val="100"/>
          <w:position w:val="0"/>
        </w:rPr>
        <w:t>1.9</w:t>
      </w:r>
      <w:r>
        <w:rPr>
          <w:color w:val="000000"/>
          <w:spacing w:val="0"/>
          <w:w w:val="100"/>
          <w:position w:val="0"/>
        </w:rPr>
        <w:t>亿元人民 币授信额度。截至期末，上述抵押物账面原值为人民币</w:t>
      </w:r>
      <w:r>
        <w:rPr>
          <w:color w:val="000000"/>
          <w:spacing w:val="0"/>
          <w:w w:val="100"/>
          <w:position w:val="0"/>
        </w:rPr>
        <w:t>43,690,478.23</w:t>
      </w:r>
      <w:r>
        <w:rPr>
          <w:color w:val="000000"/>
          <w:spacing w:val="0"/>
          <w:w w:val="100"/>
          <w:position w:val="0"/>
        </w:rPr>
        <w:t>元，账面价值为人民币</w:t>
      </w:r>
      <w:r>
        <w:rPr>
          <w:color w:val="000000"/>
          <w:spacing w:val="0"/>
          <w:w w:val="100"/>
          <w:position w:val="0"/>
        </w:rPr>
        <w:t>31,290,334.39</w:t>
      </w:r>
      <w:r>
        <w:rPr>
          <w:color w:val="000000"/>
          <w:spacing w:val="0"/>
          <w:w w:val="100"/>
          <w:position w:val="0"/>
        </w:rPr>
        <w:t>元。授信额度 用于开具信用证及保函。报告期末，已使用授信额度人民币</w:t>
      </w:r>
      <w:r>
        <w:rPr>
          <w:color w:val="000000"/>
          <w:spacing w:val="0"/>
          <w:w w:val="100"/>
          <w:position w:val="0"/>
        </w:rPr>
        <w:t>765,707.02</w:t>
      </w:r>
      <w:r>
        <w:rPr>
          <w:color w:val="000000"/>
          <w:spacing w:val="0"/>
          <w:w w:val="100"/>
          <w:position w:val="0"/>
        </w:rPr>
        <w:t>元。</w:t>
      </w:r>
    </w:p>
    <w:p>
      <w:pPr>
        <w:pStyle w:val="Style18"/>
        <w:keepNext w:val="0"/>
        <w:keepLines w:val="0"/>
        <w:widowControl w:val="0"/>
        <w:shd w:val="clear" w:color="auto" w:fill="auto"/>
        <w:bidi w:val="0"/>
        <w:spacing w:before="0" w:after="260" w:line="309" w:lineRule="exact"/>
        <w:ind w:left="0" w:right="0"/>
        <w:jc w:val="both"/>
      </w:pPr>
      <w:r>
        <w:rPr>
          <w:color w:val="000000"/>
          <w:spacing w:val="0"/>
          <w:w w:val="100"/>
          <w:position w:val="0"/>
        </w:rPr>
        <w:t>公司以其所有的座落于丹阳市云阳镇横塘化工路、横塘工业园、云阳镇东马场的不动产为抵押物、保证金的质押，向中 国银行股份有限公司丹阳支行取得2亿元人民币授信额度。截至期末，上述抵押物账面原值为人民币</w:t>
      </w:r>
      <w:r>
        <w:rPr>
          <w:color w:val="000000"/>
          <w:spacing w:val="0"/>
          <w:w w:val="100"/>
          <w:position w:val="0"/>
        </w:rPr>
        <w:t>147,986,796.09</w:t>
      </w:r>
      <w:r>
        <w:rPr>
          <w:color w:val="000000"/>
          <w:spacing w:val="0"/>
          <w:w w:val="100"/>
          <w:position w:val="0"/>
        </w:rPr>
        <w:t>元，账 面价值为人民币</w:t>
      </w:r>
      <w:r>
        <w:rPr>
          <w:color w:val="000000"/>
          <w:spacing w:val="0"/>
          <w:w w:val="100"/>
          <w:position w:val="0"/>
        </w:rPr>
        <w:t>64,518,386.2</w:t>
      </w:r>
      <w:r>
        <w:rPr>
          <w:color w:val="000000"/>
          <w:spacing w:val="0"/>
          <w:w w:val="100"/>
          <w:position w:val="0"/>
        </w:rPr>
        <w:t>1元。授信额度用于开具信用证及保函。报告期末，已使用授信额度人民币</w:t>
      </w:r>
      <w:r>
        <w:rPr>
          <w:color w:val="000000"/>
          <w:spacing w:val="0"/>
          <w:w w:val="100"/>
          <w:position w:val="0"/>
        </w:rPr>
        <w:t>6,742,968.76</w:t>
      </w:r>
      <w:r>
        <w:rPr>
          <w:color w:val="000000"/>
          <w:spacing w:val="0"/>
          <w:w w:val="100"/>
          <w:position w:val="0"/>
        </w:rPr>
        <w:t>元。</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2</w:t>
      </w:r>
      <w:bookmarkEnd w:id="2080"/>
      <w:r>
        <w:rPr>
          <w:color w:val="000000"/>
          <w:spacing w:val="0"/>
          <w:w w:val="100"/>
          <w:position w:val="0"/>
        </w:rPr>
        <w:t>、</w:t>
        <w:tab/>
        <w:t>或有事项</w:t>
      </w:r>
      <w:bookmarkEnd w:id="2078"/>
      <w:bookmarkEnd w:id="2079"/>
      <w:bookmarkEnd w:id="2081"/>
    </w:p>
    <w:p>
      <w:pPr>
        <w:pStyle w:val="Style27"/>
        <w:keepNext/>
        <w:keepLines/>
        <w:widowControl w:val="0"/>
        <w:shd w:val="clear" w:color="auto" w:fill="auto"/>
        <w:tabs>
          <w:tab w:pos="498" w:val="left"/>
        </w:tabs>
        <w:bidi w:val="0"/>
        <w:spacing w:before="0" w:after="340" w:line="240" w:lineRule="auto"/>
        <w:ind w:left="0" w:right="0" w:firstLine="0"/>
        <w:jc w:val="left"/>
      </w:pPr>
      <w:bookmarkStart w:id="2078" w:name="bookmark2078"/>
      <w:bookmarkStart w:id="2079" w:name="bookmark2079"/>
      <w:bookmarkStart w:id="2082" w:name="bookmark2082"/>
      <w:bookmarkStart w:id="2083" w:name="bookmark2083"/>
      <w:r>
        <w:rPr>
          <w:color w:val="000000"/>
          <w:spacing w:val="0"/>
          <w:w w:val="100"/>
          <w:position w:val="0"/>
        </w:rPr>
        <w:t>（</w:t>
      </w:r>
      <w:bookmarkEnd w:id="208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78"/>
      <w:bookmarkEnd w:id="2079"/>
      <w:bookmarkEnd w:id="2083"/>
    </w:p>
    <w:p>
      <w:pPr>
        <w:pStyle w:val="Style27"/>
        <w:keepNext/>
        <w:keepLines/>
        <w:widowControl w:val="0"/>
        <w:shd w:val="clear" w:color="auto" w:fill="auto"/>
        <w:tabs>
          <w:tab w:pos="498" w:val="left"/>
        </w:tabs>
        <w:bidi w:val="0"/>
        <w:spacing w:before="0" w:after="280" w:line="240" w:lineRule="auto"/>
        <w:ind w:left="0" w:right="0" w:firstLine="0"/>
        <w:jc w:val="left"/>
      </w:pPr>
      <w:bookmarkStart w:id="2078" w:name="bookmark2078"/>
      <w:bookmarkStart w:id="2079" w:name="bookmark2079"/>
      <w:bookmarkStart w:id="2084" w:name="bookmark2084"/>
      <w:bookmarkStart w:id="2085" w:name="bookmark2085"/>
      <w:r>
        <w:rPr>
          <w:color w:val="000000"/>
          <w:spacing w:val="0"/>
          <w:w w:val="100"/>
          <w:position w:val="0"/>
        </w:rPr>
        <w:t>（</w:t>
      </w:r>
      <w:bookmarkEnd w:id="208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78"/>
      <w:bookmarkEnd w:id="2079"/>
      <w:bookmarkEnd w:id="2085"/>
    </w:p>
    <w:p>
      <w:pPr>
        <w:pStyle w:val="Style18"/>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tabs>
          <w:tab w:pos="378" w:val="left"/>
        </w:tabs>
        <w:bidi w:val="0"/>
        <w:spacing w:before="0" w:after="280" w:line="240" w:lineRule="auto"/>
        <w:ind w:left="0" w:right="0" w:firstLine="0"/>
        <w:jc w:val="left"/>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3</w:t>
      </w:r>
      <w:bookmarkEnd w:id="2088"/>
      <w:r>
        <w:rPr>
          <w:color w:val="000000"/>
          <w:spacing w:val="0"/>
          <w:w w:val="100"/>
          <w:position w:val="0"/>
        </w:rPr>
        <w:t>、</w:t>
        <w:tab/>
        <w:t>其他</w:t>
      </w:r>
      <w:bookmarkEnd w:id="2086"/>
      <w:bookmarkEnd w:id="2087"/>
      <w:bookmarkEnd w:id="2089"/>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未决诉讼仲裁及其财务影响</w:t>
      </w:r>
    </w:p>
    <w:p>
      <w:pPr>
        <w:pStyle w:val="Style18"/>
        <w:keepNext w:val="0"/>
        <w:keepLines w:val="0"/>
        <w:widowControl w:val="0"/>
        <w:shd w:val="clear" w:color="auto" w:fill="auto"/>
        <w:bidi w:val="0"/>
        <w:spacing w:before="0" w:after="340" w:line="312" w:lineRule="exact"/>
        <w:ind w:left="0" w:right="0"/>
        <w:jc w:val="both"/>
      </w:pPr>
      <w:r>
        <w:rPr>
          <w:color w:val="000000"/>
          <w:spacing w:val="0"/>
          <w:w w:val="100"/>
          <w:position w:val="0"/>
        </w:rPr>
        <w:t>鉴于于挺进等人屡次违反《股份转让协议》约定，阻挠公司行使控股股东权利，排除公司对一卡易的合法监管，致使公 司对一卡易公司失去控制，合同目的无法实现，公司于2021年5月17日向上海仲裁委员会提交了仲裁申请书，要求解除公司 与于挺进等人签署的《股份转让协议》及《股份转让协议之补充协议》，并主张于挺进等人退还转让款（详见公司于2021年6 月19日披露的《关于对深圳证券交易所年报问询函的回复公告（2021-047）》）。上海仲裁委员会于2021年8月31日对本案进行 了开庭审理（案号：（2021）沪仲案字第2651号）。该项仲裁涉案金额为</w:t>
      </w:r>
      <w:r>
        <w:rPr>
          <w:color w:val="000000"/>
          <w:spacing w:val="0"/>
          <w:w w:val="100"/>
          <w:position w:val="0"/>
        </w:rPr>
        <w:t>16,610.46</w:t>
      </w:r>
      <w:r>
        <w:rPr>
          <w:color w:val="000000"/>
          <w:spacing w:val="0"/>
          <w:w w:val="100"/>
          <w:position w:val="0"/>
        </w:rPr>
        <w:t>万元。目前受疫情及本案首席仲裁员申请 回避的影响，该仲裁尚无定论。上述仲裁对公司本期利润或期后利润是否产生影响存在不确定性。</w:t>
      </w:r>
    </w:p>
    <w:p>
      <w:pPr>
        <w:pStyle w:val="Style23"/>
        <w:keepNext/>
        <w:keepLines/>
        <w:widowControl w:val="0"/>
        <w:shd w:val="clear" w:color="auto" w:fill="auto"/>
        <w:bidi w:val="0"/>
        <w:spacing w:before="0" w:after="340" w:line="240" w:lineRule="auto"/>
        <w:ind w:left="0" w:right="0" w:firstLine="0"/>
        <w:jc w:val="left"/>
      </w:pPr>
      <w:bookmarkStart w:id="2090" w:name="bookmark2090"/>
      <w:bookmarkStart w:id="2091" w:name="bookmark2091"/>
      <w:bookmarkStart w:id="2092" w:name="bookmark2092"/>
      <w:r>
        <w:rPr>
          <w:color w:val="000000"/>
          <w:spacing w:val="0"/>
          <w:w w:val="100"/>
          <w:position w:val="0"/>
          <w:sz w:val="24"/>
          <w:szCs w:val="24"/>
        </w:rPr>
        <w:t>十五、资产负债表日后事项</w:t>
      </w:r>
      <w:bookmarkEnd w:id="2090"/>
      <w:bookmarkEnd w:id="2091"/>
      <w:bookmarkEnd w:id="2092"/>
    </w:p>
    <w:p>
      <w:pPr>
        <w:pStyle w:val="Style27"/>
        <w:keepNext/>
        <w:keepLines/>
        <w:widowControl w:val="0"/>
        <w:shd w:val="clear" w:color="auto" w:fill="auto"/>
        <w:bidi w:val="0"/>
        <w:spacing w:before="0" w:after="280" w:line="240" w:lineRule="auto"/>
        <w:ind w:left="0" w:right="0" w:firstLine="0"/>
        <w:jc w:val="left"/>
      </w:pPr>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93"/>
      <w:bookmarkEnd w:id="2094"/>
      <w:bookmarkEnd w:id="2095"/>
    </w:p>
    <w:p>
      <w:pPr>
        <w:pStyle w:val="Style18"/>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无法估计影响数的原因</w:t>
            </w:r>
          </w:p>
        </w:tc>
      </w:tr>
    </w:tbl>
    <w:p>
      <w:pPr>
        <w:widowControl w:val="0"/>
        <w:spacing w:after="279" w:line="1" w:lineRule="exact"/>
      </w:pPr>
    </w:p>
    <w:p>
      <w:pPr>
        <w:pStyle w:val="Style27"/>
        <w:keepNext/>
        <w:keepLines/>
        <w:widowControl w:val="0"/>
        <w:shd w:val="clear" w:color="auto" w:fill="auto"/>
        <w:bidi w:val="0"/>
        <w:spacing w:before="0" w:after="340" w:line="240" w:lineRule="auto"/>
        <w:ind w:left="0" w:right="0" w:firstLine="0"/>
        <w:jc w:val="left"/>
      </w:pPr>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96"/>
      <w:bookmarkEnd w:id="2097"/>
      <w:bookmarkEnd w:id="20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r>
    </w:tbl>
    <w:p>
      <w:pPr>
        <w:widowControl w:val="0"/>
        <w:spacing w:after="279" w:line="1" w:lineRule="exact"/>
      </w:pPr>
    </w:p>
    <w:p>
      <w:pPr>
        <w:pStyle w:val="Style27"/>
        <w:keepNext/>
        <w:keepLines/>
        <w:widowControl w:val="0"/>
        <w:shd w:val="clear" w:color="auto" w:fill="auto"/>
        <w:tabs>
          <w:tab w:pos="378" w:val="left"/>
        </w:tabs>
        <w:bidi w:val="0"/>
        <w:spacing w:before="0" w:after="34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3</w:t>
      </w:r>
      <w:bookmarkEnd w:id="2101"/>
      <w:r>
        <w:rPr>
          <w:color w:val="000000"/>
          <w:spacing w:val="0"/>
          <w:w w:val="100"/>
          <w:position w:val="0"/>
        </w:rPr>
        <w:t>、</w:t>
        <w:tab/>
        <w:t>销售退回</w:t>
      </w:r>
      <w:bookmarkEnd w:id="2099"/>
      <w:bookmarkEnd w:id="2100"/>
      <w:bookmarkEnd w:id="2102"/>
    </w:p>
    <w:p>
      <w:pPr>
        <w:pStyle w:val="Style27"/>
        <w:keepNext/>
        <w:keepLines/>
        <w:widowControl w:val="0"/>
        <w:shd w:val="clear" w:color="auto" w:fill="auto"/>
        <w:tabs>
          <w:tab w:pos="378" w:val="left"/>
        </w:tabs>
        <w:bidi w:val="0"/>
        <w:spacing w:before="0" w:after="340" w:line="240" w:lineRule="auto"/>
        <w:ind w:left="0" w:right="0" w:firstLine="0"/>
        <w:jc w:val="left"/>
      </w:pPr>
      <w:bookmarkStart w:id="2099" w:name="bookmark2099"/>
      <w:bookmarkStart w:id="2100" w:name="bookmark2100"/>
      <w:bookmarkStart w:id="2103" w:name="bookmark2103"/>
      <w:bookmarkStart w:id="2104" w:name="bookmark2104"/>
      <w:r>
        <w:rPr>
          <w:rFonts w:ascii="Times New Roman" w:eastAsia="Times New Roman" w:hAnsi="Times New Roman" w:cs="Times New Roman"/>
          <w:color w:val="000000"/>
          <w:spacing w:val="0"/>
          <w:w w:val="100"/>
          <w:position w:val="0"/>
        </w:rPr>
        <w:t>4</w:t>
      </w:r>
      <w:bookmarkEnd w:id="2103"/>
      <w:r>
        <w:rPr>
          <w:color w:val="000000"/>
          <w:spacing w:val="0"/>
          <w:w w:val="100"/>
          <w:position w:val="0"/>
        </w:rPr>
        <w:t>、</w:t>
        <w:tab/>
        <w:t>其他资产负债表日后事项说明</w:t>
      </w:r>
      <w:bookmarkEnd w:id="2099"/>
      <w:bookmarkEnd w:id="2100"/>
      <w:bookmarkEnd w:id="2104"/>
    </w:p>
    <w:p>
      <w:pPr>
        <w:pStyle w:val="Style23"/>
        <w:keepNext/>
        <w:keepLines/>
        <w:widowControl w:val="0"/>
        <w:shd w:val="clear" w:color="auto" w:fill="auto"/>
        <w:bidi w:val="0"/>
        <w:spacing w:before="0" w:after="340" w:line="240" w:lineRule="auto"/>
        <w:ind w:left="0" w:right="0" w:firstLine="0"/>
        <w:jc w:val="left"/>
      </w:pPr>
      <w:bookmarkStart w:id="2105" w:name="bookmark2105"/>
      <w:bookmarkStart w:id="2106" w:name="bookmark2106"/>
      <w:bookmarkStart w:id="2107" w:name="bookmark2107"/>
      <w:r>
        <w:rPr>
          <w:color w:val="000000"/>
          <w:spacing w:val="0"/>
          <w:w w:val="100"/>
          <w:position w:val="0"/>
          <w:sz w:val="24"/>
          <w:szCs w:val="24"/>
        </w:rPr>
        <w:t>十六、其他重要事项</w:t>
      </w:r>
      <w:bookmarkEnd w:id="2105"/>
      <w:bookmarkEnd w:id="2106"/>
      <w:bookmarkEnd w:id="2107"/>
    </w:p>
    <w:p>
      <w:pPr>
        <w:pStyle w:val="Style27"/>
        <w:keepNext/>
        <w:keepLines/>
        <w:widowControl w:val="0"/>
        <w:shd w:val="clear" w:color="auto" w:fill="auto"/>
        <w:bidi w:val="0"/>
        <w:spacing w:before="0" w:after="340" w:line="240" w:lineRule="auto"/>
        <w:ind w:left="0" w:right="0" w:firstLine="0"/>
        <w:jc w:val="left"/>
      </w:pPr>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08"/>
      <w:bookmarkEnd w:id="2109"/>
      <w:bookmarkEnd w:id="2110"/>
    </w:p>
    <w:p>
      <w:pPr>
        <w:pStyle w:val="Style27"/>
        <w:keepNext/>
        <w:keepLines/>
        <w:widowControl w:val="0"/>
        <w:shd w:val="clear" w:color="auto" w:fill="auto"/>
        <w:bidi w:val="0"/>
        <w:spacing w:before="0" w:after="340" w:line="240" w:lineRule="auto"/>
        <w:ind w:left="0" w:right="0" w:firstLine="0"/>
        <w:jc w:val="left"/>
      </w:pPr>
      <w:bookmarkStart w:id="2108" w:name="bookmark2108"/>
      <w:bookmarkStart w:id="2109" w:name="bookmark2109"/>
      <w:bookmarkStart w:id="2111" w:name="bookmark21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08"/>
      <w:bookmarkEnd w:id="2109"/>
      <w:bookmarkEnd w:id="2111"/>
    </w:p>
    <w:tbl>
      <w:tblPr>
        <w:tblOverlap w:val="never"/>
        <w:jc w:val="center"/>
        <w:tblLayout w:type="fixed"/>
      </w:tblPr>
      <w:tblGrid>
        <w:gridCol w:w="2496"/>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累积影响数</w:t>
            </w:r>
          </w:p>
        </w:tc>
      </w:tr>
    </w:tbl>
    <w:p>
      <w:pPr>
        <w:widowControl w:val="0"/>
        <w:spacing w:after="339" w:line="1" w:lineRule="exact"/>
      </w:pPr>
    </w:p>
    <w:p>
      <w:pPr>
        <w:pStyle w:val="Style48"/>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p>
    <w:tbl>
      <w:tblPr>
        <w:tblOverlap w:val="never"/>
        <w:jc w:val="center"/>
        <w:tblLayout w:type="fixed"/>
      </w:tblPr>
      <w:tblGrid>
        <w:gridCol w:w="3326"/>
        <w:gridCol w:w="3058"/>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采用未来适用法的原因</w:t>
            </w:r>
          </w:p>
        </w:tc>
      </w:tr>
    </w:tbl>
    <w:p>
      <w:pPr>
        <w:widowControl w:val="0"/>
        <w:spacing w:after="339" w:line="1" w:lineRule="exact"/>
      </w:pP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2112" w:name="bookmark2112"/>
      <w:r>
        <w:rPr>
          <w:rFonts w:ascii="Times New Roman" w:eastAsia="Times New Roman" w:hAnsi="Times New Roman" w:cs="Times New Roman"/>
          <w:color w:val="000000"/>
          <w:spacing w:val="0"/>
          <w:w w:val="100"/>
          <w:position w:val="0"/>
        </w:rPr>
        <w:t>2</w:t>
      </w:r>
      <w:bookmarkEnd w:id="2112"/>
      <w:r>
        <w:rPr>
          <w:color w:val="000000"/>
          <w:spacing w:val="0"/>
          <w:w w:val="100"/>
          <w:position w:val="0"/>
        </w:rPr>
        <w:t>、</w:t>
        <w:tab/>
        <w:t>债务重组</w:t>
      </w: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2113" w:name="bookmark2113"/>
      <w:r>
        <w:rPr>
          <w:rFonts w:ascii="Times New Roman" w:eastAsia="Times New Roman" w:hAnsi="Times New Roman" w:cs="Times New Roman"/>
          <w:color w:val="000000"/>
          <w:spacing w:val="0"/>
          <w:w w:val="100"/>
          <w:position w:val="0"/>
        </w:rPr>
        <w:t>3</w:t>
      </w:r>
      <w:bookmarkEnd w:id="2113"/>
      <w:r>
        <w:rPr>
          <w:color w:val="000000"/>
          <w:spacing w:val="0"/>
          <w:w w:val="100"/>
          <w:position w:val="0"/>
        </w:rPr>
        <w:t>、</w:t>
        <w:tab/>
        <w:t>资产置换</w:t>
      </w:r>
    </w:p>
    <w:p>
      <w:pPr>
        <w:pStyle w:val="Style48"/>
        <w:keepNext w:val="0"/>
        <w:keepLines w:val="0"/>
        <w:widowControl w:val="0"/>
        <w:shd w:val="clear" w:color="auto" w:fill="auto"/>
        <w:tabs>
          <w:tab w:pos="498" w:val="left"/>
        </w:tabs>
        <w:bidi w:val="0"/>
        <w:spacing w:before="0" w:after="340" w:line="240" w:lineRule="auto"/>
        <w:ind w:left="0" w:right="0" w:firstLine="0"/>
        <w:jc w:val="left"/>
      </w:pPr>
      <w:bookmarkStart w:id="2114" w:name="bookmark2114"/>
      <w:r>
        <w:rPr>
          <w:color w:val="000000"/>
          <w:spacing w:val="0"/>
          <w:w w:val="100"/>
          <w:position w:val="0"/>
        </w:rPr>
        <w:t>（</w:t>
      </w:r>
      <w:bookmarkEnd w:id="211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48"/>
        <w:keepNext w:val="0"/>
        <w:keepLines w:val="0"/>
        <w:widowControl w:val="0"/>
        <w:shd w:val="clear" w:color="auto" w:fill="auto"/>
        <w:tabs>
          <w:tab w:pos="498" w:val="left"/>
        </w:tabs>
        <w:bidi w:val="0"/>
        <w:spacing w:before="0" w:after="340" w:line="240" w:lineRule="auto"/>
        <w:ind w:left="0" w:right="0" w:firstLine="0"/>
        <w:jc w:val="left"/>
      </w:pPr>
      <w:bookmarkStart w:id="2115" w:name="bookmark2115"/>
      <w:r>
        <w:rPr>
          <w:color w:val="000000"/>
          <w:spacing w:val="0"/>
          <w:w w:val="100"/>
          <w:position w:val="0"/>
        </w:rPr>
        <w:t>（</w:t>
      </w:r>
      <w:bookmarkEnd w:id="211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48"/>
        <w:keepNext w:val="0"/>
        <w:keepLines w:val="0"/>
        <w:widowControl w:val="0"/>
        <w:shd w:val="clear" w:color="auto" w:fill="auto"/>
        <w:tabs>
          <w:tab w:pos="378" w:val="left"/>
        </w:tabs>
        <w:bidi w:val="0"/>
        <w:spacing w:before="0" w:after="340" w:line="240" w:lineRule="auto"/>
        <w:ind w:left="0" w:right="0" w:firstLine="0"/>
        <w:jc w:val="left"/>
      </w:pPr>
      <w:bookmarkStart w:id="2116" w:name="bookmark2116"/>
      <w:r>
        <w:rPr>
          <w:rFonts w:ascii="Times New Roman" w:eastAsia="Times New Roman" w:hAnsi="Times New Roman" w:cs="Times New Roman"/>
          <w:color w:val="000000"/>
          <w:spacing w:val="0"/>
          <w:w w:val="100"/>
          <w:position w:val="0"/>
        </w:rPr>
        <w:t>4</w:t>
      </w:r>
      <w:bookmarkEnd w:id="2116"/>
      <w:r>
        <w:rPr>
          <w:color w:val="000000"/>
          <w:spacing w:val="0"/>
          <w:w w:val="100"/>
          <w:position w:val="0"/>
        </w:rPr>
        <w:t>、</w:t>
        <w:tab/>
        <w:t>年金计划</w:t>
      </w:r>
    </w:p>
    <w:p>
      <w:pPr>
        <w:pStyle w:val="Style48"/>
        <w:keepNext w:val="0"/>
        <w:keepLines w:val="0"/>
        <w:widowControl w:val="0"/>
        <w:shd w:val="clear" w:color="auto" w:fill="auto"/>
        <w:tabs>
          <w:tab w:pos="378" w:val="left"/>
        </w:tabs>
        <w:bidi w:val="0"/>
        <w:spacing w:before="0" w:after="380" w:line="240" w:lineRule="auto"/>
        <w:ind w:left="0" w:right="0" w:firstLine="0"/>
        <w:jc w:val="left"/>
      </w:pPr>
      <w:bookmarkStart w:id="2117" w:name="bookmark2117"/>
      <w:r>
        <w:rPr>
          <w:rFonts w:ascii="Times New Roman" w:eastAsia="Times New Roman" w:hAnsi="Times New Roman" w:cs="Times New Roman"/>
          <w:color w:val="000000"/>
          <w:spacing w:val="0"/>
          <w:w w:val="100"/>
          <w:position w:val="0"/>
        </w:rPr>
        <w:t>5</w:t>
      </w:r>
      <w:bookmarkEnd w:id="2117"/>
      <w:r>
        <w:rPr>
          <w:color w:val="000000"/>
          <w:spacing w:val="0"/>
          <w:w w:val="100"/>
          <w:position w:val="0"/>
        </w:rPr>
        <w:t>、</w:t>
        <w:tab/>
        <w:t>终止经营</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104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费用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归属于母公司</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所有者的终止</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经营利润</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val="0"/>
        <w:keepLines w:val="0"/>
        <w:widowControl w:val="0"/>
        <w:shd w:val="clear" w:color="auto" w:fill="auto"/>
        <w:bidi w:val="0"/>
        <w:spacing w:before="0" w:after="340" w:line="240" w:lineRule="auto"/>
        <w:ind w:left="0" w:right="0" w:firstLine="0"/>
        <w:jc w:val="left"/>
      </w:pPr>
      <w:bookmarkStart w:id="2118" w:name="bookmark2118"/>
      <w:r>
        <w:rPr>
          <w:rFonts w:ascii="Times New Roman" w:eastAsia="Times New Roman" w:hAnsi="Times New Roman" w:cs="Times New Roman"/>
          <w:color w:val="000000"/>
          <w:spacing w:val="0"/>
          <w:w w:val="100"/>
          <w:position w:val="0"/>
        </w:rPr>
        <w:t>6</w:t>
      </w:r>
      <w:bookmarkEnd w:id="2118"/>
      <w:r>
        <w:rPr>
          <w:color w:val="000000"/>
          <w:spacing w:val="0"/>
          <w:w w:val="100"/>
          <w:position w:val="0"/>
        </w:rPr>
        <w:t>、分部信息</w:t>
      </w:r>
    </w:p>
    <w:p>
      <w:pPr>
        <w:pStyle w:val="Style48"/>
        <w:keepNext w:val="0"/>
        <w:keepLines w:val="0"/>
        <w:widowControl w:val="0"/>
        <w:shd w:val="clear" w:color="auto" w:fill="auto"/>
        <w:tabs>
          <w:tab w:pos="498" w:val="left"/>
        </w:tabs>
        <w:bidi w:val="0"/>
        <w:spacing w:before="0" w:after="340" w:line="240" w:lineRule="auto"/>
        <w:ind w:left="0" w:right="0" w:firstLine="0"/>
        <w:jc w:val="left"/>
      </w:pPr>
      <w:bookmarkStart w:id="2119" w:name="bookmark2119"/>
      <w:r>
        <w:rPr>
          <w:color w:val="000000"/>
          <w:spacing w:val="0"/>
          <w:w w:val="100"/>
          <w:position w:val="0"/>
        </w:rPr>
        <w:t>（</w:t>
      </w:r>
      <w:bookmarkEnd w:id="211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48"/>
        <w:keepNext w:val="0"/>
        <w:keepLines w:val="0"/>
        <w:widowControl w:val="0"/>
        <w:shd w:val="clear" w:color="auto" w:fill="auto"/>
        <w:tabs>
          <w:tab w:pos="498" w:val="left"/>
        </w:tabs>
        <w:bidi w:val="0"/>
        <w:spacing w:before="0" w:after="380" w:line="240" w:lineRule="auto"/>
        <w:ind w:left="0" w:right="0" w:firstLine="0"/>
        <w:jc w:val="left"/>
      </w:pPr>
      <w:bookmarkStart w:id="2120" w:name="bookmark2120"/>
      <w:r>
        <w:rPr>
          <w:color w:val="000000"/>
          <w:spacing w:val="0"/>
          <w:w w:val="100"/>
          <w:position w:val="0"/>
        </w:rPr>
        <w:t>（</w:t>
      </w:r>
      <w:bookmarkEnd w:id="212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68"/>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制卡类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模块类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票证类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790,209,665.61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162,675,800.52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5,301,804.00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1,697,998.66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959,885,268.79</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573,545,906.09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142,030,600.63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3,921,722.33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933,386.08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720,431,615.13</w:t>
            </w:r>
          </w:p>
        </w:tc>
      </w:tr>
    </w:tbl>
    <w:p>
      <w:pPr>
        <w:sectPr>
          <w:footnotePr>
            <w:pos w:val="pageBottom"/>
            <w:numFmt w:val="decimal"/>
            <w:numRestart w:val="continuous"/>
          </w:footnotePr>
          <w:pgSz w:w="11900" w:h="16840"/>
          <w:pgMar w:top="1366" w:right="1062" w:bottom="1736" w:left="1061" w:header="0" w:footer="3" w:gutter="0"/>
          <w:cols w:space="720"/>
          <w:noEndnote/>
          <w:rtlGutter w:val="0"/>
          <w:docGrid w:linePitch="360"/>
        </w:sectPr>
      </w:pPr>
    </w:p>
    <w:p>
      <w:pPr>
        <w:pStyle w:val="Style48"/>
        <w:keepNext w:val="0"/>
        <w:keepLines w:val="0"/>
        <w:widowControl w:val="0"/>
        <w:shd w:val="clear" w:color="auto" w:fill="auto"/>
        <w:tabs>
          <w:tab w:pos="478" w:val="left"/>
        </w:tabs>
        <w:bidi w:val="0"/>
        <w:spacing w:before="420" w:after="340" w:line="240" w:lineRule="auto"/>
        <w:ind w:left="0" w:right="0" w:firstLine="0"/>
        <w:jc w:val="left"/>
      </w:pPr>
      <w:bookmarkStart w:id="2121" w:name="bookmark2121"/>
      <w:r>
        <w:rPr>
          <w:color w:val="000000"/>
          <w:spacing w:val="0"/>
          <w:w w:val="100"/>
          <w:position w:val="0"/>
        </w:rPr>
        <w:t>（</w:t>
      </w:r>
      <w:bookmarkEnd w:id="2121"/>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p>
    <w:p>
      <w:pPr>
        <w:pStyle w:val="Style48"/>
        <w:keepNext w:val="0"/>
        <w:keepLines w:val="0"/>
        <w:widowControl w:val="0"/>
        <w:shd w:val="clear" w:color="auto" w:fill="auto"/>
        <w:tabs>
          <w:tab w:pos="478" w:val="left"/>
        </w:tabs>
        <w:bidi w:val="0"/>
        <w:spacing w:before="0" w:after="340" w:line="240" w:lineRule="auto"/>
        <w:ind w:left="0" w:right="0" w:firstLine="0"/>
        <w:jc w:val="left"/>
      </w:pPr>
      <w:bookmarkStart w:id="2122" w:name="bookmark2122"/>
      <w:r>
        <w:rPr>
          <w:color w:val="000000"/>
          <w:spacing w:val="0"/>
          <w:w w:val="100"/>
          <w:position w:val="0"/>
        </w:rPr>
        <w:t>（</w:t>
      </w:r>
      <w:bookmarkEnd w:id="2122"/>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p>
    <w:p>
      <w:pPr>
        <w:pStyle w:val="Style48"/>
        <w:keepNext w:val="0"/>
        <w:keepLines w:val="0"/>
        <w:widowControl w:val="0"/>
        <w:shd w:val="clear" w:color="auto" w:fill="auto"/>
        <w:tabs>
          <w:tab w:pos="367" w:val="left"/>
        </w:tabs>
        <w:bidi w:val="0"/>
        <w:spacing w:before="0" w:after="340" w:line="240" w:lineRule="auto"/>
        <w:ind w:left="0" w:right="0" w:firstLine="0"/>
        <w:jc w:val="left"/>
      </w:pPr>
      <w:bookmarkStart w:id="2123" w:name="bookmark2123"/>
      <w:r>
        <w:rPr>
          <w:rFonts w:ascii="Times New Roman" w:eastAsia="Times New Roman" w:hAnsi="Times New Roman" w:cs="Times New Roman"/>
          <w:color w:val="000000"/>
          <w:spacing w:val="0"/>
          <w:w w:val="100"/>
          <w:position w:val="0"/>
        </w:rPr>
        <w:t>7</w:t>
      </w:r>
      <w:bookmarkEnd w:id="2123"/>
      <w:r>
        <w:rPr>
          <w:color w:val="000000"/>
          <w:spacing w:val="0"/>
          <w:w w:val="100"/>
          <w:position w:val="0"/>
        </w:rPr>
        <w:t>、</w:t>
        <w:tab/>
        <w:t>其他对投资者决策有影响的重要交易和事项</w:t>
      </w:r>
    </w:p>
    <w:p>
      <w:pPr>
        <w:pStyle w:val="Style48"/>
        <w:keepNext w:val="0"/>
        <w:keepLines w:val="0"/>
        <w:widowControl w:val="0"/>
        <w:shd w:val="clear" w:color="auto" w:fill="auto"/>
        <w:tabs>
          <w:tab w:pos="367" w:val="left"/>
        </w:tabs>
        <w:bidi w:val="0"/>
        <w:spacing w:before="0" w:after="260" w:line="240" w:lineRule="auto"/>
        <w:ind w:left="0" w:right="0" w:firstLine="0"/>
        <w:jc w:val="left"/>
      </w:pPr>
      <w:bookmarkStart w:id="2124" w:name="bookmark2124"/>
      <w:r>
        <w:rPr>
          <w:rFonts w:ascii="Times New Roman" w:eastAsia="Times New Roman" w:hAnsi="Times New Roman" w:cs="Times New Roman"/>
          <w:color w:val="000000"/>
          <w:spacing w:val="0"/>
          <w:w w:val="100"/>
          <w:position w:val="0"/>
        </w:rPr>
        <w:t>8</w:t>
      </w:r>
      <w:bookmarkEnd w:id="2124"/>
      <w:r>
        <w:rPr>
          <w:color w:val="000000"/>
          <w:spacing w:val="0"/>
          <w:w w:val="100"/>
          <w:position w:val="0"/>
        </w:rPr>
        <w:t>、</w:t>
        <w:tab/>
        <w:t>其他</w:t>
      </w:r>
    </w:p>
    <w:p>
      <w:pPr>
        <w:pStyle w:val="Style18"/>
        <w:keepNext w:val="0"/>
        <w:keepLines w:val="0"/>
        <w:widowControl w:val="0"/>
        <w:shd w:val="clear" w:color="auto" w:fill="auto"/>
        <w:bidi w:val="0"/>
        <w:spacing w:before="0" w:after="0" w:line="317" w:lineRule="exact"/>
        <w:ind w:left="0" w:right="0"/>
        <w:jc w:val="both"/>
      </w:pPr>
      <w:r>
        <w:rPr>
          <w:b/>
          <w:bCs/>
          <w:color w:val="000000"/>
          <w:spacing w:val="0"/>
          <w:w w:val="100"/>
          <w:position w:val="0"/>
        </w:rPr>
        <w:t>深圳一卡易科技股份有限公司失控事项的最新进展</w:t>
      </w:r>
    </w:p>
    <w:p>
      <w:pPr>
        <w:pStyle w:val="Style18"/>
        <w:keepNext w:val="0"/>
        <w:keepLines w:val="0"/>
        <w:widowControl w:val="0"/>
        <w:shd w:val="clear" w:color="auto" w:fill="auto"/>
        <w:tabs>
          <w:tab w:pos="886" w:val="left"/>
        </w:tabs>
        <w:bidi w:val="0"/>
        <w:spacing w:before="0" w:after="0" w:line="312" w:lineRule="exact"/>
        <w:ind w:left="0" w:right="0"/>
        <w:jc w:val="left"/>
      </w:pPr>
      <w:bookmarkStart w:id="2125" w:name="bookmark2125"/>
      <w:r>
        <w:rPr>
          <w:color w:val="000000"/>
          <w:spacing w:val="0"/>
          <w:w w:val="100"/>
          <w:position w:val="0"/>
        </w:rPr>
        <w:t>（</w:t>
      </w:r>
      <w:bookmarkEnd w:id="2125"/>
      <w:r>
        <w:rPr>
          <w:rFonts w:ascii="Times New Roman" w:eastAsia="Times New Roman" w:hAnsi="Times New Roman" w:cs="Times New Roman"/>
          <w:color w:val="000000"/>
          <w:spacing w:val="0"/>
          <w:w w:val="100"/>
          <w:position w:val="0"/>
        </w:rPr>
        <w:t>1</w:t>
      </w:r>
      <w:r>
        <w:rPr>
          <w:color w:val="000000"/>
          <w:spacing w:val="0"/>
          <w:w w:val="100"/>
          <w:position w:val="0"/>
        </w:rPr>
        <w:t>）</w:t>
        <w:tab/>
        <w:t>鉴于深圳一卡易科技股份有限公司（以下简称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一卡易</w:t>
      </w:r>
      <w:r>
        <w:rPr>
          <w:rFonts w:ascii="Times New Roman" w:eastAsia="Times New Roman" w:hAnsi="Times New Roman" w:cs="Times New Roman"/>
          <w:color w:val="000000"/>
          <w:spacing w:val="0"/>
          <w:w w:val="100"/>
          <w:position w:val="0"/>
        </w:rPr>
        <w:t>”</w:t>
      </w:r>
      <w:r>
        <w:rPr>
          <w:color w:val="000000"/>
          <w:spacing w:val="0"/>
          <w:w w:val="100"/>
          <w:position w:val="0"/>
        </w:rPr>
        <w:t>）原管理层未经授权抢夺并控制一卡易及其子公司的公章、 财务章、合同章、营业执照等印鉴和证照，且在被一卡易董事会解除总经理职务后，其仍拒不返还上述资料，一卡易于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月份向到广东省深圳市龙华区人民法院发起要求其返还上述印鉴、证照的诉讼（案件号：（</w:t>
      </w:r>
      <w:r>
        <w:rPr>
          <w:rFonts w:ascii="Times New Roman" w:eastAsia="Times New Roman" w:hAnsi="Times New Roman" w:cs="Times New Roman"/>
          <w:color w:val="000000"/>
          <w:spacing w:val="0"/>
          <w:w w:val="100"/>
          <w:position w:val="0"/>
        </w:rPr>
        <w:t>2021</w:t>
      </w:r>
      <w:r>
        <w:rPr>
          <w:color w:val="000000"/>
          <w:spacing w:val="0"/>
          <w:w w:val="100"/>
          <w:position w:val="0"/>
        </w:rPr>
        <w:t>）粤</w:t>
      </w:r>
      <w:r>
        <w:rPr>
          <w:rFonts w:ascii="Times New Roman" w:eastAsia="Times New Roman" w:hAnsi="Times New Roman" w:cs="Times New Roman"/>
          <w:color w:val="000000"/>
          <w:spacing w:val="0"/>
          <w:w w:val="100"/>
          <w:position w:val="0"/>
        </w:rPr>
        <w:t>0309</w:t>
      </w:r>
      <w:r>
        <w:rPr>
          <w:color w:val="000000"/>
          <w:spacing w:val="0"/>
          <w:w w:val="100"/>
          <w:position w:val="0"/>
        </w:rPr>
        <w:t>民初</w:t>
      </w:r>
      <w:r>
        <w:rPr>
          <w:rFonts w:ascii="Times New Roman" w:eastAsia="Times New Roman" w:hAnsi="Times New Roman" w:cs="Times New Roman"/>
          <w:color w:val="000000"/>
          <w:spacing w:val="0"/>
          <w:w w:val="100"/>
          <w:position w:val="0"/>
        </w:rPr>
        <w:t>7524</w:t>
      </w:r>
      <w:r>
        <w:rPr>
          <w:color w:val="000000"/>
          <w:spacing w:val="0"/>
          <w:w w:val="100"/>
          <w:position w:val="0"/>
        </w:rPr>
        <w:t xml:space="preserve">号），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月，法院做出要求其返还上述印鉴、证照的一审判决。原管理层不服上述判决，已向广东省深圳市中级人民法院 提起上诉，受疫情影响，目前该案二审已审理完毕，在等待判决结果。至此，公司对一卡易及其子公司的公章、财务章、合 同章、营业执照等印鉴和证照等仍处于失控状态；</w:t>
      </w:r>
    </w:p>
    <w:p>
      <w:pPr>
        <w:pStyle w:val="Style18"/>
        <w:keepNext w:val="0"/>
        <w:keepLines w:val="0"/>
        <w:widowControl w:val="0"/>
        <w:shd w:val="clear" w:color="auto" w:fill="auto"/>
        <w:tabs>
          <w:tab w:pos="876" w:val="left"/>
        </w:tabs>
        <w:bidi w:val="0"/>
        <w:spacing w:before="0" w:after="0" w:line="319" w:lineRule="exact"/>
        <w:ind w:left="0" w:right="0"/>
        <w:jc w:val="left"/>
      </w:pPr>
      <w:bookmarkStart w:id="2126" w:name="bookmark2126"/>
      <w:r>
        <w:rPr>
          <w:color w:val="000000"/>
          <w:spacing w:val="0"/>
          <w:w w:val="100"/>
          <w:position w:val="0"/>
        </w:rPr>
        <w:t>（</w:t>
      </w:r>
      <w:bookmarkEnd w:id="2126"/>
      <w:r>
        <w:rPr>
          <w:rFonts w:ascii="Times New Roman" w:eastAsia="Times New Roman" w:hAnsi="Times New Roman" w:cs="Times New Roman"/>
          <w:color w:val="000000"/>
          <w:spacing w:val="0"/>
          <w:w w:val="100"/>
          <w:position w:val="0"/>
        </w:rPr>
        <w:t>2</w:t>
      </w:r>
      <w:r>
        <w:rPr>
          <w:color w:val="000000"/>
          <w:spacing w:val="0"/>
          <w:w w:val="100"/>
          <w:position w:val="0"/>
        </w:rPr>
        <w:t>）</w:t>
        <w:tab/>
        <w:t>一卡易原管理层拒不执行一卡易股东大会及董事会决议，拒绝与上市公司委派并通过一卡易董事会任命的一卡易 董事长、总经理、财务总监、董事会秘书等进行工作交接，阻挠上述人员进入一卡易办公场所，致使上述人员目前仍无法进 入一卡易办公场所正常履职；</w:t>
      </w:r>
    </w:p>
    <w:p>
      <w:pPr>
        <w:pStyle w:val="Style18"/>
        <w:keepNext w:val="0"/>
        <w:keepLines w:val="0"/>
        <w:widowControl w:val="0"/>
        <w:shd w:val="clear" w:color="auto" w:fill="auto"/>
        <w:tabs>
          <w:tab w:pos="876" w:val="left"/>
        </w:tabs>
        <w:bidi w:val="0"/>
        <w:spacing w:before="0" w:after="0" w:line="317" w:lineRule="exact"/>
        <w:ind w:left="0" w:right="0"/>
        <w:jc w:val="left"/>
      </w:pPr>
      <w:bookmarkStart w:id="2127" w:name="bookmark2127"/>
      <w:r>
        <w:rPr>
          <w:color w:val="000000"/>
          <w:spacing w:val="0"/>
          <w:w w:val="100"/>
          <w:position w:val="0"/>
        </w:rPr>
        <w:t>（</w:t>
      </w:r>
      <w:bookmarkEnd w:id="2127"/>
      <w:r>
        <w:rPr>
          <w:rFonts w:ascii="Times New Roman" w:eastAsia="Times New Roman" w:hAnsi="Times New Roman" w:cs="Times New Roman"/>
          <w:color w:val="000000"/>
          <w:spacing w:val="0"/>
          <w:w w:val="100"/>
          <w:position w:val="0"/>
        </w:rPr>
        <w:t>3</w:t>
      </w:r>
      <w:r>
        <w:rPr>
          <w:color w:val="000000"/>
          <w:spacing w:val="0"/>
          <w:w w:val="100"/>
          <w:position w:val="0"/>
        </w:rPr>
        <w:t>）</w:t>
        <w:tab/>
        <w:t>一卡易原管理层擅自变更原一卡易子公司银行</w:t>
      </w:r>
      <w:r>
        <w:rPr>
          <w:rFonts w:ascii="Times New Roman" w:eastAsia="Times New Roman" w:hAnsi="Times New Roman" w:cs="Times New Roman"/>
          <w:color w:val="000000"/>
          <w:spacing w:val="0"/>
          <w:w w:val="100"/>
          <w:position w:val="0"/>
        </w:rPr>
        <w:t>Ukey</w:t>
      </w:r>
      <w:r>
        <w:rPr>
          <w:color w:val="000000"/>
          <w:spacing w:val="0"/>
          <w:w w:val="100"/>
          <w:position w:val="0"/>
        </w:rPr>
        <w:t>，</w:t>
      </w:r>
      <w:r>
        <w:rPr>
          <w:color w:val="000000"/>
          <w:spacing w:val="0"/>
          <w:w w:val="100"/>
          <w:position w:val="0"/>
        </w:rPr>
        <w:t>在未经授权的情况下与原一卡易上游公司签署《权利义务转 让协议》，单方面将一卡易母公司主营业务收入的收款主体转移至一卡易子公司深圳钱客多信息科技有限公司。同时，将一 卡易对下游合作伙伴、员工薪资等主要付款义务仍留在一卡易，控制一卡易及其子公司的财务和经营决策，并拒绝撤销</w:t>
      </w:r>
      <w:r>
        <w:rPr>
          <w:rFonts w:ascii="Times New Roman" w:eastAsia="Times New Roman" w:hAnsi="Times New Roman" w:cs="Times New Roman"/>
          <w:color w:val="000000"/>
          <w:spacing w:val="0"/>
          <w:w w:val="100"/>
          <w:position w:val="0"/>
        </w:rPr>
        <w:t>/</w:t>
      </w:r>
      <w:r>
        <w:rPr>
          <w:color w:val="000000"/>
          <w:spacing w:val="0"/>
          <w:w w:val="100"/>
          <w:position w:val="0"/>
        </w:rPr>
        <w:t>解 除《权利义务转让协议》，拒绝将一卡易母公司应收取的主营业务收入转回一卡易母公司；</w:t>
      </w:r>
    </w:p>
    <w:p>
      <w:pPr>
        <w:pStyle w:val="Style18"/>
        <w:keepNext w:val="0"/>
        <w:keepLines w:val="0"/>
        <w:widowControl w:val="0"/>
        <w:shd w:val="clear" w:color="auto" w:fill="auto"/>
        <w:tabs>
          <w:tab w:pos="876" w:val="left"/>
        </w:tabs>
        <w:bidi w:val="0"/>
        <w:spacing w:before="0" w:after="0" w:line="317" w:lineRule="exact"/>
        <w:ind w:left="0" w:right="0"/>
        <w:jc w:val="left"/>
      </w:pPr>
      <w:bookmarkStart w:id="2128" w:name="bookmark2128"/>
      <w:r>
        <w:rPr>
          <w:color w:val="000000"/>
          <w:spacing w:val="0"/>
          <w:w w:val="100"/>
          <w:position w:val="0"/>
        </w:rPr>
        <w:t>（</w:t>
      </w:r>
      <w:bookmarkEnd w:id="2128"/>
      <w:r>
        <w:rPr>
          <w:rFonts w:ascii="Times New Roman" w:eastAsia="Times New Roman" w:hAnsi="Times New Roman" w:cs="Times New Roman"/>
          <w:color w:val="000000"/>
          <w:spacing w:val="0"/>
          <w:w w:val="100"/>
          <w:position w:val="0"/>
        </w:rPr>
        <w:t>4</w:t>
      </w:r>
      <w:r>
        <w:rPr>
          <w:color w:val="000000"/>
          <w:spacing w:val="0"/>
          <w:w w:val="100"/>
          <w:position w:val="0"/>
        </w:rPr>
        <w:t>）</w:t>
        <w:tab/>
        <w:t>一卡易公司原管理层违反《深圳一卡易科技股份有限公司公司章程》及《深圳一卡易科技股份有限公司对外投融 资管理制度》的规定，违规对外投资，设立孙公司，违规使一卡易两家子公司相互交叉持股增资，并拒绝注销孙公司，拒绝 撤销一卡易子公司相互增资行为，恢复原股权结构；</w:t>
      </w:r>
    </w:p>
    <w:p>
      <w:pPr>
        <w:pStyle w:val="Style18"/>
        <w:keepNext w:val="0"/>
        <w:keepLines w:val="0"/>
        <w:widowControl w:val="0"/>
        <w:shd w:val="clear" w:color="auto" w:fill="auto"/>
        <w:tabs>
          <w:tab w:pos="876" w:val="left"/>
        </w:tabs>
        <w:bidi w:val="0"/>
        <w:spacing w:before="0" w:after="0" w:line="319" w:lineRule="exact"/>
        <w:ind w:left="0" w:right="0"/>
        <w:jc w:val="left"/>
      </w:pPr>
      <w:bookmarkStart w:id="2129" w:name="bookmark2129"/>
      <w:r>
        <w:rPr>
          <w:color w:val="000000"/>
          <w:spacing w:val="0"/>
          <w:w w:val="100"/>
          <w:position w:val="0"/>
        </w:rPr>
        <w:t>（</w:t>
      </w:r>
      <w:bookmarkEnd w:id="2129"/>
      <w:r>
        <w:rPr>
          <w:rFonts w:ascii="Times New Roman" w:eastAsia="Times New Roman" w:hAnsi="Times New Roman" w:cs="Times New Roman"/>
          <w:color w:val="000000"/>
          <w:spacing w:val="0"/>
          <w:w w:val="100"/>
          <w:position w:val="0"/>
        </w:rPr>
        <w:t>5</w:t>
      </w:r>
      <w:r>
        <w:rPr>
          <w:color w:val="000000"/>
          <w:spacing w:val="0"/>
          <w:w w:val="100"/>
          <w:position w:val="0"/>
        </w:rPr>
        <w:t>）</w:t>
        <w:tab/>
        <w:t>报告期内，由于一卡易原管理层拒绝提供编制一卡易半年度报告所需财务及业务资料，导致一卡易</w:t>
      </w:r>
      <w:r>
        <w:rPr>
          <w:rFonts w:ascii="Times New Roman" w:eastAsia="Times New Roman" w:hAnsi="Times New Roman" w:cs="Times New Roman"/>
          <w:color w:val="000000"/>
          <w:spacing w:val="0"/>
          <w:w w:val="100"/>
          <w:position w:val="0"/>
        </w:rPr>
        <w:t>2021</w:t>
      </w:r>
      <w:r>
        <w:rPr>
          <w:color w:val="000000"/>
          <w:spacing w:val="0"/>
          <w:w w:val="100"/>
          <w:position w:val="0"/>
        </w:rPr>
        <w:t>年半年度 报告未能及时披露，触发了全国中小企业股份转让系统关于终止挂牌的规定，一卡易已于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日起实施停牌。目前一 卡易原管理层仍拒绝向一卡易董事会、一卡易现管理层汇报子公司经营情况、财务状况。</w:t>
      </w:r>
    </w:p>
    <w:p>
      <w:pPr>
        <w:pStyle w:val="Style18"/>
        <w:keepNext w:val="0"/>
        <w:keepLines w:val="0"/>
        <w:widowControl w:val="0"/>
        <w:shd w:val="clear" w:color="auto" w:fill="auto"/>
        <w:tabs>
          <w:tab w:pos="886" w:val="left"/>
        </w:tabs>
        <w:bidi w:val="0"/>
        <w:spacing w:before="0" w:after="0" w:line="312" w:lineRule="exact"/>
        <w:ind w:left="0" w:right="0"/>
        <w:jc w:val="left"/>
      </w:pPr>
      <w:bookmarkStart w:id="2130" w:name="bookmark2130"/>
      <w:r>
        <w:rPr>
          <w:color w:val="000000"/>
          <w:spacing w:val="0"/>
          <w:w w:val="100"/>
          <w:position w:val="0"/>
        </w:rPr>
        <w:t>（</w:t>
      </w:r>
      <w:bookmarkEnd w:id="2130"/>
      <w:r>
        <w:rPr>
          <w:rFonts w:ascii="Times New Roman" w:eastAsia="Times New Roman" w:hAnsi="Times New Roman" w:cs="Times New Roman"/>
          <w:color w:val="000000"/>
          <w:spacing w:val="0"/>
          <w:w w:val="100"/>
          <w:position w:val="0"/>
        </w:rPr>
        <w:t>6</w:t>
      </w:r>
      <w:r>
        <w:rPr>
          <w:color w:val="000000"/>
          <w:spacing w:val="0"/>
          <w:w w:val="100"/>
          <w:position w:val="0"/>
        </w:rPr>
        <w:t>）</w:t>
        <w:tab/>
        <w:t>鉴于于挺进等人屡次违反《股份转让协议》约定，阻挠公司行使控股股东权利，排除公司对一卡易的合法监管， 致使公司对一卡易公司失去控制，合同目的无法实现，公司于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日向上海仲裁委员会提交了仲裁申请书，要求解 除公司与于挺进等人签署的《股份转让协议》及《股份转让协议之补充协议》，并主张于挺进等人退还转让款（详见公司于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日披露的《关于对深圳证券交易所年报问询函的回复公告（</w:t>
      </w:r>
      <w:r>
        <w:rPr>
          <w:rFonts w:ascii="Times New Roman" w:eastAsia="Times New Roman" w:hAnsi="Times New Roman" w:cs="Times New Roman"/>
          <w:color w:val="000000"/>
          <w:spacing w:val="0"/>
          <w:w w:val="100"/>
          <w:position w:val="0"/>
        </w:rPr>
        <w:t>2021-047</w:t>
      </w:r>
      <w:r>
        <w:rPr>
          <w:color w:val="000000"/>
          <w:spacing w:val="0"/>
          <w:w w:val="100"/>
          <w:position w:val="0"/>
        </w:rPr>
        <w:t>）》）。上海仲裁委员会于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 本案进行了开庭审理（案号：（</w:t>
      </w:r>
      <w:r>
        <w:rPr>
          <w:rFonts w:ascii="Times New Roman" w:eastAsia="Times New Roman" w:hAnsi="Times New Roman" w:cs="Times New Roman"/>
          <w:color w:val="000000"/>
          <w:spacing w:val="0"/>
          <w:w w:val="100"/>
          <w:position w:val="0"/>
        </w:rPr>
        <w:t>2021</w:t>
      </w:r>
      <w:r>
        <w:rPr>
          <w:color w:val="000000"/>
          <w:spacing w:val="0"/>
          <w:w w:val="100"/>
          <w:position w:val="0"/>
        </w:rPr>
        <w:t>）沪仲案字第</w:t>
      </w:r>
      <w:r>
        <w:rPr>
          <w:rFonts w:ascii="Times New Roman" w:eastAsia="Times New Roman" w:hAnsi="Times New Roman" w:cs="Times New Roman"/>
          <w:color w:val="000000"/>
          <w:spacing w:val="0"/>
          <w:w w:val="100"/>
          <w:position w:val="0"/>
        </w:rPr>
        <w:t>2651</w:t>
      </w:r>
      <w:r>
        <w:rPr>
          <w:color w:val="000000"/>
          <w:spacing w:val="0"/>
          <w:w w:val="100"/>
          <w:position w:val="0"/>
        </w:rPr>
        <w:t>号）。目前受疫情及本案首席仲裁员申请回避的影响，该仲裁尚无定论。</w:t>
      </w:r>
    </w:p>
    <w:p>
      <w:pPr>
        <w:pStyle w:val="Style18"/>
        <w:keepNext w:val="0"/>
        <w:keepLines w:val="0"/>
        <w:widowControl w:val="0"/>
        <w:shd w:val="clear" w:color="auto" w:fill="auto"/>
        <w:bidi w:val="0"/>
        <w:spacing w:before="0" w:after="720" w:line="317" w:lineRule="exact"/>
        <w:ind w:left="0" w:right="0" w:firstLine="560"/>
        <w:jc w:val="left"/>
      </w:pPr>
      <w:r>
        <w:rPr>
          <w:color w:val="000000"/>
          <w:spacing w:val="0"/>
          <w:w w:val="100"/>
          <w:position w:val="0"/>
        </w:rPr>
        <w:t>截止财务报表报出日，公司对一卡易仍处于失控状态。</w:t>
      </w:r>
    </w:p>
    <w:p>
      <w:pPr>
        <w:pStyle w:val="Style23"/>
        <w:keepNext/>
        <w:keepLines/>
        <w:widowControl w:val="0"/>
        <w:shd w:val="clear" w:color="auto" w:fill="auto"/>
        <w:bidi w:val="0"/>
        <w:spacing w:before="0" w:after="340" w:line="240" w:lineRule="auto"/>
        <w:ind w:left="0" w:right="0" w:firstLine="0"/>
        <w:jc w:val="left"/>
      </w:pPr>
      <w:bookmarkStart w:id="2131" w:name="bookmark2131"/>
      <w:bookmarkStart w:id="2132" w:name="bookmark2132"/>
      <w:bookmarkStart w:id="2133" w:name="bookmark2133"/>
      <w:r>
        <w:rPr>
          <w:color w:val="000000"/>
          <w:spacing w:val="0"/>
          <w:w w:val="100"/>
          <w:position w:val="0"/>
          <w:sz w:val="24"/>
          <w:szCs w:val="24"/>
        </w:rPr>
        <w:t>十七、母公司财务报表主要项目注释</w:t>
      </w:r>
      <w:bookmarkEnd w:id="2131"/>
      <w:bookmarkEnd w:id="2132"/>
      <w:bookmarkEnd w:id="2133"/>
    </w:p>
    <w:p>
      <w:pPr>
        <w:pStyle w:val="Style4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p>
      <w:pPr>
        <w:pStyle w:val="Style4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r>
        <w:br w:type="page"/>
      </w:r>
    </w:p>
    <w:tbl>
      <w:tblPr>
        <w:tblOverlap w:val="never"/>
        <w:jc w:val="center"/>
        <w:tblLayout w:type="fixed"/>
      </w:tblPr>
      <w:tblGrid>
        <w:gridCol w:w="1637"/>
        <w:gridCol w:w="763"/>
        <w:gridCol w:w="763"/>
        <w:gridCol w:w="763"/>
        <w:gridCol w:w="763"/>
        <w:gridCol w:w="787"/>
        <w:gridCol w:w="778"/>
        <w:gridCol w:w="797"/>
        <w:gridCol w:w="797"/>
        <w:gridCol w:w="787"/>
        <w:gridCol w:w="94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按组合计提坏账 准备的应收账款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161,45</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1,285.0</w:t>
            </w:r>
          </w:p>
          <w:p>
            <w:pPr>
              <w:pStyle w:val="Style20"/>
              <w:keepNext w:val="0"/>
              <w:keepLines w:val="0"/>
              <w:widowControl w:val="0"/>
              <w:shd w:val="clear" w:color="auto" w:fill="auto"/>
              <w:bidi w:val="0"/>
              <w:spacing w:before="0" w:after="80" w:line="240" w:lineRule="auto"/>
              <w:ind w:left="0" w:right="0" w:firstLine="56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13,737,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147,71</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4,067.4</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162,25</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9,837.7</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14,061,</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638.77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148,198,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行业类型及客户 信用等级组合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154,74</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1,577.5</w:t>
            </w:r>
          </w:p>
          <w:p>
            <w:pPr>
              <w:pStyle w:val="Style20"/>
              <w:keepNext w:val="0"/>
              <w:keepLines w:val="0"/>
              <w:widowControl w:val="0"/>
              <w:shd w:val="clear" w:color="auto" w:fill="auto"/>
              <w:bidi w:val="0"/>
              <w:spacing w:before="0" w:after="80" w:line="240" w:lineRule="auto"/>
              <w:ind w:left="0" w:right="0" w:firstLine="56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left"/>
            </w:pPr>
            <w:r>
              <w:rPr>
                <w:color w:val="000000"/>
                <w:spacing w:val="0"/>
                <w:w w:val="100"/>
                <w:position w:val="0"/>
              </w:rPr>
              <w:t>95.84</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13,737,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right"/>
            </w:pPr>
            <w:r>
              <w:rPr>
                <w:color w:val="000000"/>
                <w:spacing w:val="0"/>
                <w:w w:val="100"/>
                <w:position w:val="0"/>
              </w:rPr>
              <w:t>141,00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4,359.9</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360" w:lineRule="auto"/>
              <w:ind w:left="0" w:right="0" w:firstLine="0"/>
              <w:jc w:val="right"/>
            </w:pPr>
            <w:r>
              <w:rPr>
                <w:color w:val="000000"/>
                <w:spacing w:val="0"/>
                <w:w w:val="100"/>
                <w:position w:val="0"/>
              </w:rPr>
              <w:t>149,75 0,526.6 5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14,061,</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638.77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135,688,</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887.88</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应收合并范围内</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6,709,7</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07.49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6,709,7</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07.49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color w:val="000000"/>
                <w:spacing w:val="0"/>
                <w:w w:val="100"/>
                <w:position w:val="0"/>
              </w:rPr>
              <w:t>12,509, 311.08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12,509,31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161,45</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1,285.0</w:t>
            </w:r>
          </w:p>
          <w:p>
            <w:pPr>
              <w:pStyle w:val="Style20"/>
              <w:keepNext w:val="0"/>
              <w:keepLines w:val="0"/>
              <w:widowControl w:val="0"/>
              <w:shd w:val="clear" w:color="auto" w:fill="auto"/>
              <w:bidi w:val="0"/>
              <w:spacing w:before="0" w:after="80" w:line="240" w:lineRule="auto"/>
              <w:ind w:left="0" w:right="0" w:firstLine="56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13,737,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217.61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right"/>
            </w:pPr>
            <w:r>
              <w:rPr>
                <w:color w:val="000000"/>
                <w:spacing w:val="0"/>
                <w:w w:val="100"/>
                <w:position w:val="0"/>
              </w:rPr>
              <w:t>147,71</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4,067.4</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right"/>
            </w:pPr>
            <w:r>
              <w:rPr>
                <w:color w:val="000000"/>
                <w:spacing w:val="0"/>
                <w:w w:val="100"/>
                <w:position w:val="0"/>
              </w:rPr>
              <w:t>162,25</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9,837.7</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14,061,</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638.77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148,198,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金融卡客户</w:t>
            </w:r>
            <w:r>
              <w:rPr>
                <w:color w:val="000000"/>
                <w:spacing w:val="0"/>
                <w:w w:val="100"/>
                <w:position w:val="0"/>
              </w:rPr>
              <w:t>I</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16,968,977.49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1,858,273.36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10.95%</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金融卡客户</w:t>
            </w:r>
            <w:r>
              <w:rPr>
                <w:color w:val="000000"/>
                <w:spacing w:val="0"/>
                <w:w w:val="100"/>
                <w:position w:val="0"/>
              </w:rPr>
              <w:t>II</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26,294,642.07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4,631,821.22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17.62%</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通信卡客户</w:t>
            </w:r>
            <w:r>
              <w:rPr>
                <w:color w:val="000000"/>
                <w:spacing w:val="0"/>
                <w:w w:val="100"/>
                <w:position w:val="0"/>
              </w:rPr>
              <w:t>I</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30,826,030.47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1,262,354.48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通信卡客户</w:t>
            </w:r>
            <w:r>
              <w:rPr>
                <w:color w:val="000000"/>
                <w:spacing w:val="0"/>
                <w:w w:val="100"/>
                <w:position w:val="0"/>
              </w:rPr>
              <w:t>II</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1,477,597.20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412,167.01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27.89%</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模块封装客户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53,393,961.73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571,122.12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25,780,368.58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5,001,479.42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19.40%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154,741,577.54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13,737,217.61</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7186"/>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146,170,293.66</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4,947,995.25</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803,870.02</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9,529,126.10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20" w:right="0" w:firstLine="0"/>
              <w:jc w:val="left"/>
            </w:pPr>
            <w:r>
              <w:rPr>
                <w:color w:val="000000"/>
                <w:spacing w:val="0"/>
                <w:w w:val="100"/>
                <w:position w:val="0"/>
              </w:rPr>
              <w:t>9,529,126.10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161,451,285.03</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2134" w:name="bookmark2134"/>
      <w:bookmarkStart w:id="2135" w:name="bookmark2135"/>
      <w:bookmarkStart w:id="2136" w:name="bookmark21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34"/>
      <w:bookmarkEnd w:id="2135"/>
      <w:bookmarkEnd w:id="213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按组合计提坏 账准备的应收 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14,061,638.77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324,421.16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13,737,217.61</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14,061,638.77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324,421.16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13,737,217.61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79" w:line="1" w:lineRule="exact"/>
      </w:pP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0"/>
        <w:gridCol w:w="3101"/>
        <w:gridCol w:w="311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27"/>
        <w:keepNext/>
        <w:keepLines/>
        <w:widowControl w:val="0"/>
        <w:numPr>
          <w:ilvl w:val="0"/>
          <w:numId w:val="85"/>
        </w:numPr>
        <w:shd w:val="clear" w:color="auto" w:fill="auto"/>
        <w:bidi w:val="0"/>
        <w:spacing w:before="0" w:line="240" w:lineRule="auto"/>
        <w:ind w:left="0" w:right="0" w:firstLine="0"/>
        <w:jc w:val="left"/>
      </w:pPr>
      <w:bookmarkStart w:id="2137" w:name="bookmark2137"/>
      <w:bookmarkStart w:id="2138" w:name="bookmark2138"/>
      <w:bookmarkStart w:id="2139" w:name="bookmark2139"/>
      <w:bookmarkStart w:id="2140" w:name="bookmark2140"/>
      <w:bookmarkEnd w:id="2139"/>
      <w:r>
        <w:rPr>
          <w:color w:val="000000"/>
          <w:spacing w:val="0"/>
          <w:w w:val="100"/>
          <w:position w:val="0"/>
        </w:rPr>
        <w:t>本期实际核销的应收账款情况</w:t>
      </w:r>
      <w:bookmarkEnd w:id="2137"/>
      <w:bookmarkEnd w:id="2138"/>
      <w:bookmarkEnd w:id="214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85"/>
        <w:gridCol w:w="1550"/>
        <w:gridCol w:w="1555"/>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 交易产生</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27"/>
        <w:keepNext/>
        <w:keepLines/>
        <w:widowControl w:val="0"/>
        <w:shd w:val="clear" w:color="auto" w:fill="auto"/>
        <w:bidi w:val="0"/>
        <w:spacing w:before="0" w:line="240" w:lineRule="auto"/>
        <w:ind w:left="0" w:right="0" w:firstLine="0"/>
        <w:jc w:val="left"/>
      </w:pPr>
      <w:bookmarkStart w:id="2141" w:name="bookmark2141"/>
      <w:bookmarkStart w:id="2142" w:name="bookmark2142"/>
      <w:bookmarkStart w:id="2143" w:name="bookmark2143"/>
      <w:bookmarkStart w:id="2144" w:name="bookmark2144"/>
      <w:r>
        <w:rPr>
          <w:color w:val="000000"/>
          <w:spacing w:val="0"/>
          <w:w w:val="100"/>
          <w:position w:val="0"/>
        </w:rPr>
        <w:t>（</w:t>
      </w:r>
      <w:bookmarkEnd w:id="214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41"/>
      <w:bookmarkEnd w:id="2142"/>
      <w:bookmarkEnd w:id="21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37,819,476.24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378,194.76</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14,551,574.29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9.01%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145,515.74</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7,832,851.25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1,567,712.70</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6,709,707.49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4,930,243.50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49,302.44</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71,843,852.77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44.49%</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145" w:name="bookmark2145"/>
      <w:bookmarkStart w:id="2146" w:name="bookmark2146"/>
      <w:bookmarkStart w:id="2147" w:name="bookmark2147"/>
      <w:bookmarkStart w:id="2148" w:name="bookmark2148"/>
      <w:r>
        <w:rPr>
          <w:color w:val="000000"/>
          <w:spacing w:val="0"/>
          <w:w w:val="100"/>
          <w:position w:val="0"/>
        </w:rPr>
        <w:t>（</w:t>
      </w:r>
      <w:bookmarkEnd w:id="2147"/>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2145"/>
      <w:bookmarkEnd w:id="2146"/>
      <w:bookmarkEnd w:id="214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2149" w:name="bookmark2149"/>
      <w:bookmarkStart w:id="2150" w:name="bookmark2150"/>
      <w:bookmarkStart w:id="2151" w:name="bookmark2151"/>
      <w:bookmarkStart w:id="2152" w:name="bookmark2152"/>
      <w:r>
        <w:rPr>
          <w:color w:val="000000"/>
          <w:spacing w:val="0"/>
          <w:w w:val="100"/>
          <w:position w:val="0"/>
        </w:rPr>
        <w:t>（</w:t>
      </w:r>
      <w:bookmarkEnd w:id="2151"/>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2149"/>
      <w:bookmarkEnd w:id="2150"/>
      <w:bookmarkEnd w:id="2152"/>
    </w:p>
    <w:p>
      <w:pPr>
        <w:pStyle w:val="Style27"/>
        <w:keepNext/>
        <w:keepLines/>
        <w:widowControl w:val="0"/>
        <w:shd w:val="clear" w:color="auto" w:fill="auto"/>
        <w:bidi w:val="0"/>
        <w:spacing w:before="0" w:line="240" w:lineRule="auto"/>
        <w:ind w:left="0" w:right="0" w:firstLine="0"/>
        <w:jc w:val="left"/>
      </w:pPr>
      <w:bookmarkStart w:id="2149" w:name="bookmark2149"/>
      <w:bookmarkStart w:id="2150" w:name="bookmark2150"/>
      <w:bookmarkStart w:id="2153" w:name="bookmark215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49"/>
      <w:bookmarkEnd w:id="2150"/>
      <w:bookmarkEnd w:id="21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84,887,156.27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95,178,248.76</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84,887,156.27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95,178,248.76</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154" w:name="bookmark2154"/>
      <w:bookmarkStart w:id="2155" w:name="bookmark2155"/>
      <w:bookmarkStart w:id="2156" w:name="bookmark2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54"/>
      <w:bookmarkEnd w:id="2155"/>
      <w:bookmarkEnd w:id="2156"/>
    </w:p>
    <w:p>
      <w:pPr>
        <w:pStyle w:val="Style27"/>
        <w:keepNext/>
        <w:keepLines/>
        <w:widowControl w:val="0"/>
        <w:shd w:val="clear" w:color="auto" w:fill="auto"/>
        <w:bidi w:val="0"/>
        <w:spacing w:before="0" w:line="240" w:lineRule="auto"/>
        <w:ind w:left="0" w:right="0" w:firstLine="0"/>
        <w:jc w:val="left"/>
      </w:pPr>
      <w:bookmarkStart w:id="2154" w:name="bookmark2154"/>
      <w:bookmarkStart w:id="2155" w:name="bookmark2155"/>
      <w:bookmarkStart w:id="2157" w:name="bookmark2157"/>
      <w:bookmarkStart w:id="2158" w:name="bookmark2158"/>
      <w:r>
        <w:rPr>
          <w:rFonts w:ascii="Times New Roman" w:eastAsia="Times New Roman" w:hAnsi="Times New Roman" w:cs="Times New Roman"/>
          <w:color w:val="000000"/>
          <w:spacing w:val="0"/>
          <w:w w:val="100"/>
          <w:position w:val="0"/>
        </w:rPr>
        <w:t>1</w:t>
      </w:r>
      <w:bookmarkEnd w:id="2157"/>
      <w:r>
        <w:rPr>
          <w:color w:val="000000"/>
          <w:spacing w:val="0"/>
          <w:w w:val="100"/>
          <w:position w:val="0"/>
        </w:rPr>
        <w:t>）应收利息分类</w:t>
      </w:r>
      <w:bookmarkEnd w:id="2154"/>
      <w:bookmarkEnd w:id="2155"/>
      <w:bookmarkEnd w:id="21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2</w:t>
      </w:r>
      <w:bookmarkEnd w:id="2161"/>
      <w:r>
        <w:rPr>
          <w:color w:val="000000"/>
          <w:spacing w:val="0"/>
          <w:w w:val="100"/>
          <w:position w:val="0"/>
        </w:rPr>
        <w:t>）重要逾期利息</w:t>
      </w:r>
      <w:bookmarkEnd w:id="2159"/>
      <w:bookmarkEnd w:id="2160"/>
      <w:bookmarkEnd w:id="2162"/>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3</w:t>
      </w:r>
      <w:bookmarkEnd w:id="2165"/>
      <w:r>
        <w:rPr>
          <w:color w:val="000000"/>
          <w:spacing w:val="0"/>
          <w:w w:val="100"/>
          <w:position w:val="0"/>
        </w:rPr>
        <w:t>）坏账准备计提情况</w:t>
      </w:r>
      <w:bookmarkEnd w:id="2163"/>
      <w:bookmarkEnd w:id="2164"/>
      <w:bookmarkEnd w:id="2166"/>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p>
    <w:p>
      <w:pPr>
        <w:pStyle w:val="Style27"/>
        <w:keepNext/>
        <w:keepLines/>
        <w:widowControl w:val="0"/>
        <w:shd w:val="clear" w:color="auto" w:fill="auto"/>
        <w:bidi w:val="0"/>
        <w:spacing w:before="0" w:after="340" w:line="240" w:lineRule="auto"/>
        <w:ind w:left="0" w:right="0" w:firstLine="0"/>
        <w:jc w:val="both"/>
      </w:pPr>
      <w:bookmarkStart w:id="2167" w:name="bookmark2167"/>
      <w:bookmarkStart w:id="2168" w:name="bookmark2168"/>
      <w:bookmarkStart w:id="2169" w:name="bookmark21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67"/>
      <w:bookmarkEnd w:id="2168"/>
      <w:bookmarkEnd w:id="2169"/>
    </w:p>
    <w:p>
      <w:pPr>
        <w:pStyle w:val="Style27"/>
        <w:keepNext/>
        <w:keepLines/>
        <w:widowControl w:val="0"/>
        <w:shd w:val="clear" w:color="auto" w:fill="auto"/>
        <w:bidi w:val="0"/>
        <w:spacing w:before="0" w:after="340" w:line="240" w:lineRule="auto"/>
        <w:ind w:left="0" w:right="0" w:firstLine="0"/>
        <w:jc w:val="both"/>
      </w:pPr>
      <w:bookmarkStart w:id="2167" w:name="bookmark2167"/>
      <w:bookmarkStart w:id="2168" w:name="bookmark2168"/>
      <w:bookmarkStart w:id="2170" w:name="bookmark217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167"/>
      <w:bookmarkEnd w:id="2168"/>
      <w:bookmarkEnd w:id="217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171" w:name="bookmark2171"/>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2</w:t>
      </w:r>
      <w:bookmarkEnd w:id="217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71"/>
      <w:bookmarkEnd w:id="2172"/>
      <w:bookmarkEnd w:id="217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是否发生减值及其判 断依据</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175" w:name="bookmark2175"/>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3</w:t>
      </w:r>
      <w:bookmarkEnd w:id="2177"/>
      <w:r>
        <w:rPr>
          <w:color w:val="000000"/>
          <w:spacing w:val="0"/>
          <w:w w:val="100"/>
          <w:position w:val="0"/>
        </w:rPr>
        <w:t>）坏账准备计提情况</w:t>
      </w:r>
      <w:bookmarkEnd w:id="2175"/>
      <w:bookmarkEnd w:id="2176"/>
      <w:bookmarkEnd w:id="217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left"/>
      </w:pPr>
      <w:bookmarkStart w:id="2179" w:name="bookmark2179"/>
      <w:bookmarkStart w:id="2180" w:name="bookmark2180"/>
      <w:bookmarkStart w:id="2181" w:name="bookmark2181"/>
      <w:bookmarkStart w:id="2182" w:name="bookmark2182"/>
      <w:r>
        <w:rPr>
          <w:color w:val="000000"/>
          <w:spacing w:val="0"/>
          <w:w w:val="100"/>
          <w:position w:val="0"/>
        </w:rPr>
        <w:t>（</w:t>
      </w:r>
      <w:bookmarkEnd w:id="218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79"/>
      <w:bookmarkEnd w:id="2180"/>
      <w:bookmarkEnd w:id="2182"/>
    </w:p>
    <w:p>
      <w:pPr>
        <w:pStyle w:val="Style27"/>
        <w:keepNext/>
        <w:keepLines/>
        <w:widowControl w:val="0"/>
        <w:shd w:val="clear" w:color="auto" w:fill="auto"/>
        <w:bidi w:val="0"/>
        <w:spacing w:before="0" w:after="340" w:line="240" w:lineRule="auto"/>
        <w:ind w:left="0" w:right="0" w:firstLine="0"/>
        <w:jc w:val="left"/>
      </w:pPr>
      <w:bookmarkStart w:id="2179" w:name="bookmark2179"/>
      <w:bookmarkStart w:id="2180" w:name="bookmark2180"/>
      <w:bookmarkStart w:id="2183" w:name="bookmark218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79"/>
      <w:bookmarkEnd w:id="2180"/>
      <w:bookmarkEnd w:id="21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80,500,000.00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90,000,000.00</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7,153,865.73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6,728,776.80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代垫款及备用金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1,363,477.90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2,729,854.49</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89,017,343.63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99,458,631.29</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84"/>
      <w:bookmarkEnd w:id="2185"/>
      <w:bookmarkEnd w:id="21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46"/>
        <w:gridCol w:w="2102"/>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1,133,580.62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3,146,801.91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4,280,382.53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20"/>
        <w:gridCol w:w="1646"/>
        <w:gridCol w:w="2102"/>
        <w:gridCol w:w="2098"/>
        <w:gridCol w:w="1814"/>
      </w:tblGrid>
      <w:tr>
        <w:trPr>
          <w:trHeight w:val="36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170,108.54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271,640.62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441,749.16</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591,944.33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591,944.33</w:t>
            </w:r>
          </w:p>
        </w:tc>
      </w:tr>
      <w:tr>
        <w:trPr>
          <w:trHeight w:val="725"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1,303,689.16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2,826,498.20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4,130,187.36</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40" w:right="0" w:firstLine="0"/>
              <w:jc w:val="left"/>
            </w:pPr>
            <w:r>
              <w:rPr>
                <w:color w:val="000000"/>
                <w:spacing w:val="0"/>
                <w:w w:val="100"/>
                <w:position w:val="0"/>
              </w:rPr>
              <w:t>24,227,866.43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40" w:right="0" w:firstLine="0"/>
              <w:jc w:val="left"/>
            </w:pPr>
            <w:r>
              <w:rPr>
                <w:color w:val="000000"/>
                <w:spacing w:val="0"/>
                <w:w w:val="100"/>
                <w:position w:val="0"/>
              </w:rPr>
              <w:t>60,538,374.00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1,424,605.00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40" w:right="0" w:firstLine="0"/>
              <w:jc w:val="left"/>
            </w:pPr>
            <w:r>
              <w:rPr>
                <w:color w:val="000000"/>
                <w:spacing w:val="0"/>
                <w:w w:val="100"/>
                <w:position w:val="0"/>
              </w:rPr>
              <w:t>2,826,498.20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40" w:right="0" w:firstLine="0"/>
              <w:jc w:val="left"/>
            </w:pPr>
            <w:r>
              <w:rPr>
                <w:color w:val="000000"/>
                <w:spacing w:val="0"/>
                <w:w w:val="100"/>
                <w:position w:val="0"/>
              </w:rPr>
              <w:t>2,826,498.20</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640" w:right="0" w:firstLine="0"/>
              <w:jc w:val="left"/>
            </w:pPr>
            <w:r>
              <w:rPr>
                <w:color w:val="000000"/>
                <w:spacing w:val="0"/>
                <w:w w:val="100"/>
                <w:position w:val="0"/>
              </w:rPr>
              <w:t>89,017,343.63</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3</w:t>
      </w:r>
      <w:bookmarkEnd w:id="2189"/>
      <w:r>
        <w:rPr>
          <w:color w:val="000000"/>
          <w:spacing w:val="0"/>
          <w:w w:val="100"/>
          <w:position w:val="0"/>
        </w:rPr>
        <w:t>）本期计提、收回或转回的坏账准备情况</w:t>
      </w:r>
      <w:bookmarkEnd w:id="2187"/>
      <w:bookmarkEnd w:id="2188"/>
      <w:bookmarkEnd w:id="219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79"/>
        <w:gridCol w:w="1090"/>
        <w:gridCol w:w="1330"/>
        <w:gridCol w:w="1334"/>
        <w:gridCol w:w="1085"/>
        <w:gridCol w:w="1579"/>
        <w:gridCol w:w="158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其他应收款坏账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4,280,382.5</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441,749.16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591,944.33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4,130,187.36</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4,280,382.5</w:t>
            </w:r>
          </w:p>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441,749.16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591,944.33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4,130,187.36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87"/>
        <w:gridCol w:w="3192"/>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4</w:t>
      </w:r>
      <w:r>
        <w:rPr>
          <w:color w:val="000000"/>
          <w:spacing w:val="0"/>
          <w:w w:val="100"/>
          <w:position w:val="0"/>
        </w:rPr>
        <w:t>）本期实际核销的其他应收款情况</w:t>
      </w:r>
      <w:bookmarkEnd w:id="2191"/>
      <w:bookmarkEnd w:id="2192"/>
      <w:bookmarkEnd w:id="21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591,944.33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r>
        <w:br w:type="page"/>
      </w:r>
    </w:p>
    <w:tbl>
      <w:tblPr>
        <w:tblOverlap w:val="never"/>
        <w:jc w:val="center"/>
        <w:tblLayout w:type="fixed"/>
      </w:tblPr>
      <w:tblGrid>
        <w:gridCol w:w="1685"/>
        <w:gridCol w:w="1550"/>
        <w:gridCol w:w="1555"/>
        <w:gridCol w:w="1550"/>
        <w:gridCol w:w="1618"/>
        <w:gridCol w:w="167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 交易产生</w:t>
            </w:r>
          </w:p>
        </w:tc>
      </w:tr>
      <w:tr>
        <w:trPr>
          <w:trHeight w:val="1627" w:hRule="exact"/>
        </w:trPr>
        <w:tc>
          <w:tcPr>
            <w:gridSpan w:val="6"/>
            <w:tcBorders>
              <w:top w:val="single" w:sz="4"/>
            </w:tcBorders>
            <w:shd w:val="clear" w:color="auto" w:fill="FFFFFF"/>
            <w:vAlign w:val="center"/>
          </w:tcPr>
          <w:p>
            <w:pPr>
              <w:pStyle w:val="Style20"/>
              <w:keepNext w:val="0"/>
              <w:keepLines w:val="0"/>
              <w:widowControl w:val="0"/>
              <w:shd w:val="clear" w:color="auto" w:fill="auto"/>
              <w:bidi w:val="0"/>
              <w:spacing w:before="0" w:after="360" w:line="240" w:lineRule="auto"/>
              <w:ind w:left="0" w:right="0" w:firstLine="0"/>
              <w:jc w:val="left"/>
            </w:pPr>
            <w:r>
              <w:rPr>
                <w:rFonts w:ascii="SimSun" w:eastAsia="SimSun" w:hAnsi="SimSun" w:cs="SimSun"/>
                <w:color w:val="000000"/>
                <w:spacing w:val="0"/>
                <w:w w:val="100"/>
                <w:position w:val="0"/>
              </w:rPr>
              <w:t>其他应收款核销说明：</w:t>
            </w:r>
          </w:p>
          <w:p>
            <w:pPr>
              <w:pStyle w:val="Style20"/>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5</w:t>
            </w:r>
            <w:r>
              <w:rPr>
                <w:rFonts w:ascii="SimSun" w:eastAsia="SimSun" w:hAnsi="SimSun" w:cs="SimSun"/>
                <w:b/>
                <w:bCs/>
                <w:color w:val="000000"/>
                <w:spacing w:val="0"/>
                <w:w w:val="100"/>
                <w:position w:val="0"/>
                <w:sz w:val="20"/>
                <w:szCs w:val="20"/>
              </w:rPr>
              <w:t>）按欠款方归集的期末余额前五名的其他应收款情况</w:t>
            </w:r>
          </w:p>
          <w:p>
            <w:pPr>
              <w:pStyle w:val="Style20"/>
              <w:keepNext w:val="0"/>
              <w:keepLines w:val="0"/>
              <w:widowControl w:val="0"/>
              <w:shd w:val="clear" w:color="auto" w:fill="auto"/>
              <w:bidi w:val="0"/>
              <w:spacing w:before="0" w:after="360" w:line="240" w:lineRule="auto"/>
              <w:ind w:left="0" w:right="0" w:firstLine="0"/>
              <w:jc w:val="right"/>
            </w:pPr>
            <w:r>
              <w:rPr>
                <w:rFonts w:ascii="SimSun" w:eastAsia="SimSun" w:hAnsi="SimSun" w:cs="SimSun"/>
                <w:color w:val="000000"/>
                <w:spacing w:val="0"/>
                <w:w w:val="100"/>
                <w:position w:val="0"/>
              </w:rPr>
              <w:t>单位：元</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占其他应收款期</w:t>
            </w:r>
          </w:p>
          <w:p>
            <w:pPr>
              <w:pStyle w:val="Style20"/>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末余额合计数的</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合并范围内往来</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年以内及</w:t>
            </w: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合并范围内往来</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800,000.00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800,000.00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777,600.00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777,600.00</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626,973.00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6,269.73</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82,704,573.00</w:t>
            </w:r>
          </w:p>
        </w:tc>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92.90%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1,583,869.73</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6</w:t>
      </w:r>
      <w:bookmarkEnd w:id="2196"/>
      <w:r>
        <w:rPr>
          <w:color w:val="000000"/>
          <w:spacing w:val="0"/>
          <w:w w:val="100"/>
          <w:position w:val="0"/>
        </w:rPr>
        <w:t>）涉及政府补助的应收款项</w:t>
      </w:r>
      <w:bookmarkEnd w:id="2194"/>
      <w:bookmarkEnd w:id="2195"/>
      <w:bookmarkEnd w:id="21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26"/>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预计收取的时间、金额 及依据</w:t>
            </w:r>
          </w:p>
        </w:tc>
      </w:tr>
    </w:tbl>
    <w:p>
      <w:pPr>
        <w:widowControl w:val="0"/>
        <w:spacing w:after="299" w:line="1" w:lineRule="exact"/>
      </w:pPr>
    </w:p>
    <w:p>
      <w:pPr>
        <w:pStyle w:val="Style27"/>
        <w:keepNext/>
        <w:keepLines/>
        <w:widowControl w:val="0"/>
        <w:shd w:val="clear" w:color="auto" w:fill="auto"/>
        <w:tabs>
          <w:tab w:pos="392" w:val="left"/>
        </w:tabs>
        <w:bidi w:val="0"/>
        <w:spacing w:before="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7</w:t>
      </w:r>
      <w:bookmarkEnd w:id="2200"/>
      <w:r>
        <w:rPr>
          <w:color w:val="000000"/>
          <w:spacing w:val="0"/>
          <w:w w:val="100"/>
          <w:position w:val="0"/>
        </w:rPr>
        <w:t>）</w:t>
        <w:tab/>
        <w:t>因金融资产转移而终止确认的其他应收款</w:t>
      </w:r>
      <w:bookmarkEnd w:id="2198"/>
      <w:bookmarkEnd w:id="2199"/>
      <w:bookmarkEnd w:id="2201"/>
    </w:p>
    <w:p>
      <w:pPr>
        <w:pStyle w:val="Style27"/>
        <w:keepNext/>
        <w:keepLines/>
        <w:widowControl w:val="0"/>
        <w:shd w:val="clear" w:color="auto" w:fill="auto"/>
        <w:tabs>
          <w:tab w:pos="397" w:val="left"/>
        </w:tabs>
        <w:bidi w:val="0"/>
        <w:spacing w:before="0" w:line="240" w:lineRule="auto"/>
        <w:ind w:left="0" w:right="0" w:firstLine="0"/>
        <w:jc w:val="left"/>
      </w:pPr>
      <w:bookmarkStart w:id="2198" w:name="bookmark2198"/>
      <w:bookmarkStart w:id="2199" w:name="bookmark2199"/>
      <w:bookmarkStart w:id="2202" w:name="bookmark2202"/>
      <w:bookmarkStart w:id="2203" w:name="bookmark2203"/>
      <w:r>
        <w:rPr>
          <w:rFonts w:ascii="Times New Roman" w:eastAsia="Times New Roman" w:hAnsi="Times New Roman" w:cs="Times New Roman"/>
          <w:color w:val="000000"/>
          <w:spacing w:val="0"/>
          <w:w w:val="100"/>
          <w:position w:val="0"/>
        </w:rPr>
        <w:t>8</w:t>
      </w:r>
      <w:bookmarkEnd w:id="2202"/>
      <w:r>
        <w:rPr>
          <w:color w:val="000000"/>
          <w:spacing w:val="0"/>
          <w:w w:val="100"/>
          <w:position w:val="0"/>
        </w:rPr>
        <w:t>）</w:t>
        <w:tab/>
        <w:t>转移其他应收款且继续涉入形成的资产、负债金额</w:t>
      </w:r>
      <w:bookmarkEnd w:id="2198"/>
      <w:bookmarkEnd w:id="2199"/>
      <w:bookmarkEnd w:id="220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2204" w:name="bookmark2204"/>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3</w:t>
      </w:r>
      <w:bookmarkEnd w:id="2206"/>
      <w:r>
        <w:rPr>
          <w:color w:val="000000"/>
          <w:spacing w:val="0"/>
          <w:w w:val="100"/>
          <w:position w:val="0"/>
        </w:rPr>
        <w:t>、长期股权投资</w:t>
      </w:r>
      <w:bookmarkEnd w:id="2204"/>
      <w:bookmarkEnd w:id="2205"/>
      <w:bookmarkEnd w:id="22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607,445,245.40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11,137,414.67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596,307,830.73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763,076,245.40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113,612,149.59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649,464,095.81</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对联营、合营 企业投资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170,732,650.33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170,732,650.33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216,686,984.39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216,686,984.39</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778,177,895.73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11,137,414.67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767,040,481.06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979,763,229.79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113,612,149.59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866,151,080.20</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2208" w:name="bookmark2208"/>
      <w:bookmarkStart w:id="2209" w:name="bookmark2209"/>
      <w:bookmarkStart w:id="2210" w:name="bookmark22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08"/>
      <w:bookmarkEnd w:id="2209"/>
      <w:bookmarkEnd w:id="22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67"/>
        <w:gridCol w:w="1166"/>
        <w:gridCol w:w="1171"/>
        <w:gridCol w:w="1162"/>
        <w:gridCol w:w="1166"/>
        <w:gridCol w:w="1214"/>
        <w:gridCol w:w="1214"/>
        <w:gridCol w:w="1219"/>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220"/>
              <w:jc w:val="left"/>
            </w:pPr>
            <w:r>
              <w:rPr>
                <w:rFonts w:ascii="SimSun" w:eastAsia="SimSun" w:hAnsi="SimSun" w:cs="SimSun"/>
                <w:color w:val="000000"/>
                <w:spacing w:val="0"/>
                <w:w w:val="100"/>
                <w:position w:val="0"/>
              </w:rPr>
              <w:t>期初余额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账面价值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计提减值准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江苏恒宝智 能系统技术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348,747,405.</w:t>
            </w:r>
          </w:p>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348,747,405.</w:t>
            </w:r>
          </w:p>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北京东方英 卡数字信息 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14,862,585.3</w:t>
            </w:r>
          </w:p>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14,862,585.3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11,137,414.6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00" w:line="240" w:lineRule="auto"/>
              <w:ind w:left="0" w:right="0" w:firstLine="0"/>
              <w:jc w:val="both"/>
            </w:pPr>
            <w:r>
              <w:rPr>
                <w:rFonts w:ascii="SimSun" w:eastAsia="SimSun" w:hAnsi="SimSun" w:cs="SimSun"/>
                <w:color w:val="000000"/>
                <w:spacing w:val="0"/>
                <w:w w:val="100"/>
                <w:position w:val="0"/>
              </w:rPr>
              <w:t>恒宝国际有</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60,429,220.0</w:t>
            </w:r>
          </w:p>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both"/>
            </w:pPr>
            <w:r>
              <w:rPr>
                <w:color w:val="000000"/>
                <w:spacing w:val="0"/>
                <w:w w:val="100"/>
                <w:position w:val="0"/>
              </w:rPr>
              <w:t>60,429,220.0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深圳一卡易</w:t>
            </w:r>
          </w:p>
          <w:p>
            <w:pPr>
              <w:pStyle w:val="Style20"/>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科技股份有</w:t>
            </w:r>
          </w:p>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63,326,265.0</w:t>
            </w:r>
          </w:p>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both"/>
            </w:pPr>
            <w:r>
              <w:rPr>
                <w:color w:val="000000"/>
                <w:spacing w:val="0"/>
                <w:w w:val="100"/>
                <w:position w:val="0"/>
              </w:rPr>
              <w:t>63,326,265.0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云宝金服</w:t>
            </w:r>
            <w:r>
              <w:rPr>
                <w:color w:val="000000"/>
                <w:spacing w:val="0"/>
                <w:w w:val="100"/>
                <w:position w:val="0"/>
              </w:rPr>
              <w:t>（</w:t>
            </w:r>
            <w:r>
              <w:rPr>
                <w:rFonts w:ascii="SimSun" w:eastAsia="SimSun" w:hAnsi="SimSun" w:cs="SimSun"/>
                <w:color w:val="000000"/>
                <w:spacing w:val="0"/>
                <w:w w:val="100"/>
                <w:position w:val="0"/>
              </w:rPr>
              <w:t>北 京</w:t>
            </w:r>
            <w:r>
              <w:rPr>
                <w:color w:val="000000"/>
                <w:spacing w:val="0"/>
                <w:w w:val="100"/>
                <w:position w:val="0"/>
              </w:rPr>
              <w:t>）</w:t>
            </w:r>
            <w:r>
              <w:rPr>
                <w:rFonts w:ascii="SimSun" w:eastAsia="SimSun" w:hAnsi="SimSun" w:cs="SimSun"/>
                <w:color w:val="000000"/>
                <w:spacing w:val="0"/>
                <w:w w:val="100"/>
                <w:position w:val="0"/>
              </w:rPr>
              <w:t>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30,060,000.0</w:t>
            </w:r>
          </w:p>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30,060,000.0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恒宝</w:t>
            </w:r>
            <w:r>
              <w:rPr>
                <w:color w:val="000000"/>
                <w:spacing w:val="0"/>
                <w:w w:val="100"/>
                <w:position w:val="0"/>
              </w:rPr>
              <w:t>（</w:t>
            </w:r>
            <w:r>
              <w:rPr>
                <w:rFonts w:ascii="SimSun" w:eastAsia="SimSun" w:hAnsi="SimSun" w:cs="SimSun"/>
                <w:color w:val="000000"/>
                <w:spacing w:val="0"/>
                <w:w w:val="100"/>
                <w:position w:val="0"/>
              </w:rPr>
              <w:t>中东非 洲</w:t>
            </w:r>
            <w:r>
              <w:rPr>
                <w:color w:val="000000"/>
                <w:spacing w:val="0"/>
                <w:w w:val="100"/>
                <w:position w:val="0"/>
              </w:rPr>
              <w:t>）</w:t>
            </w:r>
            <w:r>
              <w:rPr>
                <w:rFonts w:ascii="SimSun" w:eastAsia="SimSun" w:hAnsi="SimSun" w:cs="SimSun"/>
                <w:color w:val="000000"/>
                <w:spacing w:val="0"/>
                <w:w w:val="100"/>
                <w:position w:val="0"/>
              </w:rPr>
              <w:t>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1,033,620.00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1,033,620.00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恒宝润芯数 字科技有限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131,005,000.</w:t>
            </w:r>
          </w:p>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10,170,000.0</w:t>
            </w:r>
          </w:p>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141,175,000.</w:t>
            </w:r>
          </w:p>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24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360" w:lineRule="auto"/>
              <w:ind w:left="0" w:right="0" w:firstLine="0"/>
              <w:jc w:val="right"/>
            </w:pPr>
            <w:r>
              <w:rPr>
                <w:color w:val="000000"/>
                <w:spacing w:val="0"/>
                <w:w w:val="100"/>
                <w:position w:val="0"/>
              </w:rPr>
              <w:t>649,464,095. 81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10,170,000.0</w:t>
            </w:r>
          </w:p>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60"/>
              <w:jc w:val="both"/>
            </w:pPr>
            <w:r>
              <w:rPr>
                <w:color w:val="000000"/>
                <w:spacing w:val="0"/>
                <w:w w:val="100"/>
                <w:position w:val="0"/>
              </w:rPr>
              <w:t>63,326,265.0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both"/>
            </w:pPr>
            <w:r>
              <w:rPr>
                <w:color w:val="000000"/>
                <w:spacing w:val="0"/>
                <w:w w:val="100"/>
                <w:position w:val="0"/>
              </w:rPr>
              <w:t>596,307,830.</w:t>
            </w:r>
          </w:p>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73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140"/>
              <w:jc w:val="left"/>
            </w:pPr>
            <w:r>
              <w:rPr>
                <w:color w:val="000000"/>
                <w:spacing w:val="0"/>
                <w:w w:val="100"/>
                <w:position w:val="0"/>
              </w:rPr>
              <w:t>11,137,414.6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2211" w:name="bookmark2211"/>
      <w:bookmarkStart w:id="2212" w:name="bookmark2212"/>
      <w:bookmarkStart w:id="2213" w:name="bookmark22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11"/>
      <w:bookmarkEnd w:id="2212"/>
      <w:bookmarkEnd w:id="22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797"/>
        <w:gridCol w:w="802"/>
        <w:gridCol w:w="797"/>
        <w:gridCol w:w="797"/>
        <w:gridCol w:w="797"/>
        <w:gridCol w:w="802"/>
        <w:gridCol w:w="797"/>
        <w:gridCol w:w="797"/>
        <w:gridCol w:w="797"/>
        <w:gridCol w:w="81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投资单 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 额</w:t>
            </w:r>
            <w:r>
              <w:rPr>
                <w:color w:val="000000"/>
                <w:spacing w:val="0"/>
                <w:w w:val="100"/>
                <w:position w:val="0"/>
              </w:rPr>
              <w:t>（</w:t>
            </w:r>
            <w:r>
              <w:rPr>
                <w:rFonts w:ascii="SimSun" w:eastAsia="SimSun" w:hAnsi="SimSun" w:cs="SimSun"/>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减值准</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备期末</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合收益</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其他权</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宣告发</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放现金</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股利或</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bl>
    <w:p>
      <w:pPr>
        <w:spacing w:lineRule="exact" w:line="1"/>
        <w:rPr>
          <w:sz w:val="2"/>
          <w:szCs w:val="2"/>
        </w:rPr>
      </w:pPr>
      <w:r>
        <w:br w:type="page"/>
      </w:r>
    </w:p>
    <w:tbl>
      <w:tblPr>
        <w:tblOverlap w:val="never"/>
        <w:jc w:val="center"/>
        <w:tblLayout w:type="fixed"/>
      </w:tblPr>
      <w:tblGrid>
        <w:gridCol w:w="797"/>
        <w:gridCol w:w="797"/>
        <w:gridCol w:w="797"/>
        <w:gridCol w:w="802"/>
        <w:gridCol w:w="797"/>
        <w:gridCol w:w="797"/>
        <w:gridCol w:w="797"/>
        <w:gridCol w:w="802"/>
        <w:gridCol w:w="797"/>
        <w:gridCol w:w="797"/>
        <w:gridCol w:w="797"/>
        <w:gridCol w:w="811"/>
      </w:tblGrid>
      <w:tr>
        <w:trPr>
          <w:trHeight w:val="165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上海恒</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毓投资</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中心</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(有限 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216,68</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6,984.3</w:t>
            </w:r>
          </w:p>
          <w:p>
            <w:pPr>
              <w:pStyle w:val="Style20"/>
              <w:keepNext w:val="0"/>
              <w:keepLines w:val="0"/>
              <w:widowControl w:val="0"/>
              <w:shd w:val="clear" w:color="auto" w:fill="auto"/>
              <w:bidi w:val="0"/>
              <w:spacing w:before="0" w:after="80" w:line="240" w:lineRule="auto"/>
              <w:ind w:left="0" w:right="0" w:firstLine="60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69,206,</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23,252,</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170,73</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2,650.3</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216,68</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6,984.3</w:t>
            </w:r>
          </w:p>
          <w:p>
            <w:pPr>
              <w:pStyle w:val="Style20"/>
              <w:keepNext w:val="0"/>
              <w:keepLines w:val="0"/>
              <w:widowControl w:val="0"/>
              <w:shd w:val="clear" w:color="auto" w:fill="auto"/>
              <w:bidi w:val="0"/>
              <w:spacing w:before="0" w:after="80" w:line="240" w:lineRule="auto"/>
              <w:ind w:left="0" w:right="0" w:firstLine="60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69,206,</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23,252,</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170,73</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2,650.3</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216,68</w:t>
            </w:r>
          </w:p>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6,984.3</w:t>
            </w:r>
          </w:p>
          <w:p>
            <w:pPr>
              <w:pStyle w:val="Style20"/>
              <w:keepNext w:val="0"/>
              <w:keepLines w:val="0"/>
              <w:widowControl w:val="0"/>
              <w:shd w:val="clear" w:color="auto" w:fill="auto"/>
              <w:bidi w:val="0"/>
              <w:spacing w:before="0" w:after="80" w:line="240" w:lineRule="auto"/>
              <w:ind w:left="0" w:right="0" w:firstLine="600"/>
              <w:jc w:val="lef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69,206,</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925.76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23,252,</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170,73</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2,650.3</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numPr>
          <w:ilvl w:val="0"/>
          <w:numId w:val="87"/>
        </w:numPr>
        <w:shd w:val="clear" w:color="auto" w:fill="auto"/>
        <w:bidi w:val="0"/>
        <w:spacing w:before="0" w:line="240" w:lineRule="auto"/>
        <w:ind w:left="0" w:right="0" w:firstLine="0"/>
        <w:jc w:val="left"/>
      </w:pPr>
      <w:bookmarkStart w:id="2214" w:name="bookmark2214"/>
      <w:bookmarkStart w:id="2215" w:name="bookmark2215"/>
      <w:bookmarkStart w:id="2216" w:name="bookmark2216"/>
      <w:bookmarkStart w:id="2217" w:name="bookmark2217"/>
      <w:bookmarkEnd w:id="2216"/>
      <w:r>
        <w:rPr>
          <w:color w:val="000000"/>
          <w:spacing w:val="0"/>
          <w:w w:val="100"/>
          <w:position w:val="0"/>
        </w:rPr>
        <w:t>其他说明</w:t>
      </w:r>
      <w:bookmarkEnd w:id="2214"/>
      <w:bookmarkEnd w:id="2215"/>
      <w:bookmarkEnd w:id="2217"/>
    </w:p>
    <w:p>
      <w:pPr>
        <w:pStyle w:val="Style27"/>
        <w:keepNext/>
        <w:keepLines/>
        <w:widowControl w:val="0"/>
        <w:shd w:val="clear" w:color="auto" w:fill="auto"/>
        <w:bidi w:val="0"/>
        <w:spacing w:before="0" w:line="240" w:lineRule="auto"/>
        <w:ind w:left="0" w:right="0" w:firstLine="0"/>
        <w:jc w:val="left"/>
      </w:pPr>
      <w:bookmarkStart w:id="2214" w:name="bookmark2214"/>
      <w:bookmarkStart w:id="2215" w:name="bookmark2215"/>
      <w:bookmarkStart w:id="2218" w:name="bookmark2218"/>
      <w:bookmarkStart w:id="2219" w:name="bookmark2219"/>
      <w:r>
        <w:rPr>
          <w:rFonts w:ascii="Times New Roman" w:eastAsia="Times New Roman" w:hAnsi="Times New Roman" w:cs="Times New Roman"/>
          <w:color w:val="000000"/>
          <w:spacing w:val="0"/>
          <w:w w:val="100"/>
          <w:position w:val="0"/>
        </w:rPr>
        <w:t>4</w:t>
      </w:r>
      <w:bookmarkEnd w:id="2218"/>
      <w:r>
        <w:rPr>
          <w:color w:val="000000"/>
          <w:spacing w:val="0"/>
          <w:w w:val="100"/>
          <w:position w:val="0"/>
        </w:rPr>
        <w:t>、营业收入和营业成本</w:t>
      </w:r>
      <w:bookmarkEnd w:id="2214"/>
      <w:bookmarkEnd w:id="2215"/>
      <w:bookmarkEnd w:id="221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941,862,425.58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718,227,442.85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903,927,678.10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683,325,809.53</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1,349,302.98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846,265.01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11,830,420.70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6,169,820.28</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943,211,728.56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719,073,707.86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915,758,098.80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689,495,629.81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38,961,924.31</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38,961,924.31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2220" w:name="bookmark2220"/>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5</w:t>
      </w:r>
      <w:bookmarkEnd w:id="2222"/>
      <w:r>
        <w:rPr>
          <w:color w:val="000000"/>
          <w:spacing w:val="0"/>
          <w:w w:val="100"/>
          <w:position w:val="0"/>
        </w:rPr>
        <w:t>、投资收益</w:t>
      </w:r>
      <w:bookmarkEnd w:id="2220"/>
      <w:bookmarkEnd w:id="2221"/>
      <w:bookmarkEnd w:id="222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23,252,591.70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3,529,548.66</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其他权益工具投资在持有期间取得的股 利收入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4,818,446.76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4,818,014.41</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委托他人投资或管理资产的投资收益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12,558,221.47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10,317,457.17</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40,629,259.93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18,665,020.24</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2224" w:name="bookmark2224"/>
      <w:bookmarkStart w:id="2225" w:name="bookmark2225"/>
      <w:bookmarkStart w:id="2226" w:name="bookmark2226"/>
      <w:bookmarkStart w:id="2227" w:name="bookmark2227"/>
      <w:r>
        <w:rPr>
          <w:rFonts w:ascii="Times New Roman" w:eastAsia="Times New Roman" w:hAnsi="Times New Roman" w:cs="Times New Roman"/>
          <w:color w:val="000000"/>
          <w:spacing w:val="0"/>
          <w:w w:val="100"/>
          <w:position w:val="0"/>
        </w:rPr>
        <w:t>6</w:t>
      </w:r>
      <w:bookmarkEnd w:id="2226"/>
      <w:r>
        <w:rPr>
          <w:color w:val="000000"/>
          <w:spacing w:val="0"/>
          <w:w w:val="100"/>
          <w:position w:val="0"/>
        </w:rPr>
        <w:t>、其他</w:t>
      </w:r>
      <w:bookmarkEnd w:id="2224"/>
      <w:bookmarkEnd w:id="2225"/>
      <w:bookmarkEnd w:id="2227"/>
    </w:p>
    <w:p>
      <w:pPr>
        <w:pStyle w:val="Style23"/>
        <w:keepNext/>
        <w:keepLines/>
        <w:widowControl w:val="0"/>
        <w:shd w:val="clear" w:color="auto" w:fill="auto"/>
        <w:bidi w:val="0"/>
        <w:spacing w:before="0" w:after="300" w:line="240" w:lineRule="auto"/>
        <w:ind w:left="0" w:right="0" w:firstLine="0"/>
        <w:jc w:val="left"/>
      </w:pPr>
      <w:bookmarkStart w:id="2228" w:name="bookmark2228"/>
      <w:bookmarkStart w:id="2229" w:name="bookmark2229"/>
      <w:bookmarkStart w:id="2230" w:name="bookmark2230"/>
      <w:r>
        <w:rPr>
          <w:color w:val="000000"/>
          <w:spacing w:val="0"/>
          <w:w w:val="100"/>
          <w:position w:val="0"/>
          <w:sz w:val="24"/>
          <w:szCs w:val="24"/>
        </w:rPr>
        <w:t>十八、补充资料</w:t>
      </w:r>
      <w:bookmarkEnd w:id="2228"/>
      <w:bookmarkEnd w:id="2229"/>
      <w:bookmarkEnd w:id="2230"/>
    </w:p>
    <w:p>
      <w:pPr>
        <w:pStyle w:val="Style27"/>
        <w:keepNext/>
        <w:keepLines/>
        <w:widowControl w:val="0"/>
        <w:shd w:val="clear" w:color="auto" w:fill="auto"/>
        <w:bidi w:val="0"/>
        <w:spacing w:before="0" w:line="240" w:lineRule="auto"/>
        <w:ind w:left="0" w:right="0" w:firstLine="0"/>
        <w:jc w:val="left"/>
      </w:pPr>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31"/>
      <w:bookmarkEnd w:id="2232"/>
      <w:bookmarkEnd w:id="2233"/>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41,295.53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26"/>
        <w:gridCol w:w="3058"/>
        <w:gridCol w:w="3197"/>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10,815,358.78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24,059,458.84</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9,669,239.13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727,760.99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6,995,807.39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38,317,305.88</w:t>
            </w:r>
          </w:p>
        </w:tc>
        <w:tc>
          <w:tcPr>
            <w:tcBorders>
              <w:top w:val="single" w:sz="4"/>
              <w:left w:val="single" w:sz="4"/>
              <w:bottom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340" w:line="317" w:lineRule="exact"/>
        <w:ind w:left="0" w:right="0" w:firstLine="0"/>
        <w:jc w:val="both"/>
      </w:pPr>
      <w:r>
        <w:rPr>
          <w:color w:val="000000"/>
          <w:spacing w:val="0"/>
          <w:w w:val="100"/>
          <w:position w:val="0"/>
        </w:rPr>
        <w:t>口适用”不适用</w:t>
      </w:r>
    </w:p>
    <w:p>
      <w:pPr>
        <w:pStyle w:val="Style27"/>
        <w:keepNext/>
        <w:keepLines/>
        <w:widowControl w:val="0"/>
        <w:shd w:val="clear" w:color="auto" w:fill="auto"/>
        <w:bidi w:val="0"/>
        <w:spacing w:before="0" w:after="340" w:line="240" w:lineRule="auto"/>
        <w:ind w:left="0" w:right="0" w:firstLine="0"/>
        <w:jc w:val="both"/>
      </w:pPr>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34"/>
      <w:bookmarkEnd w:id="2235"/>
      <w:bookmarkEnd w:id="2236"/>
    </w:p>
    <w:tbl>
      <w:tblPr>
        <w:tblOverlap w:val="never"/>
        <w:jc w:val="center"/>
        <w:tblLayout w:type="fixed"/>
      </w:tblPr>
      <w:tblGrid>
        <w:gridCol w:w="2664"/>
        <w:gridCol w:w="3082"/>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0.0762</w:t>
            </w:r>
          </w:p>
        </w:tc>
      </w:tr>
      <w:tr>
        <w:trPr>
          <w:trHeight w:val="725"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0.76%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0.0212</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3</w:t>
      </w:r>
      <w:bookmarkEnd w:id="2239"/>
      <w:r>
        <w:rPr>
          <w:color w:val="000000"/>
          <w:spacing w:val="0"/>
          <w:w w:val="100"/>
          <w:position w:val="0"/>
        </w:rPr>
        <w:t>、境内外会计准则下会计数据差异</w:t>
      </w:r>
      <w:bookmarkEnd w:id="2237"/>
      <w:bookmarkEnd w:id="2238"/>
      <w:bookmarkEnd w:id="2240"/>
    </w:p>
    <w:p>
      <w:pPr>
        <w:pStyle w:val="Style27"/>
        <w:keepNext/>
        <w:keepLines/>
        <w:widowControl w:val="0"/>
        <w:shd w:val="clear" w:color="auto" w:fill="auto"/>
        <w:tabs>
          <w:tab w:pos="498" w:val="left"/>
        </w:tabs>
        <w:bidi w:val="0"/>
        <w:spacing w:before="0" w:after="340" w:line="240" w:lineRule="auto"/>
        <w:ind w:left="0" w:right="0" w:firstLine="0"/>
        <w:jc w:val="both"/>
      </w:pPr>
      <w:bookmarkStart w:id="2237" w:name="bookmark2237"/>
      <w:bookmarkStart w:id="2238" w:name="bookmark2238"/>
      <w:bookmarkStart w:id="2241" w:name="bookmark2241"/>
      <w:bookmarkStart w:id="2242" w:name="bookmark2242"/>
      <w:r>
        <w:rPr>
          <w:color w:val="000000"/>
          <w:spacing w:val="0"/>
          <w:w w:val="100"/>
          <w:position w:val="0"/>
        </w:rPr>
        <w:t>（</w:t>
      </w:r>
      <w:bookmarkEnd w:id="224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37"/>
      <w:bookmarkEnd w:id="2238"/>
      <w:bookmarkEnd w:id="2242"/>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p>
    <w:p>
      <w:pPr>
        <w:pStyle w:val="Style27"/>
        <w:keepNext/>
        <w:keepLines/>
        <w:widowControl w:val="0"/>
        <w:shd w:val="clear" w:color="auto" w:fill="auto"/>
        <w:tabs>
          <w:tab w:pos="498" w:val="left"/>
        </w:tabs>
        <w:bidi w:val="0"/>
        <w:spacing w:before="0" w:after="340" w:line="240" w:lineRule="auto"/>
        <w:ind w:left="0" w:right="0" w:firstLine="0"/>
        <w:jc w:val="both"/>
      </w:pPr>
      <w:bookmarkStart w:id="2243" w:name="bookmark2243"/>
      <w:bookmarkStart w:id="2244" w:name="bookmark2244"/>
      <w:bookmarkStart w:id="2245" w:name="bookmark2245"/>
      <w:bookmarkStart w:id="2246" w:name="bookmark2246"/>
      <w:r>
        <w:rPr>
          <w:color w:val="000000"/>
          <w:spacing w:val="0"/>
          <w:w w:val="100"/>
          <w:position w:val="0"/>
        </w:rPr>
        <w:t>（</w:t>
      </w:r>
      <w:bookmarkEnd w:id="224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43"/>
      <w:bookmarkEnd w:id="2244"/>
      <w:bookmarkEnd w:id="2246"/>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p>
    <w:p>
      <w:pPr>
        <w:pStyle w:val="Style48"/>
        <w:keepNext w:val="0"/>
        <w:keepLines w:val="0"/>
        <w:widowControl w:val="0"/>
        <w:shd w:val="clear" w:color="auto" w:fill="auto"/>
        <w:bidi w:val="0"/>
        <w:spacing w:before="0" w:after="340" w:line="331" w:lineRule="exact"/>
        <w:ind w:left="0" w:right="0" w:firstLine="0"/>
        <w:jc w:val="left"/>
      </w:pPr>
      <w:bookmarkStart w:id="2247" w:name="bookmark2247"/>
      <w:r>
        <w:rPr>
          <w:color w:val="000000"/>
          <w:spacing w:val="0"/>
          <w:w w:val="100"/>
          <w:position w:val="0"/>
        </w:rPr>
        <w:t>（</w:t>
      </w:r>
      <w:bookmarkEnd w:id="2247"/>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）境内外会计准则下会计数据差异原因说明，对巳经境外审计机构审计的数据进行差异调节的，应注 明该境外机构的名称</w:t>
      </w:r>
    </w:p>
    <w:p>
      <w:pPr>
        <w:pStyle w:val="Style48"/>
        <w:keepNext w:val="0"/>
        <w:keepLines w:val="0"/>
        <w:widowControl w:val="0"/>
        <w:shd w:val="clear" w:color="auto" w:fill="auto"/>
        <w:bidi w:val="0"/>
        <w:spacing w:before="0" w:after="0" w:line="346" w:lineRule="auto"/>
        <w:ind w:left="0" w:right="0" w:firstLine="0"/>
        <w:jc w:val="left"/>
      </w:pPr>
      <w:bookmarkStart w:id="2248" w:name="bookmark2248"/>
      <w:r>
        <w:rPr>
          <w:rFonts w:ascii="Times New Roman" w:eastAsia="Times New Roman" w:hAnsi="Times New Roman" w:cs="Times New Roman"/>
          <w:color w:val="000000"/>
          <w:spacing w:val="0"/>
          <w:w w:val="100"/>
          <w:position w:val="0"/>
        </w:rPr>
        <w:t>4</w:t>
      </w:r>
      <w:bookmarkEnd w:id="2248"/>
      <w:r>
        <w:rPr>
          <w:color w:val="000000"/>
          <w:spacing w:val="0"/>
          <w:w w:val="100"/>
          <w:position w:val="0"/>
        </w:rPr>
        <w:t>、其他</w:t>
      </w:r>
    </w:p>
    <w:sectPr>
      <w:footnotePr>
        <w:pos w:val="pageBottom"/>
        <w:numFmt w:val="decimal"/>
        <w:numRestart w:val="continuous"/>
      </w:footnotePr>
      <w:pgSz w:w="11900" w:h="16840"/>
      <w:pgMar w:top="1385" w:right="1060" w:bottom="1577" w:left="10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2"/>
      <w:numFmt w:val="decimalEnclosedCircle"/>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2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8"/>
      <w:szCs w:val="18"/>
      <w:u w:val="none"/>
      <w:shd w:val="clear" w:color="auto" w:fill="auto"/>
    </w:rPr>
  </w:style>
  <w:style w:type="character" w:customStyle="1" w:styleId="CharStyle21">
    <w:name w:val="Other_"/>
    <w:basedOn w:val="DefaultParagraphFont"/>
    <w:link w:val="Style2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4">
    <w:name w:val="Heading #3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Heading #4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9">
    <w:name w:val="Body text (7)_"/>
    <w:basedOn w:val="DefaultParagraphFont"/>
    <w:link w:val="Style3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9">
    <w:name w:val="Body text (8)_"/>
    <w:basedOn w:val="DefaultParagraphFont"/>
    <w:link w:val="Style48"/>
    <w:rPr>
      <w:rFonts w:ascii="SimSun" w:eastAsia="SimSun" w:hAnsi="SimSun" w:cs="SimSun"/>
      <w:b/>
      <w:bCs/>
      <w:i w:val="0"/>
      <w:iCs w:val="0"/>
      <w:smallCaps w:val="0"/>
      <w:strike w:val="0"/>
      <w:sz w:val="20"/>
      <w:szCs w:val="20"/>
      <w:u w:val="none"/>
      <w:shd w:val="clear" w:color="auto" w:fill="auto"/>
    </w:rPr>
  </w:style>
  <w:style w:type="paragraph" w:customStyle="1" w:styleId="Style2">
    <w:name w:val="Heading #1"/>
    <w:basedOn w:val="Normal"/>
    <w:link w:val="CharStyle3"/>
    <w:pPr>
      <w:widowControl w:val="0"/>
      <w:shd w:val="clear" w:color="auto" w:fill="auto"/>
      <w:spacing w:after="99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4)"/>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2"/>
    <w:basedOn w:val="Normal"/>
    <w:link w:val="CharStyle11"/>
    <w:pPr>
      <w:widowControl w:val="0"/>
      <w:shd w:val="clear" w:color="auto" w:fill="auto"/>
      <w:spacing w:before="27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styleId="Style18">
    <w:name w:val="Body text"/>
    <w:basedOn w:val="Normal"/>
    <w:link w:val="CharStyle19"/>
    <w:qFormat/>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0">
    <w:name w:val="Other"/>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3">
    <w:name w:val="Heading #3"/>
    <w:basedOn w:val="Normal"/>
    <w:link w:val="CharStyle24"/>
    <w:pPr>
      <w:widowControl w:val="0"/>
      <w:shd w:val="clear" w:color="auto" w:fill="auto"/>
      <w:spacing w:after="310"/>
      <w:outlineLvl w:val="2"/>
    </w:pPr>
    <w:rPr>
      <w:rFonts w:ascii="SimSun" w:eastAsia="SimSun" w:hAnsi="SimSun" w:cs="SimSun"/>
      <w:b/>
      <w:bCs/>
      <w:i w:val="0"/>
      <w:iCs w:val="0"/>
      <w:smallCaps w:val="0"/>
      <w:strike w:val="0"/>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Heading #4"/>
    <w:basedOn w:val="Normal"/>
    <w:link w:val="CharStyle28"/>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Body text (7)"/>
    <w:basedOn w:val="Normal"/>
    <w:link w:val="CharStyle39"/>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8">
    <w:name w:val="Body text (8)"/>
    <w:basedOn w:val="Normal"/>
    <w:link w:val="CharStyle49"/>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&lt;32303231C4EAC4EAB6C8B1A8B8E6C8ABCEC42E646F63&gt;</dc:title>
  <dc:subject/>
  <dc:creator>wangjian</dc:creator>
  <cp:keywords/>
</cp:coreProperties>
</file>