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61" w:right="4485" w:bottom="1027" w:left="1137" w:header="0" w:footer="3" w:gutter="0"/>
          <w:pgNumType w:start="1"/>
          <w:cols w:space="720"/>
          <w:noEndnote/>
          <w:rtlGutter w:val="0"/>
          <w:docGrid w:linePitch="360"/>
        </w:sectPr>
      </w:pPr>
    </w:p>
    <w:p>
      <w:pPr>
        <w:pStyle w:val="Style6"/>
        <w:keepNext/>
        <w:keepLines/>
        <w:framePr w:w="2928" w:h="432" w:wrap="none" w:vAnchor="text" w:hAnchor="page" w:x="4488" w:y="2411"/>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恒宝股份有限公司</w:t>
      </w:r>
      <w:bookmarkEnd w:id="0"/>
      <w:bookmarkEnd w:id="1"/>
      <w:bookmarkEnd w:id="2"/>
    </w:p>
    <w:p>
      <w:pPr>
        <w:pStyle w:val="Style8"/>
        <w:keepNext w:val="0"/>
        <w:keepLines w:val="0"/>
        <w:framePr w:w="2366" w:h="446" w:wrap="none" w:vAnchor="text" w:hAnchor="page" w:x="4767" w:y="324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framePr w:w="1886" w:h="446" w:wrap="none" w:vAnchor="text" w:hAnchor="page" w:x="5007" w:y="9654"/>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8" behindDoc="1" locked="0" layoutInCell="1" allowOverlap="1">
            <wp:simplePos x="0" y="0"/>
            <wp:positionH relativeFrom="page">
              <wp:posOffset>3072130</wp:posOffset>
            </wp:positionH>
            <wp:positionV relativeFrom="paragraph">
              <wp:posOffset>12700</wp:posOffset>
            </wp:positionV>
            <wp:extent cx="1414145" cy="139001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414145" cy="1390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1900" w:h="16840"/>
          <w:pgMar w:top="1061" w:right="4485" w:bottom="1027" w:left="1137"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公司负责人钱京、主管会计工作负责人徐霄凌及会计机构负责人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刘春莲声明：保证本年度报告中财务报告的真实、准确、完整。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公司面临国内宏观经济增速放缓、市场竞争加剧、产品更新换代加速、人 力成本持续上升等方面的影响。受全球经济增长放缓的影响，公司新业务、新 市场开拓的难度增大、风险加剧，海外收入面临汇率波动的风险，敬请广大投 资者注意投资风险。</w:t>
      </w:r>
    </w:p>
    <w:p>
      <w:pPr>
        <w:pStyle w:val="Style16"/>
        <w:keepNext w:val="0"/>
        <w:keepLines w:val="0"/>
        <w:widowControl w:val="0"/>
        <w:shd w:val="clear" w:color="auto" w:fill="auto"/>
        <w:bidi w:val="0"/>
        <w:spacing w:before="0"/>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keepLines/>
        <w:widowControl w:val="0"/>
        <w:shd w:val="clear" w:color="auto" w:fill="auto"/>
        <w:bidi w:val="0"/>
        <w:spacing w:before="1400" w:after="14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9"/>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59"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8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25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40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46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46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46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51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63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63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9"/>
        <w:keepNext w:val="0"/>
        <w:keepLines w:val="0"/>
        <w:widowControl w:val="0"/>
        <w:shd w:val="clear" w:color="auto" w:fill="auto"/>
        <w:tabs>
          <w:tab w:leader="dot" w:pos="9608" w:val="right"/>
        </w:tabs>
        <w:bidi w:val="0"/>
        <w:spacing w:before="0" w:line="240" w:lineRule="auto"/>
        <w:ind w:left="0" w:right="0" w:firstLine="0"/>
        <w:jc w:val="left"/>
      </w:pPr>
      <w:hyperlink w:anchor="bookmark219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197</w:t>
        </w:r>
      </w:hyperlink>
      <w:r>
        <w:br w:type="page"/>
      </w:r>
      <w:r>
        <w:fldChar w:fldCharType="end"/>
      </w:r>
    </w:p>
    <w:p>
      <w:pPr>
        <w:pStyle w:val="Style14"/>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公司或本公司或恒宝股份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中国证监会或证监会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交易所或深交所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恒宝国际有限责任公司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智能系统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江苏恒宝智能系统技术有限公司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一卡易股份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深圳一卡易科技股份有限公司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一"易网络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深圳一卡易网络科技有限公司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钱客多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深圳钱客多科技有限公司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云宝金服（北京）科技有限公司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5"/>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Hengbao Co.,LTD.</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Hengbao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"http://www.hengbao.com" </w:instrText>
            </w:r>
            <w:r>
              <w:fldChar w:fldCharType="separate"/>
            </w:r>
            <w:r>
              <w:rPr>
                <w:color w:val="000000"/>
                <w:spacing w:val="0"/>
                <w:w w:val="100"/>
                <w:position w:val="0"/>
              </w:rPr>
              <w:t>http://www.hengbao.com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"mailto:hengbao@hengbao.com" </w:instrText>
            </w:r>
            <w:r>
              <w:fldChar w:fldCharType="separate"/>
            </w:r>
            <w:r>
              <w:rPr>
                <w:color w:val="000000"/>
                <w:spacing w:val="0"/>
                <w:w w:val="100"/>
                <w:position w:val="0"/>
              </w:rPr>
              <w:t>hengbao@hengbao.com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"mailto:ir@hengbao.com" </w:instrText>
            </w:r>
            <w:r>
              <w:fldChar w:fldCharType="separate"/>
            </w:r>
            <w:r>
              <w:rPr>
                <w:color w:val="000000"/>
                <w:spacing w:val="0"/>
                <w:w w:val="100"/>
                <w:position w:val="0"/>
              </w:rPr>
              <w:t>ir@hengbao.com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"mailto:ir@hengbao.com" </w:instrText>
            </w:r>
            <w:r>
              <w:fldChar w:fldCharType="separate"/>
            </w:r>
            <w:r>
              <w:rPr>
                <w:color w:val="000000"/>
                <w:spacing w:val="0"/>
                <w:w w:val="100"/>
                <w:position w:val="0"/>
              </w:rPr>
              <w:t>ir@hengbao.com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深圳证券交易所、江苏省丹阳市横塘工业区公司证券事务部</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91320000253710940L</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南京市建邺区嘉陵江东街</w:t>
            </w:r>
            <w:r>
              <w:rPr>
                <w:color w:val="000000"/>
                <w:spacing w:val="0"/>
                <w:w w:val="100"/>
                <w:position w:val="0"/>
              </w:rPr>
              <w:t>50</w:t>
            </w:r>
            <w:r>
              <w:rPr>
                <w:rFonts w:ascii="SimSun" w:eastAsia="SimSun" w:hAnsi="SimSun" w:cs="SimSun"/>
                <w:color w:val="000000"/>
                <w:spacing w:val="0"/>
                <w:w w:val="100"/>
                <w:position w:val="0"/>
              </w:rPr>
              <w:t>号康缘智汇港</w:t>
            </w:r>
            <w:r>
              <w:rPr>
                <w:color w:val="000000"/>
                <w:spacing w:val="0"/>
                <w:w w:val="100"/>
                <w:position w:val="0"/>
              </w:rPr>
              <w:t>19</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胡海萌汪军</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1,052,163,738.15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1,535,467,255.35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1,690,305,333.68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1,724,407.34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86,769,193.40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145,493,021.11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-28,655,807.70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75,470,025.95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92,113,790.14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515,155,453.08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-44,451,823.26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588,243,108.85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0.1238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0.2046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0.1238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0.2046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7.82%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2,362,507,462.60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2,349,715,249.41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2,250,514,166.49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1,929,301,833.83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1,928,289,808.98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1,894,006,700.33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定性</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J </w:t>
      </w:r>
      <w:r>
        <w:rPr>
          <w:color w:val="000000"/>
          <w:spacing w:val="0"/>
          <w:w w:val="100"/>
          <w:position w:val="0"/>
        </w:rPr>
        <w:t>是 □否</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1,052,163,738.15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1,535,467,255.35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69,203,134.19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79,189,833.63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982,960,603.96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1,456,277,421.72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39" w:line="1" w:lineRule="exact"/>
      </w:pPr>
    </w:p>
    <w:p>
      <w:pPr>
        <w:pStyle w:val="Style25"/>
        <w:keepNext/>
        <w:keepLines/>
        <w:widowControl w:val="0"/>
        <w:shd w:val="clear" w:color="auto" w:fill="auto"/>
        <w:tabs>
          <w:tab w:pos="522" w:val="left"/>
        </w:tabs>
        <w:bidi w:val="0"/>
        <w:spacing w:before="0" w:after="3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2"/>
        <w:keepNext/>
        <w:keepLines/>
        <w:widowControl w:val="0"/>
        <w:shd w:val="clear" w:color="auto" w:fill="auto"/>
        <w:tabs>
          <w:tab w:pos="410"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4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分季度主要财务指标</w:t>
      </w:r>
      <w:bookmarkEnd w:id="50"/>
      <w:bookmarkEnd w:id="51"/>
      <w:bookmarkEnd w:id="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179,054,120.01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275,269,471.36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263,039,228.70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334,800,918.08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-10,979,880.94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35,838,142.44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20,877,968.59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-44,011,822.75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-13,457,778.59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31,500,075.12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16,128,625.14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-62,826,729.37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-35,653,025.88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314,232,191.96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88,694,203.29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147,882,083.71</w:t>
            </w:r>
          </w:p>
        </w:tc>
      </w:tr>
    </w:tbl>
    <w:p>
      <w:pPr>
        <w:pStyle w:val="Style29"/>
        <w:keepNext w:val="0"/>
        <w:keepLines w:val="0"/>
        <w:widowControl w:val="0"/>
        <w:shd w:val="clear" w:color="auto" w:fill="auto"/>
        <w:bidi w:val="0"/>
        <w:spacing w:before="0" w:after="340" w:line="33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口是 </w:t>
      </w:r>
      <w:r>
        <w:rPr>
          <w:color w:val="000000"/>
          <w:spacing w:val="0"/>
          <w:w w:val="100"/>
          <w:position w:val="0"/>
          <w:sz w:val="18"/>
          <w:szCs w:val="18"/>
        </w:rPr>
        <w:t xml:space="preserve">V </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九</w:t>
      </w:r>
      <w:bookmarkEnd w:id="56"/>
      <w:r>
        <w:rPr>
          <w:color w:val="000000"/>
          <w:spacing w:val="0"/>
          <w:w w:val="100"/>
          <w:position w:val="0"/>
          <w:sz w:val="24"/>
          <w:szCs w:val="24"/>
        </w:rPr>
        <w:t>、非经常性损益项目及金额</w:t>
      </w:r>
      <w:bookmarkEnd w:id="54"/>
      <w:bookmarkEnd w:id="55"/>
      <w:bookmarkEnd w:id="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-1,032,868.81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-577,486.26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52,214,754.01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10,239,371.19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6,066,506.77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4,089,727.52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19,279,626.12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10,740,380.01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6,218,101.06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8,360,901.05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2,463,693.75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-161,362.36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-578,687.38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5,784,369.84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2,067,154.54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6,298,897.23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3,146,138.42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2,701,716.17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2,282,946.90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30,380,215.04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11,299,167.45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53,379,230.97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2" w:bottom="1446" w:left="109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5"/>
        <w:keepNext/>
        <w:keepLines/>
        <w:widowControl w:val="0"/>
        <w:shd w:val="clear" w:color="auto" w:fill="auto"/>
        <w:tabs>
          <w:tab w:pos="480" w:val="left"/>
        </w:tabs>
        <w:bidi w:val="0"/>
        <w:spacing w:before="0" w:after="2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w:t>
        <w:tab/>
        <w:t>报告期内公司从事的主要业务</w:t>
      </w:r>
      <w:bookmarkEnd w:id="61"/>
      <w:bookmarkEnd w:id="62"/>
      <w:bookmarkEnd w:id="64"/>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恒宝股份是</w:t>
      </w:r>
      <w:r>
        <w:rPr>
          <w:color w:val="252525"/>
          <w:spacing w:val="0"/>
          <w:w w:val="100"/>
          <w:position w:val="0"/>
        </w:rPr>
        <w:t>中国金融科技、物联网、数字安全和数字化服务领域的领军企业，致力于为银行、通信、政府公共服务部门、 防务、交通和先进制造等领域提供金融科技、物联网和数字安全及数字化服务整套解决方案，从安全设备到支付安全、身份 与隐私保护、移动支付解决方案、云认证访问服务、智能设备远程管理、数字化服务、数据安全和区块链技术等，公司以雄 厚的技术实力和多年在金融、物联网和数字安全领域独特的经验助力客户为数十亿用户设备提供服务。</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业务方面，公司主要面向</w:t>
      </w:r>
      <w:r>
        <w:rPr>
          <w:color w:val="252525"/>
          <w:spacing w:val="0"/>
          <w:w w:val="100"/>
          <w:position w:val="0"/>
        </w:rPr>
        <w:t>致力于为银行、通信、政府公共服务部门、防务、交通</w:t>
      </w:r>
      <w:r>
        <w:rPr>
          <w:color w:val="000000"/>
          <w:spacing w:val="0"/>
          <w:w w:val="100"/>
          <w:position w:val="0"/>
        </w:rPr>
        <w:t>等多个行业提供高端智能化产品及数字 安全解决方案等服务。具体包括：通信和物联网连接、安全产品、系统平台、身份认证识别、数据安全、移动支付解决方案、 智能终端、智能卡、智能卡模块封装，以及金融科技服务等。此外，公司在区块链技术产品工程化已有一定的储备，在数字 安全和数据交易等方面均进行了布局。</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目前，公司的客户遍布海内外。一方面，在国内取得了国家十大部委等政府机关的信赖，并与</w:t>
      </w:r>
      <w:r>
        <w:rPr>
          <w:rFonts w:ascii="Times New Roman" w:eastAsia="Times New Roman" w:hAnsi="Times New Roman" w:cs="Times New Roman"/>
          <w:color w:val="000000"/>
          <w:spacing w:val="0"/>
          <w:w w:val="100"/>
          <w:position w:val="0"/>
        </w:rPr>
        <w:t>100</w:t>
      </w:r>
      <w:r>
        <w:rPr>
          <w:color w:val="000000"/>
          <w:spacing w:val="0"/>
          <w:w w:val="100"/>
          <w:position w:val="0"/>
        </w:rPr>
        <w:t>多家银行、三大通信 运营商建立了稳健的合作；另一方面，为助力</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建设，与银联国际达成了多项战略合作，先后在柬埔寨、缅甸、澳 大利亚等地区，首发恒宝银联卡，是银联海外新兴支付业务布局中，参与项目最多、合作最紧密的企业，也是国内入围银行 智能卡及数据安全解决方案等服务提供商最全的企业之一。</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具体产品方面表现如下：</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安全产品为商业银行、行业客户和物联网客户提供基于智能手机的移动互联网身份识别或安全支付端到端解决方案和物 联网通讯过程中的信息加密和传递加密。在可信执行环境</w:t>
      </w:r>
      <w:r>
        <w:rPr>
          <w:color w:val="000000"/>
          <w:spacing w:val="0"/>
          <w:w w:val="100"/>
          <w:position w:val="0"/>
        </w:rPr>
        <w:t>（</w:t>
      </w:r>
      <w:r>
        <w:rPr>
          <w:rFonts w:ascii="Times New Roman" w:eastAsia="Times New Roman" w:hAnsi="Times New Roman" w:cs="Times New Roman"/>
          <w:color w:val="000000"/>
          <w:spacing w:val="0"/>
          <w:w w:val="100"/>
          <w:position w:val="0"/>
        </w:rPr>
        <w:t>TEE</w:t>
      </w:r>
      <w:r>
        <w:rPr>
          <w:color w:val="000000"/>
          <w:spacing w:val="0"/>
          <w:w w:val="100"/>
          <w:position w:val="0"/>
        </w:rPr>
        <w:t>）</w:t>
      </w:r>
      <w:r>
        <w:rPr>
          <w:color w:val="000000"/>
          <w:spacing w:val="0"/>
          <w:w w:val="100"/>
          <w:position w:val="0"/>
        </w:rPr>
        <w:t>体系成为共识的背景下，提供集</w:t>
      </w:r>
      <w:r>
        <w:rPr>
          <w:rFonts w:ascii="Times New Roman" w:eastAsia="Times New Roman" w:hAnsi="Times New Roman" w:cs="Times New Roman"/>
          <w:color w:val="000000"/>
          <w:spacing w:val="0"/>
          <w:w w:val="100"/>
          <w:position w:val="0"/>
        </w:rPr>
        <w:t>TEE</w:t>
      </w:r>
      <w:r>
        <w:rPr>
          <w:color w:val="000000"/>
          <w:spacing w:val="0"/>
          <w:w w:val="100"/>
          <w:position w:val="0"/>
        </w:rPr>
        <w:t>、</w:t>
      </w:r>
      <w:r>
        <w:rPr>
          <w:rFonts w:ascii="Times New Roman" w:eastAsia="Times New Roman" w:hAnsi="Times New Roman" w:cs="Times New Roman"/>
          <w:color w:val="000000"/>
          <w:spacing w:val="0"/>
          <w:w w:val="100"/>
          <w:position w:val="0"/>
        </w:rPr>
        <w:t>TA</w:t>
      </w:r>
      <w:r>
        <w:rPr>
          <w:color w:val="000000"/>
          <w:spacing w:val="0"/>
          <w:w w:val="100"/>
          <w:position w:val="0"/>
        </w:rPr>
        <w:t>、</w:t>
      </w:r>
      <w:r>
        <w:rPr>
          <w:rFonts w:ascii="Times New Roman" w:eastAsia="Times New Roman" w:hAnsi="Times New Roman" w:cs="Times New Roman"/>
          <w:color w:val="000000"/>
          <w:spacing w:val="0"/>
          <w:w w:val="100"/>
          <w:position w:val="0"/>
        </w:rPr>
        <w:t>eSE</w:t>
      </w:r>
      <w:r>
        <w:rPr>
          <w:color w:val="000000"/>
          <w:spacing w:val="0"/>
          <w:w w:val="100"/>
          <w:position w:val="0"/>
        </w:rPr>
        <w:t>、</w:t>
      </w:r>
      <w:r>
        <w:rPr>
          <w:rFonts w:ascii="Times New Roman" w:eastAsia="Times New Roman" w:hAnsi="Times New Roman" w:cs="Times New Roman"/>
          <w:color w:val="000000"/>
          <w:spacing w:val="0"/>
          <w:w w:val="100"/>
          <w:position w:val="0"/>
        </w:rPr>
        <w:t>TSM</w:t>
      </w:r>
      <w:r>
        <w:rPr>
          <w:color w:val="000000"/>
          <w:spacing w:val="0"/>
          <w:w w:val="100"/>
          <w:position w:val="0"/>
        </w:rPr>
        <w:t xml:space="preserve">、 </w:t>
      </w:r>
      <w:r>
        <w:rPr>
          <w:rFonts w:ascii="Times New Roman" w:eastAsia="Times New Roman" w:hAnsi="Times New Roman" w:cs="Times New Roman"/>
          <w:color w:val="000000"/>
          <w:spacing w:val="0"/>
          <w:w w:val="100"/>
          <w:position w:val="0"/>
        </w:rPr>
        <w:t>TAM</w:t>
      </w:r>
      <w:r>
        <w:rPr>
          <w:color w:val="000000"/>
          <w:spacing w:val="0"/>
          <w:w w:val="100"/>
          <w:position w:val="0"/>
        </w:rPr>
        <w:t>的完整的安全解决方案。公司与产业链合作方紧密合作，提供适合不同应用场景的安全解决方案。公司在产品技术、 应用拓展，产业链合作等方面具备一定的先发优势。</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智能</w:t>
      </w:r>
      <w:r>
        <w:rPr>
          <w:rFonts w:ascii="Times New Roman" w:eastAsia="Times New Roman" w:hAnsi="Times New Roman" w:cs="Times New Roman"/>
          <w:color w:val="000000"/>
          <w:spacing w:val="0"/>
          <w:w w:val="100"/>
          <w:position w:val="0"/>
        </w:rPr>
        <w:t>IC</w:t>
      </w:r>
      <w:r>
        <w:rPr>
          <w:color w:val="000000"/>
          <w:spacing w:val="0"/>
          <w:w w:val="100"/>
          <w:position w:val="0"/>
        </w:rPr>
        <w:t>卡产品主要原材料为</w:t>
      </w:r>
      <w:r>
        <w:rPr>
          <w:rFonts w:ascii="Times New Roman" w:eastAsia="Times New Roman" w:hAnsi="Times New Roman" w:cs="Times New Roman"/>
          <w:color w:val="000000"/>
          <w:spacing w:val="0"/>
          <w:w w:val="100"/>
          <w:position w:val="0"/>
        </w:rPr>
        <w:t>CPU</w:t>
      </w:r>
      <w:r>
        <w:rPr>
          <w:color w:val="000000"/>
          <w:spacing w:val="0"/>
          <w:w w:val="100"/>
          <w:position w:val="0"/>
        </w:rPr>
        <w:t>芯片，公司通过参加商业银行、城市一卡通等客户的公开招投标获得发卡资格和订单， 并按照招投标确定的价格和订单数量销售给客户。该业务主要的业绩驱动因素为卡片销售价格的变化幅度。</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通信和物联网连接是以</w:t>
      </w:r>
      <w:r>
        <w:rPr>
          <w:rFonts w:ascii="Times New Roman" w:eastAsia="Times New Roman" w:hAnsi="Times New Roman" w:cs="Times New Roman"/>
          <w:color w:val="000000"/>
          <w:spacing w:val="0"/>
          <w:w w:val="100"/>
          <w:position w:val="0"/>
        </w:rPr>
        <w:t>CPU</w:t>
      </w:r>
      <w:r>
        <w:rPr>
          <w:color w:val="000000"/>
          <w:spacing w:val="0"/>
          <w:w w:val="100"/>
          <w:position w:val="0"/>
        </w:rPr>
        <w:t>芯片为基础，为运营商的通讯设备和物联网终端设备提供连接服务。该业务主要驱动因素为 连接设备数量。公司一直以来在三大运营商占有较高比例。尤其在物联网市场不断增长的情况下，连接设备会大幅增长。</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智能终端是移动互联网时代方便持卡人随时随地进行</w:t>
      </w:r>
      <w:r>
        <w:rPr>
          <w:rFonts w:ascii="Times New Roman" w:eastAsia="Times New Roman" w:hAnsi="Times New Roman" w:cs="Times New Roman"/>
          <w:color w:val="000000"/>
          <w:spacing w:val="0"/>
          <w:w w:val="100"/>
          <w:position w:val="0"/>
        </w:rPr>
        <w:t>IC</w:t>
      </w:r>
      <w:r>
        <w:rPr>
          <w:color w:val="000000"/>
          <w:spacing w:val="0"/>
          <w:w w:val="100"/>
          <w:position w:val="0"/>
        </w:rPr>
        <w:t>卡有卡支付和圈存的移动终端，传统燃气、交通等民生便民应用 对线上充值与支付需求明确。</w:t>
      </w:r>
      <w:r>
        <w:rPr>
          <w:rFonts w:ascii="Times New Roman" w:eastAsia="Times New Roman" w:hAnsi="Times New Roman" w:cs="Times New Roman"/>
          <w:color w:val="000000"/>
          <w:spacing w:val="0"/>
          <w:w w:val="100"/>
          <w:position w:val="0"/>
        </w:rPr>
        <w:t>mPOS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等互联网</w:t>
      </w:r>
      <w:r>
        <w:rPr>
          <w:rFonts w:ascii="Times New Roman" w:eastAsia="Times New Roman" w:hAnsi="Times New Roman" w:cs="Times New Roman"/>
          <w:color w:val="000000"/>
          <w:spacing w:val="0"/>
          <w:w w:val="100"/>
          <w:position w:val="0"/>
        </w:rPr>
        <w:t>POS</w:t>
      </w:r>
      <w:r>
        <w:rPr>
          <w:color w:val="000000"/>
          <w:spacing w:val="0"/>
          <w:w w:val="100"/>
          <w:position w:val="0"/>
        </w:rPr>
        <w:t>产品是移动互联网时代传统</w:t>
      </w:r>
      <w:r>
        <w:rPr>
          <w:rFonts w:ascii="Times New Roman" w:eastAsia="Times New Roman" w:hAnsi="Times New Roman" w:cs="Times New Roman"/>
          <w:color w:val="000000"/>
          <w:spacing w:val="0"/>
          <w:w w:val="100"/>
          <w:position w:val="0"/>
        </w:rPr>
        <w:t>POS</w:t>
      </w:r>
      <w:r>
        <w:rPr>
          <w:color w:val="000000"/>
          <w:spacing w:val="0"/>
          <w:w w:val="100"/>
          <w:position w:val="0"/>
        </w:rPr>
        <w:t>的更新换代产品。税控盘是国 税总局规定的增值税纳税人必备的税控设备，销售价格由国家发改委确定。公司终端产品主要的业绩驱动因素为产品销售量 和成本控制。</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系统平台产品主要面向商业银行及行业客户提供行业一卡通、移动支付整体解决方案，面向商业银行及行业客户提供金 融</w:t>
      </w:r>
      <w:r>
        <w:rPr>
          <w:rFonts w:ascii="Times New Roman" w:eastAsia="Times New Roman" w:hAnsi="Times New Roman" w:cs="Times New Roman"/>
          <w:color w:val="000000"/>
          <w:spacing w:val="0"/>
          <w:w w:val="100"/>
          <w:position w:val="0"/>
        </w:rPr>
        <w:t>IC</w:t>
      </w:r>
      <w:r>
        <w:rPr>
          <w:color w:val="000000"/>
          <w:spacing w:val="0"/>
          <w:w w:val="100"/>
          <w:position w:val="0"/>
        </w:rPr>
        <w:t>卡即时发卡以及社保卡、居民健康卡等行业卡的即时补换卡整体解决方案。其中移动支付整体解决方案聚合了手机</w:t>
      </w:r>
      <w:r>
        <w:rPr>
          <w:rFonts w:ascii="Times New Roman" w:eastAsia="Times New Roman" w:hAnsi="Times New Roman" w:cs="Times New Roman"/>
          <w:color w:val="000000"/>
          <w:spacing w:val="0"/>
          <w:w w:val="100"/>
          <w:position w:val="0"/>
        </w:rPr>
        <w:t>PAY</w:t>
      </w:r>
      <w:r>
        <w:rPr>
          <w:color w:val="000000"/>
          <w:spacing w:val="0"/>
          <w:w w:val="100"/>
          <w:position w:val="0"/>
        </w:rPr>
        <w:t xml:space="preserve">、 </w:t>
      </w:r>
      <w:r>
        <w:rPr>
          <w:color w:val="000000"/>
          <w:spacing w:val="0"/>
          <w:w w:val="100"/>
          <w:position w:val="0"/>
        </w:rPr>
        <w:t>行业</w:t>
      </w:r>
      <w:r>
        <w:rPr>
          <w:rFonts w:ascii="Times New Roman" w:eastAsia="Times New Roman" w:hAnsi="Times New Roman" w:cs="Times New Roman"/>
          <w:color w:val="000000"/>
          <w:spacing w:val="0"/>
          <w:w w:val="100"/>
          <w:position w:val="0"/>
        </w:rPr>
        <w:t>HCE</w:t>
      </w:r>
      <w:r>
        <w:rPr>
          <w:color w:val="000000"/>
          <w:spacing w:val="0"/>
          <w:w w:val="100"/>
          <w:position w:val="0"/>
        </w:rPr>
        <w:t>、</w:t>
      </w:r>
      <w:r>
        <w:rPr>
          <w:color w:val="000000"/>
          <w:spacing w:val="0"/>
          <w:w w:val="100"/>
          <w:position w:val="0"/>
        </w:rPr>
        <w:t>二维码、手机</w:t>
      </w:r>
      <w:r>
        <w:rPr>
          <w:rFonts w:ascii="Times New Roman" w:eastAsia="Times New Roman" w:hAnsi="Times New Roman" w:cs="Times New Roman"/>
          <w:color w:val="000000"/>
          <w:spacing w:val="0"/>
          <w:w w:val="100"/>
          <w:position w:val="0"/>
        </w:rPr>
        <w:t>TA</w:t>
      </w:r>
      <w:r>
        <w:rPr>
          <w:color w:val="000000"/>
          <w:spacing w:val="0"/>
          <w:w w:val="100"/>
          <w:position w:val="0"/>
        </w:rPr>
        <w:t>盾最新技术，是国内外商业银行业务需求热点，也是公司培育的新的业务增长点。</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金融科技服务主要面向金融领域，立足于公司长久以来在金融行业的丰富经验，通过技术手段的应用，尤其是计算机互 联网技术以提高金融服务质量和效率、降低金融机构运营成本。公司主要专注于在支付科技、交易科技、税务科技、监管科 技和保险科技领域的开拓，并且一直致力于区块链技术在这些领域的应用。金融科技服务是在金融领域的新增长业务。</w:t>
      </w:r>
    </w:p>
    <w:p>
      <w:pPr>
        <w:pStyle w:val="Style25"/>
        <w:keepNext/>
        <w:keepLines/>
        <w:widowControl w:val="0"/>
        <w:shd w:val="clear" w:color="auto" w:fill="auto"/>
        <w:tabs>
          <w:tab w:pos="480" w:val="left"/>
        </w:tabs>
        <w:bidi w:val="0"/>
        <w:spacing w:before="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w:t>
        <w:tab/>
        <w:t>主要资产重大变化情况</w:t>
      </w:r>
      <w:bookmarkEnd w:id="65"/>
      <w:bookmarkEnd w:id="66"/>
      <w:bookmarkEnd w:id="68"/>
    </w:p>
    <w:p>
      <w:pPr>
        <w:pStyle w:val="Style32"/>
        <w:keepNext/>
        <w:keepLines/>
        <w:widowControl w:val="0"/>
        <w:shd w:val="clear" w:color="auto" w:fill="auto"/>
        <w:bidi w:val="0"/>
        <w:spacing w:before="0" w:after="320" w:line="240" w:lineRule="auto"/>
        <w:ind w:left="0" w:right="0" w:firstLine="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bl>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报告期末，固定资产比年初增加</w:t>
            </w:r>
            <w:r>
              <w:rPr>
                <w:color w:val="000000"/>
                <w:spacing w:val="0"/>
                <w:w w:val="100"/>
                <w:position w:val="0"/>
              </w:rPr>
              <w:t>76.34%</w:t>
            </w:r>
            <w:r>
              <w:rPr>
                <w:rFonts w:ascii="SimSun" w:eastAsia="SimSun" w:hAnsi="SimSun" w:cs="SimSun"/>
                <w:color w:val="000000"/>
                <w:spacing w:val="0"/>
                <w:w w:val="100"/>
                <w:position w:val="0"/>
              </w:rPr>
              <w:t>,主要是因为全资子公司智能系统和润芯 购买办公楼及办公楼装修达到可使用状态转固所致。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报告期末，无形资产比年初减少</w:t>
            </w:r>
            <w:r>
              <w:rPr>
                <w:color w:val="000000"/>
                <w:spacing w:val="0"/>
                <w:w w:val="100"/>
                <w:position w:val="0"/>
              </w:rPr>
              <w:t>61.34%</w:t>
            </w:r>
            <w:r>
              <w:rPr>
                <w:rFonts w:ascii="SimSun" w:eastAsia="SimSun" w:hAnsi="SimSun" w:cs="SimSun"/>
                <w:color w:val="000000"/>
                <w:spacing w:val="0"/>
                <w:w w:val="100"/>
                <w:position w:val="0"/>
              </w:rPr>
              <w:t>，主要是因为收购子公司一卡易形成的无 形资产发生减值所致。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报告期末，在建工程比年初减少</w:t>
            </w:r>
            <w:r>
              <w:rPr>
                <w:color w:val="000000"/>
                <w:spacing w:val="0"/>
                <w:w w:val="100"/>
                <w:position w:val="0"/>
              </w:rPr>
              <w:t>83.40%</w:t>
            </w:r>
            <w:r>
              <w:rPr>
                <w:rFonts w:ascii="SimSun" w:eastAsia="SimSun" w:hAnsi="SimSun" w:cs="SimSun"/>
                <w:color w:val="000000"/>
                <w:spacing w:val="0"/>
                <w:w w:val="100"/>
                <w:position w:val="0"/>
              </w:rPr>
              <w:t>，主要是因为子公司智能系统和润芯购买 办公楼及办公楼装修达到可使用状态转固所致。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报告期末，公司交易性金融资产比年初增加</w:t>
            </w:r>
            <w:r>
              <w:rPr>
                <w:color w:val="000000"/>
                <w:spacing w:val="0"/>
                <w:w w:val="100"/>
                <w:position w:val="0"/>
              </w:rPr>
              <w:t>127.82%</w:t>
            </w:r>
            <w:r>
              <w:rPr>
                <w:rFonts w:ascii="SimSun" w:eastAsia="SimSun" w:hAnsi="SimSun" w:cs="SimSun"/>
                <w:color w:val="000000"/>
                <w:spacing w:val="0"/>
                <w:w w:val="100"/>
                <w:position w:val="0"/>
              </w:rPr>
              <w:t>，主要是因为报告期末公司 持有理财产品金额比年初增加所致。</w:t>
            </w:r>
          </w:p>
        </w:tc>
      </w:tr>
    </w:tbl>
    <w:p>
      <w:pPr>
        <w:widowControl w:val="0"/>
        <w:spacing w:after="299" w:line="1" w:lineRule="exact"/>
      </w:pPr>
    </w:p>
    <w:p>
      <w:pPr>
        <w:pStyle w:val="Style32"/>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作为中国数据安全领域的领军企业，公司</w:t>
      </w:r>
      <w:r>
        <w:rPr>
          <w:color w:val="252525"/>
          <w:spacing w:val="0"/>
          <w:w w:val="100"/>
          <w:position w:val="0"/>
        </w:rPr>
        <w:t>致力于为银行、通信、政府公共服务部门、防务、交通等领域提供数据安全、 身份认证、智能模组、平台服务、大数据和区块链技术解决方案等，从安全设备到支付安全、身份与隐私保护、移动支付解 决方案、云认证访问服务及物联网等，公司以雄厚的技术实力和多年在数字安全领域独特的经验助力客户为数十亿用户设备 提供安全数据服务。</w:t>
      </w:r>
      <w:r>
        <w:rPr>
          <w:color w:val="000000"/>
          <w:spacing w:val="0"/>
          <w:w w:val="100"/>
          <w:position w:val="0"/>
        </w:rPr>
        <w:t>随着公司战略升级，为客户提供更加安全化和智能化的连接服务解决方案目标的确立，公司不断提升核 心竞争力和综合运营能力，加快资源整合速度，在新产品研发能力、运营管理水平、市场拓展等方面成为行业领导者。</w:t>
      </w:r>
    </w:p>
    <w:p>
      <w:pPr>
        <w:pStyle w:val="Style29"/>
        <w:keepNext w:val="0"/>
        <w:keepLines w:val="0"/>
        <w:widowControl w:val="0"/>
        <w:shd w:val="clear" w:color="auto" w:fill="auto"/>
        <w:tabs>
          <w:tab w:pos="721" w:val="left"/>
        </w:tabs>
        <w:bidi w:val="0"/>
        <w:spacing w:before="0" w:line="312" w:lineRule="exact"/>
        <w:ind w:left="0" w:right="0" w:firstLine="440"/>
        <w:jc w:val="left"/>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技术优势。公司是国家火炬重点高新技术企业、国家规划布局内重点软件企业、国家高新技术企业和</w:t>
      </w:r>
      <w:r>
        <w:rPr>
          <w:rFonts w:ascii="Times New Roman" w:eastAsia="Times New Roman" w:hAnsi="Times New Roman" w:cs="Times New Roman"/>
          <w:color w:val="000000"/>
          <w:spacing w:val="0"/>
          <w:w w:val="100"/>
          <w:position w:val="0"/>
        </w:rPr>
        <w:t>“</w:t>
      </w:r>
      <w:r>
        <w:rPr>
          <w:color w:val="000000"/>
          <w:spacing w:val="0"/>
          <w:w w:val="100"/>
          <w:position w:val="0"/>
        </w:rPr>
        <w:t>双软</w:t>
      </w:r>
      <w:r>
        <w:rPr>
          <w:rFonts w:ascii="Times New Roman" w:eastAsia="Times New Roman" w:hAnsi="Times New Roman" w:cs="Times New Roman"/>
          <w:color w:val="000000"/>
          <w:spacing w:val="0"/>
          <w:w w:val="100"/>
          <w:position w:val="0"/>
        </w:rPr>
        <w:t>”</w:t>
      </w:r>
      <w:r>
        <w:rPr>
          <w:color w:val="000000"/>
          <w:spacing w:val="0"/>
          <w:w w:val="100"/>
          <w:position w:val="0"/>
        </w:rPr>
        <w:t>认证的 企业、也是江苏省智能卡工程技术研究开发中心。公司以智能卡、安全终端、移动支付及系统整体解决方案为主要技术方向， 不断探索新产品市场。报告期内公司继续加大移动支付、安全终端、平台产品等研发投入。</w:t>
      </w:r>
    </w:p>
    <w:p>
      <w:pPr>
        <w:pStyle w:val="Style29"/>
        <w:keepNext w:val="0"/>
        <w:keepLines w:val="0"/>
        <w:widowControl w:val="0"/>
        <w:shd w:val="clear" w:color="auto" w:fill="auto"/>
        <w:tabs>
          <w:tab w:pos="721" w:val="left"/>
        </w:tabs>
        <w:bidi w:val="0"/>
        <w:spacing w:before="0" w:line="317" w:lineRule="exact"/>
        <w:ind w:left="0" w:right="0" w:firstLine="440"/>
        <w:jc w:val="left"/>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规模优势。公司经过智能卡产业多年发展，产品线齐全、产能领先，拥有丰富的制造和供应链优势，有助于公司更 好地降低成本，并且在更大的范围内调控资源，提供产品市场竞争能力。</w:t>
      </w:r>
    </w:p>
    <w:p>
      <w:pPr>
        <w:pStyle w:val="Style29"/>
        <w:keepNext w:val="0"/>
        <w:keepLines w:val="0"/>
        <w:widowControl w:val="0"/>
        <w:shd w:val="clear" w:color="auto" w:fill="auto"/>
        <w:tabs>
          <w:tab w:pos="730" w:val="left"/>
        </w:tabs>
        <w:bidi w:val="0"/>
        <w:spacing w:before="0" w:line="314" w:lineRule="exact"/>
        <w:ind w:left="0" w:right="0" w:firstLine="440"/>
        <w:jc w:val="left"/>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行业优势。公司凭借突出的市场能力、技术能力和服务能力，是三大通信运营商、各大商业银行、住建部、交通部、 卫生部、国税总局、铁路公司等重要客户相关产品的主要供应商。公司是目前国内智能卡行业中拥有各种资质最多的企业之 一，这些资质是智能卡企业进入重要细分市场的必要条件。</w:t>
      </w:r>
    </w:p>
    <w:p>
      <w:pPr>
        <w:pStyle w:val="Style29"/>
        <w:keepNext w:val="0"/>
        <w:keepLines w:val="0"/>
        <w:widowControl w:val="0"/>
        <w:shd w:val="clear" w:color="auto" w:fill="auto"/>
        <w:tabs>
          <w:tab w:pos="721" w:val="left"/>
        </w:tabs>
        <w:bidi w:val="0"/>
        <w:spacing w:before="0" w:line="322" w:lineRule="exact"/>
        <w:ind w:left="0" w:right="0" w:firstLine="440"/>
        <w:jc w:val="left"/>
      </w:pPr>
      <w:bookmarkStart w:id="84" w:name="bookmark84"/>
      <w:r>
        <w:rPr>
          <w:rFonts w:ascii="Times New Roman" w:eastAsia="Times New Roman" w:hAnsi="Times New Roman" w:cs="Times New Roman"/>
          <w:color w:val="000000"/>
          <w:spacing w:val="0"/>
          <w:w w:val="100"/>
          <w:position w:val="0"/>
        </w:rPr>
        <w:t>4</w:t>
      </w:r>
      <w:bookmarkEnd w:id="84"/>
      <w:r>
        <w:rPr>
          <w:color w:val="000000"/>
          <w:spacing w:val="0"/>
          <w:w w:val="100"/>
          <w:position w:val="0"/>
        </w:rPr>
        <w:t>、</w:t>
        <w:tab/>
        <w:t>产品结构优势。公司的业务覆盖通信、金融支付、政府公共服务部门三大应用领域，产品覆盖智能卡、安全终端和 移动支付及系统平台解决方案、运营服务，产品结构丰富，打通三端形成闭环。</w:t>
      </w:r>
    </w:p>
    <w:p>
      <w:pPr>
        <w:pStyle w:val="Style29"/>
        <w:keepNext w:val="0"/>
        <w:keepLines w:val="0"/>
        <w:widowControl w:val="0"/>
        <w:shd w:val="clear" w:color="auto" w:fill="auto"/>
        <w:tabs>
          <w:tab w:pos="730" w:val="left"/>
        </w:tabs>
        <w:bidi w:val="0"/>
        <w:spacing w:before="0" w:line="317" w:lineRule="exact"/>
        <w:ind w:left="0" w:right="0" w:firstLine="440"/>
        <w:jc w:val="left"/>
      </w:pPr>
      <w:bookmarkStart w:id="85" w:name="bookmark85"/>
      <w:r>
        <w:rPr>
          <w:rFonts w:ascii="Times New Roman" w:eastAsia="Times New Roman" w:hAnsi="Times New Roman" w:cs="Times New Roman"/>
          <w:color w:val="000000"/>
          <w:spacing w:val="0"/>
          <w:w w:val="100"/>
          <w:position w:val="0"/>
        </w:rPr>
        <w:t>5</w:t>
      </w:r>
      <w:bookmarkEnd w:id="85"/>
      <w:r>
        <w:rPr>
          <w:color w:val="000000"/>
          <w:spacing w:val="0"/>
          <w:w w:val="100"/>
          <w:position w:val="0"/>
        </w:rPr>
        <w:t>、</w:t>
        <w:tab/>
        <w:t>管理优势。经过多年的发展实践，公司已拥有较完善的法人治理结构和良好的现代化企业运营机制。公司通过建立 健全内部控制，持续不断的深化内部管理提升机制，使得公司应变能力和抗风险能力不断加强。</w:t>
      </w:r>
    </w:p>
    <w:p>
      <w:pPr>
        <w:pStyle w:val="Style29"/>
        <w:keepNext w:val="0"/>
        <w:keepLines w:val="0"/>
        <w:widowControl w:val="0"/>
        <w:shd w:val="clear" w:color="auto" w:fill="auto"/>
        <w:tabs>
          <w:tab w:pos="725" w:val="left"/>
        </w:tabs>
        <w:bidi w:val="0"/>
        <w:spacing w:before="0" w:line="319" w:lineRule="exact"/>
        <w:ind w:left="0" w:right="0" w:firstLine="440"/>
        <w:jc w:val="left"/>
      </w:pPr>
      <w:bookmarkStart w:id="86" w:name="bookmark86"/>
      <w:r>
        <w:rPr>
          <w:rFonts w:ascii="Times New Roman" w:eastAsia="Times New Roman" w:hAnsi="Times New Roman" w:cs="Times New Roman"/>
          <w:color w:val="000000"/>
          <w:spacing w:val="0"/>
          <w:w w:val="100"/>
          <w:position w:val="0"/>
        </w:rPr>
        <w:t>6</w:t>
      </w:r>
      <w:bookmarkEnd w:id="86"/>
      <w:r>
        <w:rPr>
          <w:color w:val="000000"/>
          <w:spacing w:val="0"/>
          <w:w w:val="100"/>
          <w:position w:val="0"/>
        </w:rPr>
        <w:t>、</w:t>
        <w:tab/>
        <w:t>国际市场业务优势。公司于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月和</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月在新加坡、肯尼亚和印度尼西亚分别设立了恒宝国 际有限责任公司和恒宝（中东非洲）有限责任公司和</w:t>
      </w:r>
      <w:r>
        <w:rPr>
          <w:rFonts w:ascii="Times New Roman" w:eastAsia="Times New Roman" w:hAnsi="Times New Roman" w:cs="Times New Roman"/>
          <w:color w:val="000000"/>
          <w:spacing w:val="0"/>
          <w:w w:val="100"/>
          <w:position w:val="0"/>
        </w:rPr>
        <w:t>“PT.Chipstone Technologies Indonesia”</w:t>
      </w:r>
      <w:r>
        <w:rPr>
          <w:color w:val="000000"/>
          <w:spacing w:val="0"/>
          <w:w w:val="100"/>
          <w:position w:val="0"/>
        </w:rPr>
        <w:t>，</w:t>
      </w:r>
      <w:r>
        <w:rPr>
          <w:color w:val="000000"/>
          <w:spacing w:val="0"/>
          <w:w w:val="100"/>
          <w:position w:val="0"/>
        </w:rPr>
        <w:t>未来公司将继续加强海外市场的 开发力度，将海外市场的发展拓展成公司新的利润增长空间。</w:t>
      </w:r>
    </w:p>
    <w:p>
      <w:pPr>
        <w:pStyle w:val="Style14"/>
        <w:keepNext/>
        <w:keepLines/>
        <w:widowControl w:val="0"/>
        <w:shd w:val="clear" w:color="auto" w:fill="auto"/>
        <w:bidi w:val="0"/>
        <w:spacing w:before="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5"/>
        <w:keepNext/>
        <w:keepLines/>
        <w:widowControl w:val="0"/>
        <w:shd w:val="clear" w:color="auto" w:fill="auto"/>
        <w:tabs>
          <w:tab w:pos="480" w:val="left"/>
        </w:tabs>
        <w:bidi w:val="0"/>
        <w:spacing w:before="0" w:after="26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一</w:t>
      </w:r>
      <w:bookmarkEnd w:id="92"/>
      <w:r>
        <w:rPr>
          <w:color w:val="000000"/>
          <w:spacing w:val="0"/>
          <w:w w:val="100"/>
          <w:position w:val="0"/>
          <w:sz w:val="24"/>
          <w:szCs w:val="24"/>
        </w:rPr>
        <w:t>、</w:t>
        <w:tab/>
        <w:t>概述</w:t>
      </w:r>
      <w:bookmarkEnd w:id="90"/>
      <w:bookmarkEnd w:id="91"/>
      <w:bookmarkEnd w:id="93"/>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105,216.37</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31.48%</w:t>
      </w:r>
      <w:r>
        <w:rPr>
          <w:color w:val="000000"/>
          <w:spacing w:val="0"/>
          <w:w w:val="100"/>
          <w:position w:val="0"/>
        </w:rPr>
        <w:t>，主要是因为报告期内公司特种通信物联网业务 采用净额法确认；归属于上市公司股东的净利润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72.44</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98.01%</w:t>
      </w:r>
      <w:r>
        <w:rPr>
          <w:color w:val="000000"/>
          <w:spacing w:val="0"/>
          <w:w w:val="100"/>
          <w:position w:val="0"/>
        </w:rPr>
        <w:t>；主要是因为报告期内，公司合并报 表范围内子公司一卡易经营业绩持续下滑，同时鉴于公司已无法控制一卡易的财务和经营决策，无法正常行使股东权利并实 质实施控制的事实影响，经公司委托北京北方亚事资产评估事务所（特殊普通合伙）评估，公司对合并一卡易形成的商誉与 无形资产共计提</w:t>
      </w:r>
      <w:r>
        <w:rPr>
          <w:rFonts w:ascii="Times New Roman" w:eastAsia="Times New Roman" w:hAnsi="Times New Roman" w:cs="Times New Roman"/>
          <w:color w:val="000000"/>
          <w:spacing w:val="0"/>
          <w:w w:val="100"/>
          <w:position w:val="0"/>
        </w:rPr>
        <w:t>10,871.28</w:t>
      </w:r>
      <w:r>
        <w:rPr>
          <w:color w:val="000000"/>
          <w:spacing w:val="0"/>
          <w:w w:val="100"/>
          <w:position w:val="0"/>
        </w:rPr>
        <w:t>万元资产减值损失，相应减少公司</w:t>
      </w:r>
      <w:r>
        <w:rPr>
          <w:color w:val="000000"/>
          <w:spacing w:val="0"/>
          <w:w w:val="100"/>
          <w:position w:val="0"/>
          <w:sz w:val="18"/>
          <w:szCs w:val="18"/>
        </w:rPr>
        <w:t>2020</w:t>
      </w:r>
      <w:r>
        <w:rPr>
          <w:color w:val="000000"/>
          <w:spacing w:val="0"/>
          <w:w w:val="100"/>
          <w:position w:val="0"/>
        </w:rPr>
        <w:t>年度利润。</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报告期内，面对持续复杂的内外部形势及市场环境，公司始终秉承</w:t>
      </w:r>
      <w:r>
        <w:rPr>
          <w:rFonts w:ascii="Times New Roman" w:eastAsia="Times New Roman" w:hAnsi="Times New Roman" w:cs="Times New Roman"/>
          <w:color w:val="000000"/>
          <w:spacing w:val="0"/>
          <w:w w:val="100"/>
          <w:position w:val="0"/>
        </w:rPr>
        <w:t>“</w:t>
      </w:r>
      <w:r>
        <w:rPr>
          <w:color w:val="000000"/>
          <w:spacing w:val="0"/>
          <w:w w:val="100"/>
          <w:position w:val="0"/>
        </w:rPr>
        <w:t>开放创新、成就客户、质量为本、持续发展、尊重 员工</w:t>
      </w:r>
      <w:r>
        <w:rPr>
          <w:rFonts w:ascii="Times New Roman" w:eastAsia="Times New Roman" w:hAnsi="Times New Roman" w:cs="Times New Roman"/>
          <w:color w:val="000000"/>
          <w:spacing w:val="0"/>
          <w:w w:val="100"/>
          <w:position w:val="0"/>
        </w:rPr>
        <w:t>”</w:t>
      </w:r>
      <w:r>
        <w:rPr>
          <w:color w:val="000000"/>
          <w:spacing w:val="0"/>
          <w:w w:val="100"/>
          <w:position w:val="0"/>
        </w:rPr>
        <w:t>的核心价值观，通过持续提升供应链与管理协同效益、优化产品销售结构，维持公司智能卡产品的利润水平；加强产 品质量控制，优化产品性能，提升服务质量，进一步提高客户满意度；不断调整市场策略，拓展新业务，优化产品结构积极 应当对国内智能卡行业景气度下降的不利局面，保证公司健康稳定发展。</w:t>
      </w:r>
    </w:p>
    <w:p>
      <w:pPr>
        <w:pStyle w:val="Style29"/>
        <w:keepNext w:val="0"/>
        <w:keepLines w:val="0"/>
        <w:widowControl w:val="0"/>
        <w:shd w:val="clear" w:color="auto" w:fill="auto"/>
        <w:tabs>
          <w:tab w:pos="858" w:val="left"/>
        </w:tabs>
        <w:bidi w:val="0"/>
        <w:spacing w:before="0" w:after="0" w:line="311" w:lineRule="exact"/>
        <w:ind w:left="0" w:right="0" w:firstLine="380"/>
        <w:jc w:val="both"/>
      </w:pPr>
      <w:bookmarkStart w:id="94" w:name="bookmark94"/>
      <w:r>
        <w:rPr>
          <w:color w:val="000000"/>
          <w:spacing w:val="0"/>
          <w:w w:val="100"/>
          <w:position w:val="0"/>
        </w:rPr>
        <w:t>（</w:t>
      </w:r>
      <w:bookmarkEnd w:id="94"/>
      <w:r>
        <w:rPr>
          <w:color w:val="000000"/>
          <w:spacing w:val="0"/>
          <w:w w:val="100"/>
          <w:position w:val="0"/>
        </w:rPr>
        <w:t>一）</w:t>
        <w:tab/>
        <w:t>业务发展概况</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金融业务方面，公司继续保持与各大金融机构良好合作，各项集采项目执行情况良好。报告期内持续推进芯片国产化开 发工作与导入工作，整合供应链上下游，持续推进产品设计及工艺水平，进一步挖掘产品差异化价值，并在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ICMA</w:t>
      </w:r>
      <w:r>
        <w:rPr>
          <w:color w:val="000000"/>
          <w:spacing w:val="0"/>
          <w:w w:val="100"/>
          <w:position w:val="0"/>
        </w:rPr>
        <w:t>年度 设计大赛中，斩获</w:t>
      </w:r>
      <w:r>
        <w:rPr>
          <w:color w:val="000000"/>
          <w:spacing w:val="0"/>
          <w:w w:val="100"/>
          <w:position w:val="0"/>
          <w:sz w:val="18"/>
          <w:szCs w:val="18"/>
        </w:rPr>
        <w:t>ID and Access Control Cards</w:t>
      </w:r>
      <w:r>
        <w:rPr>
          <w:color w:val="000000"/>
          <w:spacing w:val="0"/>
          <w:w w:val="100"/>
          <w:position w:val="0"/>
        </w:rPr>
        <w:t xml:space="preserve">类 </w:t>
      </w:r>
      <w:r>
        <w:rPr>
          <w:color w:val="000000"/>
          <w:spacing w:val="0"/>
          <w:w w:val="100"/>
          <w:position w:val="0"/>
          <w:sz w:val="18"/>
          <w:szCs w:val="18"/>
        </w:rPr>
        <w:t>Finalist</w:t>
      </w:r>
      <w:r>
        <w:rPr>
          <w:color w:val="000000"/>
          <w:spacing w:val="0"/>
          <w:w w:val="100"/>
          <w:position w:val="0"/>
        </w:rPr>
        <w:t>大奖；报告期内，获得美国运通生产企业资质及双应用国 密算法产品资质、万事达国密算法双应用产品资质，公司自助制卡设备获得</w:t>
      </w:r>
      <w:r>
        <w:rPr>
          <w:color w:val="000000"/>
          <w:spacing w:val="0"/>
          <w:w w:val="100"/>
          <w:position w:val="0"/>
          <w:sz w:val="18"/>
          <w:szCs w:val="18"/>
        </w:rPr>
        <w:t>3C</w:t>
      </w:r>
      <w:r>
        <w:rPr>
          <w:color w:val="000000"/>
          <w:spacing w:val="0"/>
          <w:w w:val="100"/>
          <w:position w:val="0"/>
        </w:rPr>
        <w:t>资质、刷脸终端产品通过</w:t>
      </w:r>
      <w:r>
        <w:rPr>
          <w:color w:val="000000"/>
          <w:spacing w:val="0"/>
          <w:w w:val="100"/>
          <w:position w:val="0"/>
          <w:sz w:val="18"/>
          <w:szCs w:val="18"/>
        </w:rPr>
        <w:t>BCTC</w:t>
      </w:r>
      <w:r>
        <w:rPr>
          <w:color w:val="000000"/>
          <w:spacing w:val="0"/>
          <w:w w:val="100"/>
          <w:position w:val="0"/>
        </w:rPr>
        <w:t>人脸识别技术（终 端安全）检测。</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通信及物联网业务方面，公司继续保持三大运营商集采市场份额，同时积极把握数字化安全机遇，通过在身份识别与信 息安全方面积累的核心技术能力，加大数字身份及安全业务开发力度，推进</w:t>
      </w:r>
      <w:r>
        <w:rPr>
          <w:color w:val="000000"/>
          <w:spacing w:val="0"/>
          <w:w w:val="100"/>
          <w:position w:val="0"/>
          <w:sz w:val="18"/>
          <w:szCs w:val="18"/>
        </w:rPr>
        <w:t>eSIM</w:t>
      </w:r>
      <w:r>
        <w:rPr>
          <w:color w:val="000000"/>
          <w:spacing w:val="0"/>
          <w:w w:val="100"/>
          <w:position w:val="0"/>
        </w:rPr>
        <w:t>整体解决方案，物联网整体解决方案在相关 领域落地实施。</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政务市场领域，公司持续挖掘二代社保卡存量市场，开拓三代社保卡增量市场，保持社保卡市场优势地位，并积极跟进 残联、交通等其他领域智能卡的发展；同时公司继续深挖客户需求，积极推进系统平台业务发展，结合客户需求，提供端到 端整体解决方案。</w:t>
      </w:r>
    </w:p>
    <w:p>
      <w:pPr>
        <w:pStyle w:val="Style29"/>
        <w:keepNext w:val="0"/>
        <w:keepLines w:val="0"/>
        <w:widowControl w:val="0"/>
        <w:shd w:val="clear" w:color="auto" w:fill="auto"/>
        <w:tabs>
          <w:tab w:pos="858" w:val="left"/>
        </w:tabs>
        <w:bidi w:val="0"/>
        <w:spacing w:before="0" w:after="0" w:line="311" w:lineRule="exact"/>
        <w:ind w:left="0" w:right="0" w:firstLine="380"/>
        <w:jc w:val="both"/>
      </w:pPr>
      <w:bookmarkStart w:id="95" w:name="bookmark95"/>
      <w:r>
        <w:rPr>
          <w:color w:val="000000"/>
          <w:spacing w:val="0"/>
          <w:w w:val="100"/>
          <w:position w:val="0"/>
        </w:rPr>
        <w:t>（</w:t>
      </w:r>
      <w:bookmarkEnd w:id="95"/>
      <w:r>
        <w:rPr>
          <w:color w:val="000000"/>
          <w:spacing w:val="0"/>
          <w:w w:val="100"/>
          <w:position w:val="0"/>
        </w:rPr>
        <w:t>二）</w:t>
        <w:tab/>
        <w:t>知识产权建设及项目建设情况</w:t>
      </w:r>
    </w:p>
    <w:p>
      <w:pPr>
        <w:pStyle w:val="Style29"/>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报告期内，公司积极推进产学研合作，与高校联合联合开展产品和研发合作，进一步提升公司整体研发实力。报告期内 公司成功申报江苏省科技成果转化项目（面向互联网安全支付的有源可视蓝牙智能卡研发及产业化）、江苏省战略新兴产业 标准化试点项目，江苏省制造业和现代服务业深度融合试点项目（恒宝股份有限公司个性化定制与应用服务融合试点）、国 家商务部国际服务外包业务</w:t>
      </w:r>
      <w:r>
        <w:rPr>
          <w:color w:val="000000"/>
          <w:spacing w:val="0"/>
          <w:w w:val="100"/>
          <w:position w:val="0"/>
        </w:rPr>
        <w:t>一</w:t>
      </w:r>
      <w:r>
        <w:rPr>
          <w:color w:val="000000"/>
          <w:spacing w:val="0"/>
          <w:w w:val="100"/>
          <w:position w:val="0"/>
        </w:rPr>
        <w:t>国际（离岸）接包中心和研发中心项目、江苏省政策引导类计划海外研发机构项目等；截至</w:t>
      </w:r>
      <w:r>
        <w:rPr>
          <w:color w:val="000000"/>
          <w:spacing w:val="0"/>
          <w:w w:val="100"/>
          <w:position w:val="0"/>
          <w:sz w:val="18"/>
          <w:szCs w:val="18"/>
        </w:rPr>
        <w:t xml:space="preserve">2020 </w:t>
      </w:r>
      <w:r>
        <w:rPr>
          <w:color w:val="000000"/>
          <w:spacing w:val="0"/>
          <w:w w:val="100"/>
          <w:position w:val="0"/>
        </w:rPr>
        <w:t>年末，公司及子公司总计持有专利</w:t>
      </w:r>
      <w:r>
        <w:rPr>
          <w:rFonts w:ascii="Times New Roman" w:eastAsia="Times New Roman" w:hAnsi="Times New Roman" w:cs="Times New Roman"/>
          <w:color w:val="000000"/>
          <w:spacing w:val="0"/>
          <w:w w:val="100"/>
          <w:position w:val="0"/>
        </w:rPr>
        <w:t>432</w:t>
      </w:r>
      <w:r>
        <w:rPr>
          <w:color w:val="000000"/>
          <w:spacing w:val="0"/>
          <w:w w:val="100"/>
          <w:position w:val="0"/>
        </w:rPr>
        <w:t>件，其中有效的授权专利</w:t>
      </w:r>
      <w:r>
        <w:rPr>
          <w:rFonts w:ascii="Times New Roman" w:eastAsia="Times New Roman" w:hAnsi="Times New Roman" w:cs="Times New Roman"/>
          <w:color w:val="000000"/>
          <w:spacing w:val="0"/>
          <w:w w:val="100"/>
          <w:position w:val="0"/>
        </w:rPr>
        <w:t>209</w:t>
      </w:r>
      <w:r>
        <w:rPr>
          <w:color w:val="000000"/>
          <w:spacing w:val="0"/>
          <w:w w:val="100"/>
          <w:position w:val="0"/>
        </w:rPr>
        <w:t>件，申请中专利</w:t>
      </w:r>
      <w:r>
        <w:rPr>
          <w:rFonts w:ascii="Times New Roman" w:eastAsia="Times New Roman" w:hAnsi="Times New Roman" w:cs="Times New Roman"/>
          <w:color w:val="000000"/>
          <w:spacing w:val="0"/>
          <w:w w:val="100"/>
          <w:position w:val="0"/>
        </w:rPr>
        <w:t>223</w:t>
      </w:r>
      <w:r>
        <w:rPr>
          <w:color w:val="000000"/>
          <w:spacing w:val="0"/>
          <w:w w:val="100"/>
          <w:position w:val="0"/>
        </w:rPr>
        <w:t>件，发明专利占比</w:t>
      </w:r>
      <w:r>
        <w:rPr>
          <w:rFonts w:ascii="Times New Roman" w:eastAsia="Times New Roman" w:hAnsi="Times New Roman" w:cs="Times New Roman"/>
          <w:color w:val="000000"/>
          <w:spacing w:val="0"/>
          <w:w w:val="100"/>
          <w:position w:val="0"/>
        </w:rPr>
        <w:t>76%</w:t>
      </w:r>
      <w:r>
        <w:rPr>
          <w:color w:val="000000"/>
          <w:spacing w:val="0"/>
          <w:w w:val="100"/>
          <w:position w:val="0"/>
        </w:rPr>
        <w:t>；注册商标</w:t>
      </w:r>
      <w:r>
        <w:rPr>
          <w:rFonts w:ascii="Times New Roman" w:eastAsia="Times New Roman" w:hAnsi="Times New Roman" w:cs="Times New Roman"/>
          <w:color w:val="000000"/>
          <w:spacing w:val="0"/>
          <w:w w:val="100"/>
          <w:position w:val="0"/>
        </w:rPr>
        <w:t xml:space="preserve">30 </w:t>
      </w:r>
      <w:r>
        <w:rPr>
          <w:color w:val="000000"/>
          <w:spacing w:val="0"/>
          <w:w w:val="100"/>
          <w:position w:val="0"/>
        </w:rPr>
        <w:t>件；持有软件著作权</w:t>
      </w:r>
      <w:r>
        <w:rPr>
          <w:rFonts w:ascii="Times New Roman" w:eastAsia="Times New Roman" w:hAnsi="Times New Roman" w:cs="Times New Roman"/>
          <w:color w:val="000000"/>
          <w:spacing w:val="0"/>
          <w:w w:val="100"/>
          <w:position w:val="0"/>
        </w:rPr>
        <w:t>312</w:t>
      </w:r>
      <w:r>
        <w:rPr>
          <w:color w:val="000000"/>
          <w:spacing w:val="0"/>
          <w:w w:val="100"/>
          <w:position w:val="0"/>
        </w:rPr>
        <w:t>件。其中，</w:t>
      </w:r>
      <w:r>
        <w:rPr>
          <w:rFonts w:ascii="Times New Roman" w:eastAsia="Times New Roman" w:hAnsi="Times New Roman" w:cs="Times New Roman"/>
          <w:color w:val="000000"/>
          <w:spacing w:val="0"/>
          <w:w w:val="100"/>
          <w:position w:val="0"/>
        </w:rPr>
        <w:t>2020</w:t>
      </w:r>
      <w:r>
        <w:rPr>
          <w:color w:val="000000"/>
          <w:spacing w:val="0"/>
          <w:w w:val="100"/>
          <w:position w:val="0"/>
        </w:rPr>
        <w:t>年全年新增专利申请</w:t>
      </w:r>
      <w:r>
        <w:rPr>
          <w:rFonts w:ascii="Times New Roman" w:eastAsia="Times New Roman" w:hAnsi="Times New Roman" w:cs="Times New Roman"/>
          <w:color w:val="000000"/>
          <w:spacing w:val="0"/>
          <w:w w:val="100"/>
          <w:position w:val="0"/>
        </w:rPr>
        <w:t>70</w:t>
      </w:r>
      <w:r>
        <w:rPr>
          <w:color w:val="000000"/>
          <w:spacing w:val="0"/>
          <w:w w:val="100"/>
          <w:position w:val="0"/>
        </w:rPr>
        <w:t>件，新增授权专利</w:t>
      </w:r>
      <w:r>
        <w:rPr>
          <w:rFonts w:ascii="Times New Roman" w:eastAsia="Times New Roman" w:hAnsi="Times New Roman" w:cs="Times New Roman"/>
          <w:color w:val="000000"/>
          <w:spacing w:val="0"/>
          <w:w w:val="100"/>
          <w:position w:val="0"/>
        </w:rPr>
        <w:t>62</w:t>
      </w:r>
      <w:r>
        <w:rPr>
          <w:color w:val="000000"/>
          <w:spacing w:val="0"/>
          <w:w w:val="100"/>
          <w:position w:val="0"/>
        </w:rPr>
        <w:t>件，新增注册商标</w:t>
      </w:r>
      <w:r>
        <w:rPr>
          <w:rFonts w:ascii="Times New Roman" w:eastAsia="Times New Roman" w:hAnsi="Times New Roman" w:cs="Times New Roman"/>
          <w:color w:val="000000"/>
          <w:spacing w:val="0"/>
          <w:w w:val="100"/>
          <w:position w:val="0"/>
        </w:rPr>
        <w:t>2</w:t>
      </w:r>
      <w:r>
        <w:rPr>
          <w:color w:val="000000"/>
          <w:spacing w:val="0"/>
          <w:w w:val="100"/>
          <w:position w:val="0"/>
        </w:rPr>
        <w:t xml:space="preserve">件，新增软件著作权 </w:t>
      </w:r>
      <w:r>
        <w:rPr>
          <w:rFonts w:ascii="Times New Roman" w:eastAsia="Times New Roman" w:hAnsi="Times New Roman" w:cs="Times New Roman"/>
          <w:color w:val="000000"/>
          <w:spacing w:val="0"/>
          <w:w w:val="100"/>
          <w:position w:val="0"/>
        </w:rPr>
        <w:t>27</w:t>
      </w:r>
      <w:r>
        <w:rPr>
          <w:color w:val="000000"/>
          <w:spacing w:val="0"/>
          <w:w w:val="100"/>
          <w:position w:val="0"/>
        </w:rPr>
        <w:t>件。</w:t>
      </w:r>
    </w:p>
    <w:p>
      <w:pPr>
        <w:pStyle w:val="Style25"/>
        <w:keepNext/>
        <w:keepLines/>
        <w:widowControl w:val="0"/>
        <w:shd w:val="clear" w:color="auto" w:fill="auto"/>
        <w:tabs>
          <w:tab w:pos="480" w:val="left"/>
        </w:tabs>
        <w:bidi w:val="0"/>
        <w:spacing w:before="0" w:after="34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w:t>
        <w:tab/>
        <w:t>主营业务分析</w:t>
      </w:r>
      <w:bookmarkEnd w:id="96"/>
      <w:bookmarkEnd w:id="97"/>
      <w:bookmarkEnd w:id="99"/>
    </w:p>
    <w:p>
      <w:pPr>
        <w:pStyle w:val="Style32"/>
        <w:keepNext/>
        <w:keepLines/>
        <w:widowControl w:val="0"/>
        <w:shd w:val="clear" w:color="auto" w:fill="auto"/>
        <w:bidi w:val="0"/>
        <w:spacing w:before="0" w:after="26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、概述</w:t>
      </w:r>
      <w:bookmarkEnd w:id="100"/>
      <w:bookmarkEnd w:id="101"/>
      <w:bookmarkEnd w:id="103"/>
    </w:p>
    <w:p>
      <w:pPr>
        <w:pStyle w:val="Style29"/>
        <w:keepNext w:val="0"/>
        <w:keepLines w:val="0"/>
        <w:widowControl w:val="0"/>
        <w:shd w:val="clear" w:color="auto" w:fill="auto"/>
        <w:bidi w:val="0"/>
        <w:spacing w:before="0" w:after="260" w:line="311" w:lineRule="exact"/>
        <w:ind w:left="0" w:right="0" w:firstLine="380"/>
        <w:jc w:val="left"/>
      </w:pPr>
      <w:r>
        <w:rPr>
          <w:color w:val="000000"/>
          <w:spacing w:val="0"/>
          <w:w w:val="100"/>
          <w:position w:val="0"/>
        </w:rPr>
        <w:t>参见“经营情况讨论与分析”中的“一、概述”相关内容。</w:t>
      </w:r>
      <w:r>
        <w:br w:type="page"/>
      </w:r>
    </w:p>
    <w:p>
      <w:pPr>
        <w:pStyle w:val="Style32"/>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、收入与成本</w:t>
      </w:r>
      <w:bookmarkEnd w:id="104"/>
      <w:bookmarkEnd w:id="105"/>
      <w:bookmarkEnd w:id="107"/>
    </w:p>
    <w:p>
      <w:pPr>
        <w:pStyle w:val="Style32"/>
        <w:keepNext/>
        <w:keepLines/>
        <w:widowControl w:val="0"/>
        <w:shd w:val="clear" w:color="auto" w:fill="auto"/>
        <w:bidi w:val="0"/>
        <w:spacing w:before="0" w:line="240" w:lineRule="auto"/>
        <w:ind w:left="0" w:right="0" w:firstLine="0"/>
        <w:jc w:val="left"/>
      </w:pPr>
      <w:bookmarkStart w:id="104" w:name="bookmark104"/>
      <w:bookmarkStart w:id="105" w:name="bookmark105"/>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1,052,163,738.15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1,535,467,255.35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-31.48%</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982,960,603.96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1,456,277,421.72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60,292,817.16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75,525,990.57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8,910,317.03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3,663,843.06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143.20%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5,792,081.29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5,799,914.52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828,949,360.25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904,981,567.64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88,628,897.06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146,100,983.75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网络版会员软件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45,155,452.35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47,100,301.76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电子智能支付设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15,137,364.81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28,425,688.81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特种物联网业务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59,590,265.36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399,394,955.81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8,910,317.03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3,663,843.06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143.20%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392,580,883.07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436,958,475.25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185,233,329.13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596,141,899.54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167,849,292.15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169,796,852.31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82,718,825.08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89,569,512.76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92,267,346.96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97,581,254.48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60,809,744.76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65,156,207.13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-6.67%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70,704,317.00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80,263,053.88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-11.91%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982,960,603.96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695,319,465.09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7.09%</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5,792,081.29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4,375,443.12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828,949,360.25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604,727,960.55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88,628,897.06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80,616,879.19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特种物联网业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59,590,265.36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5,599,182.23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78.59%</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342,745,979.69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253,438,651.29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183,191,328.53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104,990,475.47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162,619,409.38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122,621,324.64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73,669,006.82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54,470,863.64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89,745,979.69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66,064,686.34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60,809,744.76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40,776,061.44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8.67%</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70,179,155.09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52,957,402.27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4.92%</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是□否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-43.75%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620.36%</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-19.10%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-20.29%</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特种物联网业务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-76.21%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-76.21%</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tabs>
          <w:tab w:pos="337" w:val="left"/>
        </w:tabs>
        <w:bidi w:val="0"/>
        <w:spacing w:before="0" w:after="0" w:line="312" w:lineRule="exact"/>
        <w:ind w:left="0" w:right="0" w:firstLine="0"/>
        <w:jc w:val="left"/>
      </w:pPr>
      <w:bookmarkStart w:id="118" w:name="bookmark118"/>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报告期，公司模块类产品的销售量、生产量比去年同期减少</w:t>
      </w:r>
      <w:r>
        <w:rPr>
          <w:rFonts w:ascii="Times New Roman" w:eastAsia="Times New Roman" w:hAnsi="Times New Roman" w:cs="Times New Roman"/>
          <w:color w:val="000000"/>
          <w:spacing w:val="0"/>
          <w:w w:val="100"/>
          <w:position w:val="0"/>
        </w:rPr>
        <w:t>43.75%</w:t>
      </w:r>
      <w:r>
        <w:rPr>
          <w:color w:val="000000"/>
          <w:spacing w:val="0"/>
          <w:w w:val="100"/>
          <w:position w:val="0"/>
        </w:rPr>
        <w:t>、</w:t>
      </w:r>
      <w:r>
        <w:rPr>
          <w:rFonts w:ascii="Times New Roman" w:eastAsia="Times New Roman" w:hAnsi="Times New Roman" w:cs="Times New Roman"/>
          <w:color w:val="000000"/>
          <w:spacing w:val="0"/>
          <w:w w:val="100"/>
          <w:position w:val="0"/>
        </w:rPr>
        <w:t>28.45%</w:t>
      </w:r>
      <w:r>
        <w:rPr>
          <w:color w:val="000000"/>
          <w:spacing w:val="0"/>
          <w:w w:val="100"/>
          <w:position w:val="0"/>
        </w:rPr>
        <w:t>,主要是因为受市场因素的影响，模块类产 品销售收入比去年同期减少所致。库存量比去年同期增加</w:t>
      </w:r>
      <w:r>
        <w:rPr>
          <w:rFonts w:ascii="Times New Roman" w:eastAsia="Times New Roman" w:hAnsi="Times New Roman" w:cs="Times New Roman"/>
          <w:color w:val="000000"/>
          <w:spacing w:val="0"/>
          <w:w w:val="100"/>
          <w:position w:val="0"/>
        </w:rPr>
        <w:t>620.36%</w:t>
      </w:r>
      <w:r>
        <w:rPr>
          <w:color w:val="000000"/>
          <w:spacing w:val="0"/>
          <w:w w:val="100"/>
          <w:position w:val="0"/>
        </w:rPr>
        <w:t>，主要是因销售量同比减少所致。</w:t>
      </w:r>
    </w:p>
    <w:p>
      <w:pPr>
        <w:pStyle w:val="Style29"/>
        <w:keepNext w:val="0"/>
        <w:keepLines w:val="0"/>
        <w:widowControl w:val="0"/>
        <w:shd w:val="clear" w:color="auto" w:fill="auto"/>
        <w:tabs>
          <w:tab w:pos="354" w:val="left"/>
        </w:tabs>
        <w:bidi w:val="0"/>
        <w:spacing w:before="0" w:after="720" w:line="312" w:lineRule="exact"/>
        <w:ind w:left="0" w:right="0" w:firstLine="0"/>
        <w:jc w:val="left"/>
      </w:pPr>
      <w:bookmarkStart w:id="119" w:name="bookmark119"/>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报告期，公司特种物联网业务销售量、生产量比去年同期减少</w:t>
      </w:r>
      <w:r>
        <w:rPr>
          <w:rFonts w:ascii="Times New Roman" w:eastAsia="Times New Roman" w:hAnsi="Times New Roman" w:cs="Times New Roman"/>
          <w:color w:val="000000"/>
          <w:spacing w:val="0"/>
          <w:w w:val="100"/>
          <w:position w:val="0"/>
        </w:rPr>
        <w:t>76.21%</w:t>
      </w:r>
      <w:r>
        <w:rPr>
          <w:color w:val="000000"/>
          <w:spacing w:val="0"/>
          <w:w w:val="100"/>
          <w:position w:val="0"/>
        </w:rPr>
        <w:t>，主要是因为特种物联网业务接单量同比减少所致。</w:t>
      </w:r>
    </w:p>
    <w:p>
      <w:pPr>
        <w:pStyle w:val="Style32"/>
        <w:keepNext/>
        <w:keepLines/>
        <w:widowControl w:val="0"/>
        <w:numPr>
          <w:ilvl w:val="0"/>
          <w:numId w:val="1"/>
        </w:numPr>
        <w:shd w:val="clear" w:color="auto" w:fill="auto"/>
        <w:tabs>
          <w:tab w:pos="488" w:val="left"/>
        </w:tabs>
        <w:bidi w:val="0"/>
        <w:spacing w:before="0" w:after="26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公司已签订的重大销售合同截至本报告期的履行情况</w:t>
      </w:r>
      <w:bookmarkEnd w:id="120"/>
      <w:bookmarkEnd w:id="121"/>
      <w:bookmarkEnd w:id="123"/>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
        </w:numPr>
        <w:shd w:val="clear" w:color="auto" w:fill="auto"/>
        <w:tabs>
          <w:tab w:pos="488" w:val="left"/>
        </w:tabs>
        <w:bidi w:val="0"/>
        <w:spacing w:before="0" w:after="26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营业成本构成</w:t>
      </w:r>
      <w:bookmarkEnd w:id="124"/>
      <w:bookmarkEnd w:id="125"/>
      <w:bookmarkEnd w:id="127"/>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648,730,309.82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1,006,893,475.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56,333,718.87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63,777,370.07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5,146,585.15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5,979,128.44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18,215,000.06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88,983,499.79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6,066,635.35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3,775,934.29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60.67%</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734,492,249.25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1,169,409,407.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-37.19%</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both"/>
            </w:pPr>
            <w:r>
              <w:rPr>
                <w:rFonts w:ascii="SimSun" w:eastAsia="SimSun" w:hAnsi="SimSun" w:cs="SimSun"/>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占营业成本比</w:t>
            </w:r>
          </w:p>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4,375,443.12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3,942,277.50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604,727,960.55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648,936,065.39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80,616,879.19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129,066,071.39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-37.54%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网络版会员软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20,107,634.28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7,361,978.21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电子智能支付</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12,998,514.53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25,612,694.53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特种物联网业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5,599,182.23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351,429,823.08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-98.41%</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6,066,635.35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3,060,497.71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98.22%</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734,492,249.25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1,169,409,407.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w:t>
            </w:r>
          </w:p>
        </w:tc>
      </w:tr>
    </w:tbl>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488" w:val="left"/>
        </w:tabs>
        <w:bidi w:val="0"/>
        <w:spacing w:before="0" w:after="2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8"/>
      <w:bookmarkEnd w:id="129"/>
      <w:bookmarkEnd w:id="131"/>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sz w:val="18"/>
          <w:szCs w:val="18"/>
        </w:rPr>
        <w:t xml:space="preserve">J </w:t>
      </w:r>
      <w:r>
        <w:rPr>
          <w:color w:val="000000"/>
          <w:spacing w:val="0"/>
          <w:w w:val="100"/>
          <w:position w:val="0"/>
        </w:rPr>
        <w:t>是 □否</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报告期内，公司在上海设立恒宝润芯数字科技有限公司子公司和云玥科技（上海）有限公司孙公司，在新加坡设立</w:t>
      </w:r>
      <w:r>
        <w:rPr>
          <w:rFonts w:ascii="Times New Roman" w:eastAsia="Times New Roman" w:hAnsi="Times New Roman" w:cs="Times New Roman"/>
          <w:color w:val="000000"/>
          <w:spacing w:val="0"/>
          <w:w w:val="100"/>
          <w:position w:val="0"/>
        </w:rPr>
        <w:t>Keyfort Pte. Ltd.</w:t>
      </w:r>
      <w:r>
        <w:rPr>
          <w:color w:val="000000"/>
          <w:spacing w:val="0"/>
          <w:w w:val="100"/>
          <w:position w:val="0"/>
        </w:rPr>
        <w:t>和</w:t>
      </w:r>
      <w:r>
        <w:rPr>
          <w:rFonts w:ascii="Times New Roman" w:eastAsia="Times New Roman" w:hAnsi="Times New Roman" w:cs="Times New Roman"/>
          <w:color w:val="000000"/>
          <w:spacing w:val="0"/>
          <w:w w:val="100"/>
          <w:position w:val="0"/>
        </w:rPr>
        <w:t>Chipstone Technologies Pte Ltd.</w:t>
      </w:r>
      <w:r>
        <w:rPr>
          <w:color w:val="000000"/>
          <w:spacing w:val="0"/>
          <w:w w:val="100"/>
          <w:position w:val="0"/>
        </w:rPr>
        <w:t>孙公司</w:t>
      </w:r>
      <w:r>
        <w:rPr>
          <w:i/>
          <w:iCs/>
          <w:color w:val="000000"/>
          <w:spacing w:val="0"/>
          <w:w w:val="100"/>
          <w:position w:val="0"/>
        </w:rPr>
        <w:t>，</w:t>
      </w:r>
      <w:r>
        <w:rPr>
          <w:color w:val="000000"/>
          <w:spacing w:val="0"/>
          <w:w w:val="100"/>
          <w:position w:val="0"/>
        </w:rPr>
        <w:t>纳入合并范围。</w:t>
      </w:r>
    </w:p>
    <w:p>
      <w:pPr>
        <w:pStyle w:val="Style32"/>
        <w:keepNext/>
        <w:keepLines/>
        <w:widowControl w:val="0"/>
        <w:shd w:val="clear" w:color="auto" w:fill="auto"/>
        <w:tabs>
          <w:tab w:pos="488" w:val="left"/>
        </w:tabs>
        <w:bidi w:val="0"/>
        <w:spacing w:before="0" w:after="2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8" w:val="left"/>
        </w:tabs>
        <w:bidi w:val="0"/>
        <w:spacing w:before="0" w:after="2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188,147,794.47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82,536,809.77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36,078,761.06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26,606,390.66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23,511,504.30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19,414,328.68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188,147,794.47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344,249,068.37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195,750,521.02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47,123,321.49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41,376,482.88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36,624,232.91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5.18%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23,374,510.08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3.31%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344,249,068.37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63,509,759.30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88,136,353.75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79,542,294.55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72,317,016.29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-2,815,271.16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-4,119,517.06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报告期，公司财务费用比去年同期 增加</w:t>
            </w:r>
            <w:r>
              <w:rPr>
                <w:color w:val="000000"/>
                <w:spacing w:val="0"/>
                <w:w w:val="100"/>
                <w:position w:val="0"/>
              </w:rPr>
              <w:t>130.42</w:t>
            </w:r>
            <w:r>
              <w:rPr>
                <w:rFonts w:ascii="SimSun" w:eastAsia="SimSun" w:hAnsi="SimSun" w:cs="SimSun"/>
                <w:color w:val="000000"/>
                <w:spacing w:val="0"/>
                <w:w w:val="100"/>
                <w:position w:val="0"/>
              </w:rPr>
              <w:t>万元，主要是因为报告 期公司汇兑损益同比增加及利息收 入同比减少，两者共同影响所致。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127,474,839.43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127,039,035.87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1,052,163,738.15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1,535,467,255.35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报告期，公司营业收入比去年同期 减少</w:t>
            </w:r>
            <w:r>
              <w:rPr>
                <w:color w:val="000000"/>
                <w:spacing w:val="0"/>
                <w:w w:val="100"/>
                <w:position w:val="0"/>
              </w:rPr>
              <w:t>31.48%</w:t>
            </w:r>
            <w:r>
              <w:rPr>
                <w:rFonts w:ascii="SimSun" w:eastAsia="SimSun" w:hAnsi="SimSun" w:cs="SimSun"/>
                <w:color w:val="000000"/>
                <w:spacing w:val="0"/>
                <w:w w:val="100"/>
                <w:position w:val="0"/>
              </w:rPr>
              <w:t>，主要是特种物联网业 务采用净额法核算影响所致。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734,492,249.25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1,169,409,407.81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报告期，公司营业成本比去年同期 减少</w:t>
            </w:r>
            <w:r>
              <w:rPr>
                <w:color w:val="000000"/>
                <w:spacing w:val="0"/>
                <w:w w:val="100"/>
                <w:position w:val="0"/>
              </w:rPr>
              <w:t>37.19%</w:t>
            </w:r>
            <w:r>
              <w:rPr>
                <w:rFonts w:ascii="SimSun" w:eastAsia="SimSun" w:hAnsi="SimSun" w:cs="SimSun"/>
                <w:color w:val="000000"/>
                <w:spacing w:val="0"/>
                <w:w w:val="100"/>
                <w:position w:val="0"/>
              </w:rPr>
              <w:t>，主要是特种物联网业 务采用净额法核算影响所致。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11,245,637.71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19,888,949.79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报告期，公司其他收益比去年同期 减少</w:t>
            </w:r>
            <w:r>
              <w:rPr>
                <w:color w:val="000000"/>
                <w:spacing w:val="0"/>
                <w:w w:val="100"/>
                <w:position w:val="0"/>
              </w:rPr>
              <w:t>43.46%</w:t>
            </w:r>
            <w:r>
              <w:rPr>
                <w:rFonts w:ascii="SimSun" w:eastAsia="SimSun" w:hAnsi="SimSun" w:cs="SimSun"/>
                <w:color w:val="000000"/>
                <w:spacing w:val="0"/>
                <w:w w:val="100"/>
                <w:position w:val="0"/>
              </w:rPr>
              <w:t>，主要是因为增值税即 征即退返还同比减少所致。</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27,627,189.19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16,273,521.96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报告期，公司投资收益比去年同期 增加</w:t>
            </w:r>
            <w:r>
              <w:rPr>
                <w:color w:val="000000"/>
                <w:spacing w:val="0"/>
                <w:w w:val="100"/>
                <w:position w:val="0"/>
              </w:rPr>
              <w:t>69.77%</w:t>
            </w:r>
            <w:r>
              <w:rPr>
                <w:rFonts w:ascii="SimSun" w:eastAsia="SimSun" w:hAnsi="SimSun" w:cs="SimSun"/>
                <w:color w:val="000000"/>
                <w:spacing w:val="0"/>
                <w:w w:val="100"/>
                <w:position w:val="0"/>
              </w:rPr>
              <w:t>，主要是因为理财产品 收益同比增加所致。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3,542,886.64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报告期，公司公允价值变动收益比 去年同期增加</w:t>
            </w:r>
            <w:r>
              <w:rPr>
                <w:color w:val="000000"/>
                <w:spacing w:val="0"/>
                <w:w w:val="100"/>
                <w:position w:val="0"/>
              </w:rPr>
              <w:t>354.29</w:t>
            </w:r>
            <w:r>
              <w:rPr>
                <w:rFonts w:ascii="SimSun" w:eastAsia="SimSun" w:hAnsi="SimSun" w:cs="SimSun"/>
                <w:color w:val="000000"/>
                <w:spacing w:val="0"/>
                <w:w w:val="100"/>
                <w:position w:val="0"/>
              </w:rPr>
              <w:t>万元，主要是 因为期末理财产品以公允价值计量 影响所致。</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-5,235,020.59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-2,085,162.69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151.06%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报告期，公司信用减值损失比去年 同期增加</w:t>
            </w:r>
            <w:r>
              <w:rPr>
                <w:color w:val="000000"/>
                <w:spacing w:val="0"/>
                <w:w w:val="100"/>
                <w:position w:val="0"/>
              </w:rPr>
              <w:t>151.06%</w:t>
            </w:r>
            <w:r>
              <w:rPr>
                <w:rFonts w:ascii="SimSun" w:eastAsia="SimSun" w:hAnsi="SimSun" w:cs="SimSun"/>
                <w:color w:val="000000"/>
                <w:spacing w:val="0"/>
                <w:w w:val="100"/>
                <w:position w:val="0"/>
              </w:rPr>
              <w:t>，主要是因为报</w:t>
            </w:r>
          </w:p>
        </w:tc>
      </w:tr>
    </w:tbl>
    <w:p>
      <w:pPr>
        <w:spacing w:lineRule="exact" w:line="1"/>
        <w:rPr>
          <w:sz w:val="2"/>
          <w:szCs w:val="2"/>
        </w:rPr>
      </w:pPr>
      <w:r>
        <w:br w:type="page"/>
      </w:r>
    </w:p>
    <w:tbl>
      <w:tblPr>
        <w:tblOverlap w:val="never"/>
        <w:jc w:val="center"/>
        <w:tblLayout w:type="fixed"/>
      </w:tblPr>
      <w:tblGrid>
        <w:gridCol w:w="1920"/>
        <w:gridCol w:w="1637"/>
        <w:gridCol w:w="1637"/>
        <w:gridCol w:w="1464"/>
        <w:gridCol w:w="292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告期应收账款账龄结构变动，三年 以上的应收账款余额同比增加，计 提的坏账准备同比增加影响所致。</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-112,816,892.94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-16,589,413.46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580.05%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报告期，公司资产减值损失比去年 同期增加</w:t>
            </w:r>
            <w:r>
              <w:rPr>
                <w:color w:val="000000"/>
                <w:spacing w:val="0"/>
                <w:w w:val="100"/>
                <w:position w:val="0"/>
              </w:rPr>
              <w:t>580.05%</w:t>
            </w:r>
            <w:r>
              <w:rPr>
                <w:rFonts w:ascii="SimSun" w:eastAsia="SimSun" w:hAnsi="SimSun" w:cs="SimSun"/>
                <w:color w:val="000000"/>
                <w:spacing w:val="0"/>
                <w:w w:val="100"/>
                <w:position w:val="0"/>
              </w:rPr>
              <w:t>，主要是因为报 告期计提无形资产减值</w:t>
            </w:r>
            <w:r>
              <w:rPr>
                <w:color w:val="000000"/>
                <w:spacing w:val="0"/>
                <w:w w:val="100"/>
                <w:position w:val="0"/>
              </w:rPr>
              <w:t>5,619.83</w:t>
            </w:r>
            <w:r>
              <w:rPr>
                <w:rFonts w:ascii="SimSun" w:eastAsia="SimSun" w:hAnsi="SimSun" w:cs="SimSun"/>
                <w:color w:val="000000"/>
                <w:spacing w:val="0"/>
                <w:w w:val="100"/>
                <w:position w:val="0"/>
              </w:rPr>
              <w:t>万 元和商誉减值</w:t>
            </w:r>
            <w:r>
              <w:rPr>
                <w:color w:val="000000"/>
                <w:spacing w:val="0"/>
                <w:w w:val="100"/>
                <w:position w:val="0"/>
              </w:rPr>
              <w:t>5,251.45</w:t>
            </w:r>
            <w:r>
              <w:rPr>
                <w:rFonts w:ascii="SimSun" w:eastAsia="SimSun" w:hAnsi="SimSun" w:cs="SimSun"/>
                <w:color w:val="000000"/>
                <w:spacing w:val="0"/>
                <w:w w:val="100"/>
                <w:position w:val="0"/>
              </w:rPr>
              <w:t>万元影响所 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-1,023,212.06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-577,486.26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报告期，公司资产处置收益比去年 同期减少</w:t>
            </w:r>
            <w:r>
              <w:rPr>
                <w:color w:val="000000"/>
                <w:spacing w:val="0"/>
                <w:w w:val="100"/>
                <w:position w:val="0"/>
              </w:rPr>
              <w:t>44.57</w:t>
            </w:r>
            <w:r>
              <w:rPr>
                <w:rFonts w:ascii="SimSun" w:eastAsia="SimSun" w:hAnsi="SimSun" w:cs="SimSun"/>
                <w:color w:val="000000"/>
                <w:spacing w:val="0"/>
                <w:w w:val="100"/>
                <w:position w:val="0"/>
              </w:rPr>
              <w:t>万元，主要是因为 公司处置非流动资产损失增加所 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2,634,881.58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330,139.66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698.11%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报告期，公司营业外收入比去年同 期增加</w:t>
            </w:r>
            <w:r>
              <w:rPr>
                <w:color w:val="000000"/>
                <w:spacing w:val="0"/>
                <w:w w:val="100"/>
                <w:position w:val="0"/>
              </w:rPr>
              <w:t>698.11%</w:t>
            </w:r>
            <w:r>
              <w:rPr>
                <w:rFonts w:ascii="SimSun" w:eastAsia="SimSun" w:hAnsi="SimSun" w:cs="SimSun"/>
                <w:color w:val="000000"/>
                <w:spacing w:val="0"/>
                <w:w w:val="100"/>
                <w:position w:val="0"/>
              </w:rPr>
              <w:t>，主要是因为子公 司一"易收到客户违约定金</w:t>
            </w:r>
            <w:r>
              <w:rPr>
                <w:color w:val="000000"/>
                <w:spacing w:val="0"/>
                <w:w w:val="100"/>
                <w:position w:val="0"/>
              </w:rPr>
              <w:t xml:space="preserve">241.14 </w:t>
            </w:r>
            <w:r>
              <w:rPr>
                <w:rFonts w:ascii="SimSun" w:eastAsia="SimSun" w:hAnsi="SimSun" w:cs="SimSun"/>
                <w:color w:val="000000"/>
                <w:spacing w:val="0"/>
                <w:w w:val="100"/>
                <w:position w:val="0"/>
              </w:rPr>
              <w:t>万元影响所致。</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-4,647,861.02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4,078,886.76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报告期，公司所得税费用去年同期 减少</w:t>
            </w:r>
            <w:r>
              <w:rPr>
                <w:color w:val="000000"/>
                <w:spacing w:val="0"/>
                <w:w w:val="100"/>
                <w:position w:val="0"/>
              </w:rPr>
              <w:t>213.95%</w:t>
            </w:r>
            <w:r>
              <w:rPr>
                <w:rFonts w:ascii="SimSun" w:eastAsia="SimSun" w:hAnsi="SimSun" w:cs="SimSun"/>
                <w:color w:val="000000"/>
                <w:spacing w:val="0"/>
                <w:w w:val="100"/>
                <w:position w:val="0"/>
              </w:rPr>
              <w:t>,主要是因为报告期 公司利润总额同比减少，计提所得 税费用同比减少所致。</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-28,196,814.78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263,923.84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报告期，公司少数股东损益比去年 同期减少</w:t>
            </w:r>
            <w:r>
              <w:rPr>
                <w:color w:val="000000"/>
                <w:spacing w:val="0"/>
                <w:w w:val="100"/>
                <w:position w:val="0"/>
              </w:rPr>
              <w:t>10,783.69%</w:t>
            </w:r>
            <w:r>
              <w:rPr>
                <w:rFonts w:ascii="SimSun" w:eastAsia="SimSun" w:hAnsi="SimSun" w:cs="SimSun"/>
                <w:color w:val="000000"/>
                <w:spacing w:val="0"/>
                <w:w w:val="100"/>
                <w:position w:val="0"/>
              </w:rPr>
              <w:t>，主要是因为 公司收购子公司一卡易形成的无形 资产发生减值</w:t>
            </w:r>
            <w:r>
              <w:rPr>
                <w:color w:val="000000"/>
                <w:spacing w:val="0"/>
                <w:w w:val="100"/>
                <w:position w:val="0"/>
              </w:rPr>
              <w:t>5,619.83</w:t>
            </w:r>
            <w:r>
              <w:rPr>
                <w:rFonts w:ascii="SimSun" w:eastAsia="SimSun" w:hAnsi="SimSun" w:cs="SimSun"/>
                <w:color w:val="000000"/>
                <w:spacing w:val="0"/>
                <w:w w:val="100"/>
                <w:position w:val="0"/>
              </w:rPr>
              <w:t>万元影响所 致。</w:t>
            </w:r>
          </w:p>
        </w:tc>
      </w:tr>
      <w:tr>
        <w:trPr>
          <w:trHeight w:val="22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其他综合收益的税后 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-712,382.49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109,733.04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-749.20%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报告期，公司其他综合收益的税后 净额比去年同期减少</w:t>
            </w:r>
            <w:r>
              <w:rPr>
                <w:color w:val="000000"/>
                <w:spacing w:val="0"/>
                <w:w w:val="100"/>
                <w:position w:val="0"/>
              </w:rPr>
              <w:t>749.20%</w:t>
            </w:r>
            <w:r>
              <w:rPr>
                <w:rFonts w:ascii="SimSun" w:eastAsia="SimSun" w:hAnsi="SimSun" w:cs="SimSun"/>
                <w:color w:val="000000"/>
                <w:spacing w:val="0"/>
                <w:w w:val="100"/>
                <w:position w:val="0"/>
              </w:rPr>
              <w:t>，主 要是因为报告期汇率变动及权益法 下核算的联营企业上海恒毓投资中 心（有限合伙）确认权益法下可转 损益的其他综合收益共同影响所 致。</w:t>
            </w:r>
          </w:p>
        </w:tc>
      </w:tr>
    </w:tbl>
    <w:p>
      <w:pPr>
        <w:widowControl w:val="0"/>
        <w:spacing w:after="299" w:line="1" w:lineRule="exact"/>
      </w:pPr>
    </w:p>
    <w:p>
      <w:pPr>
        <w:pStyle w:val="Style32"/>
        <w:keepNext/>
        <w:keepLines/>
        <w:widowControl w:val="0"/>
        <w:shd w:val="clear" w:color="auto" w:fill="auto"/>
        <w:bidi w:val="0"/>
        <w:spacing w:before="0" w:after="24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29"/>
        <w:keepNext w:val="0"/>
        <w:keepLines w:val="0"/>
        <w:widowControl w:val="0"/>
        <w:shd w:val="clear" w:color="auto" w:fill="auto"/>
        <w:bidi w:val="0"/>
        <w:spacing w:before="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研发投入是公司在市场中长久生存的保障，是公司提高自主创新能力的途径，是公司提升产品核心竞争力的根本。公司 的研发目的是既要保证在现有业务中占有一席之地，也要增强在新拓展业务领域的竞争力。</w:t>
      </w:r>
    </w:p>
    <w:p>
      <w:pPr>
        <w:pStyle w:val="Style29"/>
        <w:keepNext w:val="0"/>
        <w:keepLines w:val="0"/>
        <w:widowControl w:val="0"/>
        <w:shd w:val="clear" w:color="auto" w:fill="auto"/>
        <w:bidi w:val="0"/>
        <w:spacing w:before="0" w:line="310" w:lineRule="exact"/>
        <w:ind w:left="0" w:right="0"/>
        <w:jc w:val="both"/>
      </w:pPr>
      <w:r>
        <w:rPr>
          <w:color w:val="000000"/>
          <w:spacing w:val="0"/>
          <w:w w:val="100"/>
          <w:position w:val="0"/>
        </w:rPr>
        <w:t>公司掌握了多项自主研发的核心技术，公司的智能卡技术在移动通信、金融等领域应用先后获得了数百项专利和软件著 作权。除了技术专利之外，从实际的生产过程中发现问题，解决问题，积极改进生产效率，获得了诸多生产方面的自主知识 产权，大大提高了生产的效率和质量。</w:t>
      </w:r>
    </w:p>
    <w:p>
      <w:pPr>
        <w:pStyle w:val="Style2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公司研发投入情况</w:t>
      </w: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127,474,839.43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127,039,035.87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1,661,406,488.56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1,747,422,732.98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1,146,251,035.48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1,791,874,556.24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515,155,453.08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-44,451,823.26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2,729,705,470.53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682,994,893.84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3,340,872,702.36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857,860,161.34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-611,167,231.83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-174,865,267.50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5,363,812.20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53,009,074.03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60,636,187.80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-53,009,074.03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-39,200,506.29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-272,191,486.76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tabs>
          <w:tab w:pos="344" w:val="left"/>
        </w:tabs>
        <w:bidi w:val="0"/>
        <w:spacing w:before="0" w:after="0" w:line="322" w:lineRule="exact"/>
        <w:ind w:left="0" w:right="0" w:firstLine="0"/>
        <w:jc w:val="left"/>
      </w:pPr>
      <w:bookmarkStart w:id="152" w:name="bookmark152"/>
      <w:r>
        <w:rPr>
          <w:rFonts w:ascii="Times New Roman" w:eastAsia="Times New Roman" w:hAnsi="Times New Roman" w:cs="Times New Roman"/>
          <w:color w:val="000000"/>
          <w:spacing w:val="0"/>
          <w:w w:val="100"/>
          <w:position w:val="0"/>
        </w:rPr>
        <w:t>1</w:t>
      </w:r>
      <w:bookmarkEnd w:id="152"/>
      <w:r>
        <w:rPr>
          <w:color w:val="000000"/>
          <w:spacing w:val="0"/>
          <w:w w:val="100"/>
          <w:position w:val="0"/>
        </w:rPr>
        <w:t>、</w:t>
        <w:tab/>
        <w:t>经营活动现金流出小计：报告期，公司经营活动现金流出比去年同期减少</w:t>
      </w:r>
      <w:r>
        <w:rPr>
          <w:rFonts w:ascii="Times New Roman" w:eastAsia="Times New Roman" w:hAnsi="Times New Roman" w:cs="Times New Roman"/>
          <w:color w:val="000000"/>
          <w:spacing w:val="0"/>
          <w:w w:val="100"/>
          <w:position w:val="0"/>
        </w:rPr>
        <w:t>36.03%</w:t>
      </w:r>
      <w:r>
        <w:rPr>
          <w:color w:val="000000"/>
          <w:spacing w:val="0"/>
          <w:w w:val="100"/>
          <w:position w:val="0"/>
        </w:rPr>
        <w:t>,主要是因为公司预付大额特种通信物 联网业务配套采购硬件款同比减少所致。</w:t>
      </w:r>
    </w:p>
    <w:p>
      <w:pPr>
        <w:pStyle w:val="Style29"/>
        <w:keepNext w:val="0"/>
        <w:keepLines w:val="0"/>
        <w:widowControl w:val="0"/>
        <w:shd w:val="clear" w:color="auto" w:fill="auto"/>
        <w:tabs>
          <w:tab w:pos="354" w:val="left"/>
        </w:tabs>
        <w:bidi w:val="0"/>
        <w:spacing w:before="0" w:after="0" w:line="317" w:lineRule="exact"/>
        <w:ind w:left="0" w:right="0" w:firstLine="0"/>
        <w:jc w:val="left"/>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经营活动产生的现金流量净额：报告期，公司经营活动产生的现金流量净额比去年同期增加</w:t>
      </w:r>
      <w:r>
        <w:rPr>
          <w:rFonts w:ascii="Times New Roman" w:eastAsia="Times New Roman" w:hAnsi="Times New Roman" w:cs="Times New Roman"/>
          <w:color w:val="000000"/>
          <w:spacing w:val="0"/>
          <w:w w:val="100"/>
          <w:position w:val="0"/>
        </w:rPr>
        <w:t>5.60</w:t>
      </w:r>
      <w:r>
        <w:rPr>
          <w:color w:val="000000"/>
          <w:spacing w:val="0"/>
          <w:w w:val="100"/>
          <w:position w:val="0"/>
        </w:rPr>
        <w:t>亿元，主要是因为公司 本报告期没有预付大额特种通信物联网业务配套采购硬件款，而去年同期预付了</w:t>
      </w:r>
      <w:r>
        <w:rPr>
          <w:rFonts w:ascii="Times New Roman" w:eastAsia="Times New Roman" w:hAnsi="Times New Roman" w:cs="Times New Roman"/>
          <w:color w:val="000000"/>
          <w:spacing w:val="0"/>
          <w:w w:val="100"/>
          <w:position w:val="0"/>
        </w:rPr>
        <w:t>5.93</w:t>
      </w:r>
      <w:r>
        <w:rPr>
          <w:color w:val="000000"/>
          <w:spacing w:val="0"/>
          <w:w w:val="100"/>
          <w:position w:val="0"/>
        </w:rPr>
        <w:t>亿元，两者共同影响所致。</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投资活动现金流入小计：报告期，公司投资活动现金流入比去年同期增加</w:t>
      </w:r>
      <w:r>
        <w:rPr>
          <w:rFonts w:ascii="Times New Roman" w:eastAsia="Times New Roman" w:hAnsi="Times New Roman" w:cs="Times New Roman"/>
          <w:color w:val="000000"/>
          <w:spacing w:val="0"/>
          <w:w w:val="100"/>
          <w:position w:val="0"/>
        </w:rPr>
        <w:t>20.47</w:t>
      </w:r>
      <w:r>
        <w:rPr>
          <w:color w:val="000000"/>
          <w:spacing w:val="0"/>
          <w:w w:val="100"/>
          <w:position w:val="0"/>
        </w:rPr>
        <w:t>亿元，主要是因为公司收回投资收到的现 金和取得投资收益收到的现金同比增加</w:t>
      </w:r>
      <w:r>
        <w:rPr>
          <w:rFonts w:ascii="Times New Roman" w:eastAsia="Times New Roman" w:hAnsi="Times New Roman" w:cs="Times New Roman"/>
          <w:color w:val="000000"/>
          <w:spacing w:val="0"/>
          <w:w w:val="100"/>
          <w:position w:val="0"/>
        </w:rPr>
        <w:t>20.45</w:t>
      </w:r>
      <w:r>
        <w:rPr>
          <w:color w:val="000000"/>
          <w:spacing w:val="0"/>
          <w:w w:val="100"/>
          <w:position w:val="0"/>
        </w:rPr>
        <w:t>亿元影响所致。</w:t>
      </w:r>
    </w:p>
    <w:p>
      <w:pPr>
        <w:pStyle w:val="Style29"/>
        <w:keepNext w:val="0"/>
        <w:keepLines w:val="0"/>
        <w:widowControl w:val="0"/>
        <w:shd w:val="clear" w:color="auto" w:fill="auto"/>
        <w:tabs>
          <w:tab w:pos="350" w:val="left"/>
        </w:tabs>
        <w:bidi w:val="0"/>
        <w:spacing w:before="0" w:line="307" w:lineRule="exact"/>
        <w:ind w:left="0" w:right="0" w:firstLine="0"/>
        <w:jc w:val="left"/>
      </w:pPr>
      <w:bookmarkStart w:id="155" w:name="bookmark155"/>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投资活动现金流出小计：报告期，公司投资活动现金流出比去年同期增加</w:t>
      </w:r>
      <w:r>
        <w:rPr>
          <w:rFonts w:ascii="Times New Roman" w:eastAsia="Times New Roman" w:hAnsi="Times New Roman" w:cs="Times New Roman"/>
          <w:color w:val="000000"/>
          <w:spacing w:val="0"/>
          <w:w w:val="100"/>
          <w:position w:val="0"/>
        </w:rPr>
        <w:t>24.83</w:t>
      </w:r>
      <w:r>
        <w:rPr>
          <w:color w:val="000000"/>
          <w:spacing w:val="0"/>
          <w:w w:val="100"/>
          <w:position w:val="0"/>
        </w:rPr>
        <w:t>亿元，主要是因为子公司润芯支付了购房 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w:t>
      </w:r>
      <w:r>
        <w:rPr>
          <w:color w:val="000000"/>
          <w:spacing w:val="0"/>
          <w:w w:val="100"/>
          <w:position w:val="0"/>
        </w:rPr>
        <w:t>亿元和投资支付的理财款同比增加</w:t>
      </w:r>
      <w:r>
        <w:rPr>
          <w:rFonts w:ascii="Times New Roman" w:eastAsia="Times New Roman" w:hAnsi="Times New Roman" w:cs="Times New Roman"/>
          <w:color w:val="000000"/>
          <w:spacing w:val="0"/>
          <w:w w:val="100"/>
          <w:position w:val="0"/>
        </w:rPr>
        <w:t>23.6</w:t>
      </w:r>
      <w:r>
        <w:rPr>
          <w:rFonts w:ascii="Times New Roman" w:eastAsia="Times New Roman" w:hAnsi="Times New Roman" w:cs="Times New Roman"/>
          <w:color w:val="000000"/>
          <w:spacing w:val="0"/>
          <w:w w:val="100"/>
          <w:position w:val="0"/>
        </w:rPr>
        <w:t>2</w:t>
      </w:r>
      <w:r>
        <w:rPr>
          <w:color w:val="000000"/>
          <w:spacing w:val="0"/>
          <w:w w:val="100"/>
          <w:position w:val="0"/>
        </w:rPr>
        <w:t>亿元共同影响所致。</w:t>
      </w:r>
    </w:p>
    <w:p>
      <w:pPr>
        <w:pStyle w:val="Style29"/>
        <w:keepNext w:val="0"/>
        <w:keepLines w:val="0"/>
        <w:widowControl w:val="0"/>
        <w:shd w:val="clear" w:color="auto" w:fill="auto"/>
        <w:tabs>
          <w:tab w:pos="350" w:val="left"/>
        </w:tabs>
        <w:bidi w:val="0"/>
        <w:spacing w:before="0" w:line="317" w:lineRule="exact"/>
        <w:ind w:left="0" w:right="0" w:firstLine="0"/>
        <w:jc w:val="left"/>
      </w:pPr>
      <w:bookmarkStart w:id="156" w:name="bookmark156"/>
      <w:r>
        <w:rPr>
          <w:rFonts w:ascii="Times New Roman" w:eastAsia="Times New Roman" w:hAnsi="Times New Roman" w:cs="Times New Roman"/>
          <w:color w:val="000000"/>
          <w:spacing w:val="0"/>
          <w:w w:val="100"/>
          <w:position w:val="0"/>
        </w:rPr>
        <w:t>5</w:t>
      </w:r>
      <w:bookmarkEnd w:id="156"/>
      <w:r>
        <w:rPr>
          <w:color w:val="000000"/>
          <w:spacing w:val="0"/>
          <w:w w:val="100"/>
          <w:position w:val="0"/>
        </w:rPr>
        <w:t>、</w:t>
        <w:tab/>
        <w:t>投资活动产生的现金流量净额：报告期，公司投资活动产生的现金流量净额比去年同期减少</w:t>
      </w:r>
      <w:r>
        <w:rPr>
          <w:rFonts w:ascii="Times New Roman" w:eastAsia="Times New Roman" w:hAnsi="Times New Roman" w:cs="Times New Roman"/>
          <w:color w:val="000000"/>
          <w:spacing w:val="0"/>
          <w:w w:val="100"/>
          <w:position w:val="0"/>
        </w:rPr>
        <w:t>4.36</w:t>
      </w:r>
      <w:r>
        <w:rPr>
          <w:color w:val="000000"/>
          <w:spacing w:val="0"/>
          <w:w w:val="100"/>
          <w:position w:val="0"/>
        </w:rPr>
        <w:t>亿元，主要是因为投资 支付的现金比收回投资收到的现金同比增加多</w:t>
      </w:r>
      <w:r>
        <w:rPr>
          <w:rFonts w:ascii="Times New Roman" w:eastAsia="Times New Roman" w:hAnsi="Times New Roman" w:cs="Times New Roman"/>
          <w:color w:val="000000"/>
          <w:spacing w:val="0"/>
          <w:w w:val="100"/>
          <w:position w:val="0"/>
        </w:rPr>
        <w:t>3.25</w:t>
      </w:r>
      <w:r>
        <w:rPr>
          <w:color w:val="000000"/>
          <w:spacing w:val="0"/>
          <w:w w:val="100"/>
          <w:position w:val="0"/>
        </w:rPr>
        <w:t>亿元，及购建固定资产、无形资产和其他长期资产支付的现金同比增加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.24 </w:t>
      </w:r>
      <w:r>
        <w:rPr>
          <w:color w:val="000000"/>
          <w:spacing w:val="0"/>
          <w:w w:val="100"/>
          <w:position w:val="0"/>
        </w:rPr>
        <w:t>亿元共同影响所致。</w:t>
      </w:r>
    </w:p>
    <w:p>
      <w:pPr>
        <w:pStyle w:val="Style29"/>
        <w:keepNext w:val="0"/>
        <w:keepLines w:val="0"/>
        <w:widowControl w:val="0"/>
        <w:shd w:val="clear" w:color="auto" w:fill="auto"/>
        <w:tabs>
          <w:tab w:pos="350" w:val="left"/>
        </w:tabs>
        <w:bidi w:val="0"/>
        <w:spacing w:before="0" w:line="312" w:lineRule="exact"/>
        <w:ind w:left="0" w:right="0" w:firstLine="0"/>
        <w:jc w:val="left"/>
      </w:pPr>
      <w:bookmarkStart w:id="157" w:name="bookmark157"/>
      <w:r>
        <w:rPr>
          <w:rFonts w:ascii="Times New Roman" w:eastAsia="Times New Roman" w:hAnsi="Times New Roman" w:cs="Times New Roman"/>
          <w:color w:val="000000"/>
          <w:spacing w:val="0"/>
          <w:w w:val="100"/>
          <w:position w:val="0"/>
        </w:rPr>
        <w:t>6</w:t>
      </w:r>
      <w:bookmarkEnd w:id="157"/>
      <w:r>
        <w:rPr>
          <w:color w:val="000000"/>
          <w:spacing w:val="0"/>
          <w:w w:val="100"/>
          <w:position w:val="0"/>
        </w:rPr>
        <w:t>、</w:t>
        <w:tab/>
        <w:t>筹资活动现金流入小计：报告期，公司筹资活动现金流入比去年同期增加</w:t>
      </w:r>
      <w:r>
        <w:rPr>
          <w:rFonts w:ascii="Times New Roman" w:eastAsia="Times New Roman" w:hAnsi="Times New Roman" w:cs="Times New Roman"/>
          <w:color w:val="000000"/>
          <w:spacing w:val="0"/>
          <w:w w:val="100"/>
          <w:position w:val="0"/>
        </w:rPr>
        <w:t>6,600.00</w:t>
      </w:r>
      <w:r>
        <w:rPr>
          <w:color w:val="000000"/>
          <w:spacing w:val="0"/>
          <w:w w:val="100"/>
          <w:position w:val="0"/>
        </w:rPr>
        <w:t>万元，主要是因为子公司润芯为支付购 房款取得银行借款</w:t>
      </w:r>
      <w:r>
        <w:rPr>
          <w:rFonts w:ascii="Times New Roman" w:eastAsia="Times New Roman" w:hAnsi="Times New Roman" w:cs="Times New Roman"/>
          <w:color w:val="000000"/>
          <w:spacing w:val="0"/>
          <w:w w:val="100"/>
          <w:position w:val="0"/>
        </w:rPr>
        <w:t>6,100.00</w:t>
      </w:r>
      <w:r>
        <w:rPr>
          <w:color w:val="000000"/>
          <w:spacing w:val="0"/>
          <w:w w:val="100"/>
          <w:position w:val="0"/>
        </w:rPr>
        <w:t>万元影响所致。</w:t>
      </w:r>
    </w:p>
    <w:p>
      <w:pPr>
        <w:pStyle w:val="Style29"/>
        <w:keepNext w:val="0"/>
        <w:keepLines w:val="0"/>
        <w:widowControl w:val="0"/>
        <w:shd w:val="clear" w:color="auto" w:fill="auto"/>
        <w:tabs>
          <w:tab w:pos="350" w:val="left"/>
        </w:tabs>
        <w:bidi w:val="0"/>
        <w:spacing w:before="0" w:line="307" w:lineRule="exact"/>
        <w:ind w:left="0" w:right="0" w:firstLine="0"/>
        <w:jc w:val="left"/>
      </w:pPr>
      <w:bookmarkStart w:id="158" w:name="bookmark158"/>
      <w:r>
        <w:rPr>
          <w:rFonts w:ascii="Times New Roman" w:eastAsia="Times New Roman" w:hAnsi="Times New Roman" w:cs="Times New Roman"/>
          <w:color w:val="000000"/>
          <w:spacing w:val="0"/>
          <w:w w:val="100"/>
          <w:position w:val="0"/>
        </w:rPr>
        <w:t>7</w:t>
      </w:r>
      <w:bookmarkEnd w:id="158"/>
      <w:r>
        <w:rPr>
          <w:color w:val="000000"/>
          <w:spacing w:val="0"/>
          <w:w w:val="100"/>
          <w:position w:val="0"/>
        </w:rPr>
        <w:t>、</w:t>
        <w:tab/>
        <w:t>筹资活动现金流出小计：报告期，公司筹资活动现金流出比去年同期减少</w:t>
      </w:r>
      <w:r>
        <w:rPr>
          <w:rFonts w:ascii="Times New Roman" w:eastAsia="Times New Roman" w:hAnsi="Times New Roman" w:cs="Times New Roman"/>
          <w:color w:val="000000"/>
          <w:spacing w:val="0"/>
          <w:w w:val="100"/>
          <w:position w:val="0"/>
        </w:rPr>
        <w:t>89.88%</w:t>
      </w:r>
      <w:r>
        <w:rPr>
          <w:color w:val="000000"/>
          <w:spacing w:val="0"/>
          <w:w w:val="100"/>
          <w:position w:val="0"/>
        </w:rPr>
        <w:t>，主要是因为去年同期股票回购支付现 金</w:t>
      </w:r>
      <w:r>
        <w:rPr>
          <w:rFonts w:ascii="Times New Roman" w:eastAsia="Times New Roman" w:hAnsi="Times New Roman" w:cs="Times New Roman"/>
          <w:color w:val="000000"/>
          <w:spacing w:val="0"/>
          <w:w w:val="100"/>
          <w:position w:val="0"/>
        </w:rPr>
        <w:t>5,300.91</w:t>
      </w:r>
      <w:r>
        <w:rPr>
          <w:color w:val="000000"/>
          <w:spacing w:val="0"/>
          <w:w w:val="100"/>
          <w:position w:val="0"/>
        </w:rPr>
        <w:t>万元影响所致。</w:t>
      </w:r>
    </w:p>
    <w:p>
      <w:pPr>
        <w:pStyle w:val="Style29"/>
        <w:keepNext w:val="0"/>
        <w:keepLines w:val="0"/>
        <w:widowControl w:val="0"/>
        <w:shd w:val="clear" w:color="auto" w:fill="auto"/>
        <w:tabs>
          <w:tab w:pos="350" w:val="left"/>
        </w:tabs>
        <w:bidi w:val="0"/>
        <w:spacing w:before="0" w:line="312" w:lineRule="exact"/>
        <w:ind w:left="0" w:right="0" w:firstLine="0"/>
        <w:jc w:val="left"/>
      </w:pPr>
      <w:bookmarkStart w:id="159" w:name="bookmark159"/>
      <w:r>
        <w:rPr>
          <w:rFonts w:ascii="Times New Roman" w:eastAsia="Times New Roman" w:hAnsi="Times New Roman" w:cs="Times New Roman"/>
          <w:color w:val="000000"/>
          <w:spacing w:val="0"/>
          <w:w w:val="100"/>
          <w:position w:val="0"/>
        </w:rPr>
        <w:t>8</w:t>
      </w:r>
      <w:bookmarkEnd w:id="159"/>
      <w:r>
        <w:rPr>
          <w:color w:val="000000"/>
          <w:spacing w:val="0"/>
          <w:w w:val="100"/>
          <w:position w:val="0"/>
        </w:rPr>
        <w:t>、</w:t>
        <w:tab/>
        <w:t>筹资活动产生的现金流量净额：报告期，公司筹资活动产生的现金流量净额比去年同期增加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.14</w:t>
      </w:r>
      <w:r>
        <w:rPr>
          <w:color w:val="000000"/>
          <w:spacing w:val="0"/>
          <w:w w:val="100"/>
          <w:position w:val="0"/>
        </w:rPr>
        <w:t>亿元，主要是因为子公 司润芯为支付购房款取得银行借款</w:t>
      </w:r>
      <w:r>
        <w:rPr>
          <w:rFonts w:ascii="Times New Roman" w:eastAsia="Times New Roman" w:hAnsi="Times New Roman" w:cs="Times New Roman"/>
          <w:color w:val="000000"/>
          <w:spacing w:val="0"/>
          <w:w w:val="100"/>
          <w:position w:val="0"/>
        </w:rPr>
        <w:t>6,100.00</w:t>
      </w:r>
      <w:r>
        <w:rPr>
          <w:color w:val="000000"/>
          <w:spacing w:val="0"/>
          <w:w w:val="100"/>
          <w:position w:val="0"/>
        </w:rPr>
        <w:t>万元，及去年同期股票回购支付现金</w:t>
      </w:r>
      <w:r>
        <w:rPr>
          <w:rFonts w:ascii="Times New Roman" w:eastAsia="Times New Roman" w:hAnsi="Times New Roman" w:cs="Times New Roman"/>
          <w:color w:val="000000"/>
          <w:spacing w:val="0"/>
          <w:w w:val="100"/>
          <w:position w:val="0"/>
        </w:rPr>
        <w:t>5,300.9</w:t>
      </w:r>
      <w:r>
        <w:rPr>
          <w:rFonts w:ascii="Times New Roman" w:eastAsia="Times New Roman" w:hAnsi="Times New Roman" w:cs="Times New Roman"/>
          <w:color w:val="000000"/>
          <w:spacing w:val="0"/>
          <w:w w:val="100"/>
          <w:position w:val="0"/>
        </w:rPr>
        <w:t>1</w:t>
      </w:r>
      <w:r>
        <w:rPr>
          <w:color w:val="000000"/>
          <w:spacing w:val="0"/>
          <w:w w:val="100"/>
          <w:position w:val="0"/>
        </w:rPr>
        <w:t>万元共同影响所致。</w:t>
      </w:r>
    </w:p>
    <w:p>
      <w:pPr>
        <w:pStyle w:val="Style29"/>
        <w:keepNext w:val="0"/>
        <w:keepLines w:val="0"/>
        <w:widowControl w:val="0"/>
        <w:shd w:val="clear" w:color="auto" w:fill="auto"/>
        <w:tabs>
          <w:tab w:pos="350" w:val="left"/>
        </w:tabs>
        <w:bidi w:val="0"/>
        <w:spacing w:before="0" w:line="312" w:lineRule="exact"/>
        <w:ind w:left="0" w:right="0" w:firstLine="0"/>
        <w:jc w:val="left"/>
      </w:pPr>
      <w:bookmarkStart w:id="160" w:name="bookmark160"/>
      <w:r>
        <w:rPr>
          <w:rFonts w:ascii="Times New Roman" w:eastAsia="Times New Roman" w:hAnsi="Times New Roman" w:cs="Times New Roman"/>
          <w:color w:val="000000"/>
          <w:spacing w:val="0"/>
          <w:w w:val="100"/>
          <w:position w:val="0"/>
        </w:rPr>
        <w:t>9</w:t>
      </w:r>
      <w:bookmarkEnd w:id="160"/>
      <w:r>
        <w:rPr>
          <w:color w:val="000000"/>
          <w:spacing w:val="0"/>
          <w:w w:val="100"/>
          <w:position w:val="0"/>
        </w:rPr>
        <w:t>、</w:t>
        <w:tab/>
        <w:t>现金及现金等价物净增加额：报告期，公司现金及现金等价物净增加额比去年同期增加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.33</w:t>
      </w:r>
      <w:r>
        <w:rPr>
          <w:color w:val="000000"/>
          <w:spacing w:val="0"/>
          <w:w w:val="100"/>
          <w:position w:val="0"/>
        </w:rPr>
        <w:t>亿元，主要是因为公司报告 期上述经营、投资、筹资活动产生的现金流量与去年同期相比发生变化，共同影响所致。</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360" w:line="319" w:lineRule="exact"/>
        <w:ind w:left="0" w:right="0" w:firstLine="0"/>
        <w:jc w:val="both"/>
      </w:pPr>
      <w:r>
        <w:rPr>
          <w:color w:val="000000"/>
          <w:spacing w:val="0"/>
          <w:w w:val="100"/>
          <w:position w:val="0"/>
        </w:rPr>
        <w:t>报告期公司经营活动产生的现金净流量</w:t>
      </w:r>
      <w:r>
        <w:rPr>
          <w:rFonts w:ascii="Times New Roman" w:eastAsia="Times New Roman" w:hAnsi="Times New Roman" w:cs="Times New Roman"/>
          <w:color w:val="000000"/>
          <w:spacing w:val="0"/>
          <w:w w:val="100"/>
          <w:position w:val="0"/>
        </w:rPr>
        <w:t>51,515.55</w:t>
      </w:r>
      <w:r>
        <w:rPr>
          <w:color w:val="000000"/>
          <w:spacing w:val="0"/>
          <w:w w:val="100"/>
          <w:position w:val="0"/>
        </w:rPr>
        <w:t>万元，本年度净利润</w:t>
      </w:r>
      <w:r>
        <w:rPr>
          <w:rFonts w:ascii="Times New Roman" w:eastAsia="Times New Roman" w:hAnsi="Times New Roman" w:cs="Times New Roman"/>
          <w:color w:val="000000"/>
          <w:spacing w:val="0"/>
          <w:w w:val="100"/>
          <w:position w:val="0"/>
        </w:rPr>
        <w:t>-2,647.24</w:t>
      </w:r>
      <w:r>
        <w:rPr>
          <w:color w:val="000000"/>
          <w:spacing w:val="0"/>
          <w:w w:val="100"/>
          <w:position w:val="0"/>
        </w:rPr>
        <w:t>万元，两者的差异为</w:t>
      </w:r>
      <w:r>
        <w:rPr>
          <w:rFonts w:ascii="Times New Roman" w:eastAsia="Times New Roman" w:hAnsi="Times New Roman" w:cs="Times New Roman"/>
          <w:color w:val="000000"/>
          <w:spacing w:val="0"/>
          <w:w w:val="100"/>
          <w:position w:val="0"/>
        </w:rPr>
        <w:t>54,162.79</w:t>
      </w:r>
      <w:r>
        <w:rPr>
          <w:color w:val="000000"/>
          <w:spacing w:val="0"/>
          <w:w w:val="100"/>
          <w:position w:val="0"/>
        </w:rPr>
        <w:t>万元。主要是因 为本报告期公司投资的控股子公司一卡易无形资产和商誉发生大幅减值，及大额特种通信物联网业务在本期结算且回款，但 相匹配的配套硬件采购款已于上期支付，两者共同影响所致。</w:t>
      </w:r>
    </w:p>
    <w:p>
      <w:pPr>
        <w:pStyle w:val="Style25"/>
        <w:keepNext/>
        <w:keepLines/>
        <w:widowControl w:val="0"/>
        <w:shd w:val="clear" w:color="auto" w:fill="auto"/>
        <w:bidi w:val="0"/>
        <w:spacing w:before="0" w:after="24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、非主营业务分析</w:t>
      </w:r>
      <w:bookmarkEnd w:id="161"/>
      <w:bookmarkEnd w:id="162"/>
      <w:bookmarkEnd w:id="164"/>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27,627,189.19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权益法核算的长期股权投 资收益及委托他人投资或 管理资产的投资收益等组 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公允价值变动损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3,542,886.64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期末理财产品以公允价值 计量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-112,816,892.94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计提存货跌价准备、计提 无形资产减值、计提商誉 减值准备共同形成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2,634,881.58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政府奖励款、违约金等形 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196,786.82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捐款捐赠等形成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-5,235,020.59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计提应收款项坏账准备形 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11,245,637.71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软件产品退税及科研项目 政府补助款等形成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软件产品退税具有可持续 性；科研项目政府补助款 不具有可持续性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-1,023,212.06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处置非流动资产形成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、资产及负债状况分析</w:t>
      </w:r>
      <w:bookmarkEnd w:id="165"/>
      <w:bookmarkEnd w:id="166"/>
      <w:bookmarkEnd w:id="168"/>
    </w:p>
    <w:p>
      <w:pPr>
        <w:pStyle w:val="Style32"/>
        <w:keepNext/>
        <w:keepLines/>
        <w:widowControl w:val="0"/>
        <w:shd w:val="clear" w:color="auto" w:fill="auto"/>
        <w:bidi w:val="0"/>
        <w:spacing w:before="0" w:after="32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466,594,220.</w:t>
            </w:r>
          </w:p>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503,576,108.</w:t>
            </w:r>
          </w:p>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149,066,277.</w:t>
            </w:r>
          </w:p>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121,175,949.</w:t>
            </w:r>
          </w:p>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244,435,874.</w:t>
            </w:r>
          </w:p>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201,828,732.</w:t>
            </w:r>
          </w:p>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216,686,984.</w:t>
            </w:r>
          </w:p>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210,630,598.</w:t>
            </w:r>
          </w:p>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313,581,913.</w:t>
            </w:r>
          </w:p>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177,832,871.</w:t>
            </w:r>
          </w:p>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报告期末，固定资产比年初增加 </w:t>
            </w:r>
            <w:r>
              <w:rPr>
                <w:color w:val="000000"/>
                <w:spacing w:val="0"/>
                <w:w w:val="100"/>
                <w:position w:val="0"/>
              </w:rPr>
              <w:t>76.34%</w:t>
            </w:r>
            <w:r>
              <w:rPr>
                <w:rFonts w:ascii="SimSun" w:eastAsia="SimSun" w:hAnsi="SimSun" w:cs="SimSun"/>
                <w:color w:val="000000"/>
                <w:spacing w:val="0"/>
                <w:w w:val="100"/>
                <w:position w:val="0"/>
              </w:rPr>
              <w:t>,主要是因为报告期子公司 润芯和智能系统购买办公楼及办公 楼装修达到可使用状态转固所致。</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3,837,623.75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23,124,534.6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报告期末，在建工程比年初减少 </w:t>
            </w:r>
            <w:r>
              <w:rPr>
                <w:color w:val="000000"/>
                <w:spacing w:val="0"/>
                <w:w w:val="100"/>
                <w:position w:val="0"/>
              </w:rPr>
              <w:t>83.40%</w:t>
            </w:r>
            <w:r>
              <w:rPr>
                <w:rFonts w:ascii="SimSun" w:eastAsia="SimSun" w:hAnsi="SimSun" w:cs="SimSun"/>
                <w:color w:val="000000"/>
                <w:spacing w:val="0"/>
                <w:w w:val="100"/>
                <w:position w:val="0"/>
              </w:rPr>
              <w:t>，主要是因为报告期子公司 润芯和智能系统购买办公楼及办公 楼装修达到可使用状态转固所致。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40,660,000.0</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 xml:space="preserve">报告期末，长期借款比年初增加 </w:t>
            </w:r>
            <w:r>
              <w:rPr>
                <w:color w:val="000000"/>
                <w:spacing w:val="0"/>
                <w:w w:val="100"/>
                <w:position w:val="0"/>
              </w:rPr>
              <w:t>4,066.00</w:t>
            </w:r>
            <w:r>
              <w:rPr>
                <w:rFonts w:ascii="SimSun" w:eastAsia="SimSun" w:hAnsi="SimSun" w:cs="SimSun"/>
                <w:color w:val="000000"/>
                <w:spacing w:val="0"/>
                <w:w w:val="100"/>
                <w:position w:val="0"/>
              </w:rPr>
              <w:t>万元，主要是因为报告期 子公司润芯为支付购房款取得银行 借款影响所致。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交易性金融资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863,892,886.</w:t>
            </w:r>
          </w:p>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379,200,000.</w:t>
            </w:r>
          </w:p>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报告期末，公司交易性金融资产比 年初增加</w:t>
            </w:r>
            <w:r>
              <w:rPr>
                <w:color w:val="000000"/>
                <w:spacing w:val="0"/>
                <w:w w:val="100"/>
                <w:position w:val="0"/>
              </w:rPr>
              <w:t>127.82%</w:t>
            </w:r>
            <w:r>
              <w:rPr>
                <w:rFonts w:ascii="SimSun" w:eastAsia="SimSun" w:hAnsi="SimSun" w:cs="SimSun"/>
                <w:color w:val="000000"/>
                <w:spacing w:val="0"/>
                <w:w w:val="100"/>
                <w:position w:val="0"/>
              </w:rPr>
              <w:t>，主要是因为报 告期末公司到期未赎回的理财产品 比年初增加所致。</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229,523.40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报告期末，公司应收票据比年初减 少</w:t>
            </w:r>
            <w:r>
              <w:rPr>
                <w:color w:val="000000"/>
                <w:spacing w:val="0"/>
                <w:w w:val="100"/>
                <w:position w:val="0"/>
              </w:rPr>
              <w:t>22.95</w:t>
            </w:r>
            <w:r>
              <w:rPr>
                <w:rFonts w:ascii="SimSun" w:eastAsia="SimSun" w:hAnsi="SimSun" w:cs="SimSun"/>
                <w:color w:val="000000"/>
                <w:spacing w:val="0"/>
                <w:w w:val="100"/>
                <w:position w:val="0"/>
              </w:rPr>
              <w:t>万元，主要是因为报告期</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公司商业承兑汇票到期结算及无新 增商业承兑汇票业务共同影响所 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47,636.80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23,256.45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报告期末，公司应收款项融资比年 初增加</w:t>
            </w:r>
            <w:r>
              <w:rPr>
                <w:color w:val="000000"/>
                <w:spacing w:val="0"/>
                <w:w w:val="100"/>
                <w:position w:val="0"/>
              </w:rPr>
              <w:t>104.83%</w:t>
            </w:r>
            <w:r>
              <w:rPr>
                <w:rFonts w:ascii="SimSun" w:eastAsia="SimSun" w:hAnsi="SimSun" w:cs="SimSun"/>
                <w:color w:val="000000"/>
                <w:spacing w:val="0"/>
                <w:w w:val="100"/>
                <w:position w:val="0"/>
              </w:rPr>
              <w:t>,主要是因为报告 期公司银行承兑汇票结算业务增加 影响所致。</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7,388,008.89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508,668,368.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-21.34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报告期末，公司预付款项比年初减 少</w:t>
            </w:r>
            <w:r>
              <w:rPr>
                <w:color w:val="000000"/>
                <w:spacing w:val="0"/>
                <w:w w:val="100"/>
                <w:position w:val="0"/>
              </w:rPr>
              <w:t>98.55%</w:t>
            </w:r>
            <w:r>
              <w:rPr>
                <w:rFonts w:ascii="SimSun" w:eastAsia="SimSun" w:hAnsi="SimSun" w:cs="SimSun"/>
                <w:color w:val="000000"/>
                <w:spacing w:val="0"/>
                <w:w w:val="100"/>
                <w:position w:val="0"/>
              </w:rPr>
              <w:t>,主要是因为报告期公司 预付采购款的特种通信物联网业务 配套采购硬件设备部分交付并结算 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13,964,446.3</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2,690,045.47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报告期末，公司其他流动资产比年 初增加</w:t>
            </w:r>
            <w:r>
              <w:rPr>
                <w:color w:val="000000"/>
                <w:spacing w:val="0"/>
                <w:w w:val="100"/>
                <w:position w:val="0"/>
              </w:rPr>
              <w:t>419.12%</w:t>
            </w:r>
            <w:r>
              <w:rPr>
                <w:rFonts w:ascii="SimSun" w:eastAsia="SimSun" w:hAnsi="SimSun" w:cs="SimSun"/>
                <w:color w:val="000000"/>
                <w:spacing w:val="0"/>
                <w:w w:val="100"/>
                <w:position w:val="0"/>
              </w:rPr>
              <w:t>，主要是因为报告 期子公司润芯增值税留抵影响所 致。</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其他权益工具</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21,030,000.0</w:t>
            </w:r>
          </w:p>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报告期末，公司其他权益工具投资 比年初减少</w:t>
            </w:r>
            <w:r>
              <w:rPr>
                <w:color w:val="000000"/>
                <w:spacing w:val="0"/>
                <w:w w:val="100"/>
                <w:position w:val="0"/>
              </w:rPr>
              <w:t>71.33%</w:t>
            </w:r>
            <w:r>
              <w:rPr>
                <w:rFonts w:ascii="SimSun" w:eastAsia="SimSun" w:hAnsi="SimSun" w:cs="SimSun"/>
                <w:color w:val="000000"/>
                <w:spacing w:val="0"/>
                <w:w w:val="100"/>
                <w:position w:val="0"/>
              </w:rPr>
              <w:t>，主要是因为报 告期公司收回南京盛宇涌鑫股权投 资中心（有限合伙）部分股权影响 所致。</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47,767,184.3</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123,553,374.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报告期末，公司无形资产比年初减 少</w:t>
            </w:r>
            <w:r>
              <w:rPr>
                <w:color w:val="000000"/>
                <w:spacing w:val="0"/>
                <w:w w:val="100"/>
                <w:position w:val="0"/>
              </w:rPr>
              <w:t>61.34%</w:t>
            </w:r>
            <w:r>
              <w:rPr>
                <w:rFonts w:ascii="SimSun" w:eastAsia="SimSun" w:hAnsi="SimSun" w:cs="SimSun"/>
                <w:color w:val="000000"/>
                <w:spacing w:val="0"/>
                <w:w w:val="100"/>
                <w:position w:val="0"/>
              </w:rPr>
              <w:t>，主要是因为报告期控股 子公司深圳一卡易合并报表的无形 资产发生减值</w:t>
            </w:r>
            <w:r>
              <w:rPr>
                <w:color w:val="000000"/>
                <w:spacing w:val="0"/>
                <w:w w:val="100"/>
                <w:position w:val="0"/>
              </w:rPr>
              <w:t>5,619.83</w:t>
            </w:r>
            <w:r>
              <w:rPr>
                <w:rFonts w:ascii="SimSun" w:eastAsia="SimSun" w:hAnsi="SimSun" w:cs="SimSun"/>
                <w:color w:val="000000"/>
                <w:spacing w:val="0"/>
                <w:w w:val="100"/>
                <w:position w:val="0"/>
              </w:rPr>
              <w:t>万元影响所 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4,425,017.47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56,939,563.9</w:t>
            </w:r>
          </w:p>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报告期末，公司商誉比年初减少 </w:t>
            </w:r>
            <w:r>
              <w:rPr>
                <w:color w:val="000000"/>
                <w:spacing w:val="0"/>
                <w:w w:val="100"/>
                <w:position w:val="0"/>
              </w:rPr>
              <w:t>92.23%</w:t>
            </w:r>
            <w:r>
              <w:rPr>
                <w:rFonts w:ascii="SimSun" w:eastAsia="SimSun" w:hAnsi="SimSun" w:cs="SimSun"/>
                <w:color w:val="000000"/>
                <w:spacing w:val="0"/>
                <w:w w:val="100"/>
                <w:position w:val="0"/>
              </w:rPr>
              <w:t xml:space="preserve">，主要是因为报告期控股子 公司合并报表的商誉发生减值 </w:t>
            </w:r>
            <w:r>
              <w:rPr>
                <w:color w:val="000000"/>
                <w:spacing w:val="0"/>
                <w:w w:val="100"/>
                <w:position w:val="0"/>
              </w:rPr>
              <w:t>5,251.45</w:t>
            </w:r>
            <w:r>
              <w:rPr>
                <w:rFonts w:ascii="SimSun" w:eastAsia="SimSun" w:hAnsi="SimSun" w:cs="SimSun"/>
                <w:color w:val="000000"/>
                <w:spacing w:val="0"/>
                <w:w w:val="100"/>
                <w:position w:val="0"/>
              </w:rPr>
              <w:t>万元影响所致。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10,792,283.8</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5,234,172.30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报告期末，公司长期待摊费用比年 初增加</w:t>
            </w:r>
            <w:r>
              <w:rPr>
                <w:color w:val="000000"/>
                <w:spacing w:val="0"/>
                <w:w w:val="100"/>
                <w:position w:val="0"/>
              </w:rPr>
              <w:t>106.19%</w:t>
            </w:r>
            <w:r>
              <w:rPr>
                <w:rFonts w:ascii="SimSun" w:eastAsia="SimSun" w:hAnsi="SimSun" w:cs="SimSun"/>
                <w:color w:val="000000"/>
                <w:spacing w:val="0"/>
                <w:w w:val="100"/>
                <w:position w:val="0"/>
              </w:rPr>
              <w:t>，主要是因为报告 期公司增加长期服务费影响所致。</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报告期末，公司应付票据比年初增 加</w:t>
            </w:r>
            <w:r>
              <w:rPr>
                <w:color w:val="000000"/>
                <w:spacing w:val="0"/>
                <w:w w:val="100"/>
                <w:position w:val="0"/>
              </w:rPr>
              <w:t>115.00</w:t>
            </w:r>
            <w:r>
              <w:rPr>
                <w:rFonts w:ascii="SimSun" w:eastAsia="SimSun" w:hAnsi="SimSun" w:cs="SimSun"/>
                <w:color w:val="000000"/>
                <w:spacing w:val="0"/>
                <w:w w:val="100"/>
                <w:position w:val="0"/>
              </w:rPr>
              <w:t>万元，主要是因为报告期 公司采用银行承兑汇票结算方式的 采购业务增加所致。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75,481,072.0</w:t>
            </w:r>
          </w:p>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55,106,019.7</w:t>
            </w:r>
          </w:p>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8,161,297.22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12,479,326.3</w:t>
            </w:r>
          </w:p>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报告期末，公司应交税费比年初减 少</w:t>
            </w:r>
            <w:r>
              <w:rPr>
                <w:color w:val="000000"/>
                <w:spacing w:val="0"/>
                <w:w w:val="100"/>
                <w:position w:val="0"/>
              </w:rPr>
              <w:t>34.60%</w:t>
            </w:r>
            <w:r>
              <w:rPr>
                <w:rFonts w:ascii="SimSun" w:eastAsia="SimSun" w:hAnsi="SimSun" w:cs="SimSun"/>
                <w:color w:val="000000"/>
                <w:spacing w:val="0"/>
                <w:w w:val="100"/>
                <w:position w:val="0"/>
              </w:rPr>
              <w:t>，主要是因为报告期公司</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应交增值税、应交所得税和应交个 人所得税减少所致。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15,107,199.1</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22,780,263.3</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报告期末，公司其他应付款比年初 减少</w:t>
            </w:r>
            <w:r>
              <w:rPr>
                <w:color w:val="000000"/>
                <w:spacing w:val="0"/>
                <w:w w:val="100"/>
                <w:position w:val="0"/>
              </w:rPr>
              <w:t>33.68%</w:t>
            </w:r>
            <w:r>
              <w:rPr>
                <w:rFonts w:ascii="SimSun" w:eastAsia="SimSun" w:hAnsi="SimSun" w:cs="SimSun"/>
                <w:color w:val="000000"/>
                <w:spacing w:val="0"/>
                <w:w w:val="100"/>
                <w:position w:val="0"/>
              </w:rPr>
              <w:t>,主要是因为报告期公 司应付而未付的费用减少所致。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20,419,681.2</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报告期末，公司一年内到期的非流 动负债比年初增加</w:t>
            </w:r>
            <w:r>
              <w:rPr>
                <w:color w:val="000000"/>
                <w:spacing w:val="0"/>
                <w:w w:val="100"/>
                <w:position w:val="0"/>
              </w:rPr>
              <w:t>2,041.97</w:t>
            </w:r>
            <w:r>
              <w:rPr>
                <w:rFonts w:ascii="SimSun" w:eastAsia="SimSun" w:hAnsi="SimSun" w:cs="SimSun"/>
                <w:color w:val="000000"/>
                <w:spacing w:val="0"/>
                <w:w w:val="100"/>
                <w:position w:val="0"/>
              </w:rPr>
              <w:t>万元， 主要是子公司润芯一年内到期的长 期借款重分类影响所致。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8,461,491.75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4,589,601.78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报告期末，公司其他流动负债比年 初增加</w:t>
            </w:r>
            <w:r>
              <w:rPr>
                <w:color w:val="000000"/>
                <w:spacing w:val="0"/>
                <w:w w:val="100"/>
                <w:position w:val="0"/>
              </w:rPr>
              <w:t>84.36%</w:t>
            </w:r>
            <w:r>
              <w:rPr>
                <w:rFonts w:ascii="SimSun" w:eastAsia="SimSun" w:hAnsi="SimSun" w:cs="SimSun"/>
                <w:color w:val="000000"/>
                <w:spacing w:val="0"/>
                <w:w w:val="100"/>
                <w:position w:val="0"/>
              </w:rPr>
              <w:t>,主要是因为合同负 债产生的待转销销项税比年初增加 所致。</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6,055,828.29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2,115,431.25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报告期末，公司递延收益比年初增 加</w:t>
            </w:r>
            <w:r>
              <w:rPr>
                <w:color w:val="000000"/>
                <w:spacing w:val="0"/>
                <w:w w:val="100"/>
                <w:position w:val="0"/>
              </w:rPr>
              <w:t>186.27%</w:t>
            </w:r>
            <w:r>
              <w:rPr>
                <w:rFonts w:ascii="SimSun" w:eastAsia="SimSun" w:hAnsi="SimSun" w:cs="SimSun"/>
                <w:color w:val="000000"/>
                <w:spacing w:val="0"/>
                <w:w w:val="100"/>
                <w:position w:val="0"/>
              </w:rPr>
              <w:t>，主要是因为报告期公 司收到研发项目补贴增加所致。</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递延所得税负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2,938,563.62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13,353,340.8</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报告期末，公司递延所得税负债比 年初减少</w:t>
            </w:r>
            <w:r>
              <w:rPr>
                <w:color w:val="000000"/>
                <w:spacing w:val="0"/>
                <w:w w:val="100"/>
                <w:position w:val="0"/>
              </w:rPr>
              <w:t>77.99%</w:t>
            </w:r>
            <w:r>
              <w:rPr>
                <w:rFonts w:ascii="SimSun" w:eastAsia="SimSun" w:hAnsi="SimSun" w:cs="SimSun"/>
                <w:color w:val="000000"/>
                <w:spacing w:val="0"/>
                <w:w w:val="100"/>
                <w:position w:val="0"/>
              </w:rPr>
              <w:t>，主要是因为报告 期控股子公司深圳一卡易合并报表 的无形资产发生减值，冲回递延所 得税负债影响所致。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756,218.76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1,468,601.25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报告期末，其他综合收益比年初减 少</w:t>
            </w:r>
            <w:r>
              <w:rPr>
                <w:color w:val="000000"/>
                <w:spacing w:val="0"/>
                <w:w w:val="100"/>
                <w:position w:val="0"/>
              </w:rPr>
              <w:t>48.51%</w:t>
            </w:r>
            <w:r>
              <w:rPr>
                <w:rFonts w:ascii="SimSun" w:eastAsia="SimSun" w:hAnsi="SimSun" w:cs="SimSun"/>
                <w:color w:val="000000"/>
                <w:spacing w:val="0"/>
                <w:w w:val="100"/>
                <w:position w:val="0"/>
              </w:rPr>
              <w:t>，主要是因为报告期汇率 变动影响所致。</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60,782,859.9</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88,979,674.7</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报告期末，少数股东权益比年初减 少</w:t>
            </w:r>
            <w:r>
              <w:rPr>
                <w:color w:val="000000"/>
                <w:spacing w:val="0"/>
                <w:w w:val="100"/>
                <w:position w:val="0"/>
              </w:rPr>
              <w:t>31.69%</w:t>
            </w:r>
            <w:r>
              <w:rPr>
                <w:rFonts w:ascii="SimSun" w:eastAsia="SimSun" w:hAnsi="SimSun" w:cs="SimSun"/>
                <w:color w:val="000000"/>
                <w:spacing w:val="0"/>
                <w:w w:val="100"/>
                <w:position w:val="0"/>
              </w:rPr>
              <w:t>，主要是因为报告期控股 子公司深圳一卡易的少数股东损益 减少影响所致。</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4"/>
        <w:gridCol w:w="1090"/>
        <w:gridCol w:w="965"/>
        <w:gridCol w:w="970"/>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本期公允 价值变动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 的累计公 允价值变</w:t>
            </w:r>
          </w:p>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 融资产（不 含衍生金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379,200,00</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3,542,886.6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3,171,650,0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2,690,500,0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863,892,8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w:t>
            </w:r>
          </w:p>
        </w:tc>
      </w:tr>
    </w:tbl>
    <w:tbl>
      <w:tblPr>
        <w:tblOverlap w:val="never"/>
        <w:jc w:val="center"/>
        <w:tblLayout w:type="fixed"/>
      </w:tblPr>
      <w:tblGrid>
        <w:gridCol w:w="1099"/>
        <w:gridCol w:w="1090"/>
        <w:gridCol w:w="1094"/>
        <w:gridCol w:w="1090"/>
        <w:gridCol w:w="1090"/>
        <w:gridCol w:w="1094"/>
        <w:gridCol w:w="1090"/>
        <w:gridCol w:w="965"/>
        <w:gridCol w:w="970"/>
      </w:tblGrid>
      <w:tr>
        <w:trPr>
          <w:trHeight w:val="36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 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21,030,000.</w:t>
            </w:r>
          </w:p>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6,030,000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金融资产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400,230,00</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3,542,886.6</w:t>
            </w:r>
          </w:p>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3,171,650,0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2,705,500,0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869,922,8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应收款项 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204,641.64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47,636.80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400,253,25</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3,542,886.6</w:t>
            </w:r>
          </w:p>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3,171,854,6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2,705,680,2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869,970,5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2"/>
        <w:keepNext/>
        <w:keepLines/>
        <w:widowControl w:val="0"/>
        <w:shd w:val="clear" w:color="auto" w:fill="auto"/>
        <w:bidi w:val="0"/>
        <w:spacing w:before="0" w:after="30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p>
      <w:pPr>
        <w:pStyle w:val="Style29"/>
        <w:keepNext w:val="0"/>
        <w:keepLines w:val="0"/>
        <w:widowControl w:val="0"/>
        <w:shd w:val="clear" w:color="auto" w:fill="auto"/>
        <w:tabs>
          <w:tab w:pos="891" w:val="left"/>
        </w:tabs>
        <w:bidi w:val="0"/>
        <w:spacing w:before="0" w:after="0" w:line="311" w:lineRule="exact"/>
        <w:ind w:left="0" w:right="0" w:firstLine="380"/>
        <w:jc w:val="both"/>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rPr>
        <w:t>1</w:t>
      </w:r>
      <w:r>
        <w:rPr>
          <w:color w:val="000000"/>
          <w:spacing w:val="0"/>
          <w:w w:val="100"/>
          <w:position w:val="0"/>
        </w:rPr>
        <w:t>）</w:t>
        <w:tab/>
        <w:t>公司以其所有的座落于北京西城区金融大街的不动产为抵押，向中国农业银行股份有限公司丹阳支行取得</w:t>
      </w:r>
      <w:r>
        <w:rPr>
          <w:rFonts w:ascii="Times New Roman" w:eastAsia="Times New Roman" w:hAnsi="Times New Roman" w:cs="Times New Roman"/>
          <w:color w:val="000000"/>
          <w:spacing w:val="0"/>
          <w:w w:val="100"/>
          <w:position w:val="0"/>
        </w:rPr>
        <w:t>2</w:t>
      </w:r>
      <w:r>
        <w:rPr>
          <w:color w:val="000000"/>
          <w:spacing w:val="0"/>
          <w:w w:val="100"/>
          <w:position w:val="0"/>
        </w:rPr>
        <w:t>亿元人 民币授信额度。截至期末，上述抵押物账面原值为人民币</w:t>
      </w:r>
      <w:r>
        <w:rPr>
          <w:rFonts w:ascii="Times New Roman" w:eastAsia="Times New Roman" w:hAnsi="Times New Roman" w:cs="Times New Roman"/>
          <w:color w:val="000000"/>
          <w:spacing w:val="0"/>
          <w:w w:val="100"/>
          <w:position w:val="0"/>
        </w:rPr>
        <w:t>43,690,478.23</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32,120,791.63</w:t>
      </w:r>
      <w:r>
        <w:rPr>
          <w:color w:val="000000"/>
          <w:spacing w:val="0"/>
          <w:w w:val="100"/>
          <w:position w:val="0"/>
        </w:rPr>
        <w:t>元。授信额度用 于开具信用证及保函。报告期末，已使用授信额度人民币</w:t>
      </w:r>
      <w:r>
        <w:rPr>
          <w:rFonts w:ascii="Times New Roman" w:eastAsia="Times New Roman" w:hAnsi="Times New Roman" w:cs="Times New Roman"/>
          <w:color w:val="000000"/>
          <w:spacing w:val="0"/>
          <w:w w:val="100"/>
          <w:position w:val="0"/>
        </w:rPr>
        <w:t>4,736,727.02</w:t>
      </w:r>
      <w:r>
        <w:rPr>
          <w:color w:val="000000"/>
          <w:spacing w:val="0"/>
          <w:w w:val="100"/>
          <w:position w:val="0"/>
        </w:rPr>
        <w:t>元。</w:t>
      </w:r>
    </w:p>
    <w:p>
      <w:pPr>
        <w:pStyle w:val="Style29"/>
        <w:keepNext w:val="0"/>
        <w:keepLines w:val="0"/>
        <w:widowControl w:val="0"/>
        <w:shd w:val="clear" w:color="auto" w:fill="auto"/>
        <w:tabs>
          <w:tab w:pos="901" w:val="left"/>
        </w:tabs>
        <w:bidi w:val="0"/>
        <w:spacing w:before="0" w:after="700" w:line="311" w:lineRule="exact"/>
        <w:ind w:left="0" w:right="0" w:firstLine="380"/>
        <w:jc w:val="both"/>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2</w:t>
      </w:r>
      <w:r>
        <w:rPr>
          <w:color w:val="000000"/>
          <w:spacing w:val="0"/>
          <w:w w:val="100"/>
          <w:position w:val="0"/>
        </w:rPr>
        <w:t>）</w:t>
        <w:tab/>
        <w:t>公司以其所有的座落于丹阳市云阳镇横塘化工路、横塘工业园、云阳镇东马场的不动产为抵押物、保证金的质押 及钱京的个人保证，向中国银行股份有限公司丹阳支行取得</w:t>
      </w:r>
      <w:r>
        <w:rPr>
          <w:rFonts w:ascii="Times New Roman" w:eastAsia="Times New Roman" w:hAnsi="Times New Roman" w:cs="Times New Roman"/>
          <w:color w:val="000000"/>
          <w:spacing w:val="0"/>
          <w:w w:val="100"/>
          <w:position w:val="0"/>
        </w:rPr>
        <w:t>2</w:t>
      </w:r>
      <w:r>
        <w:rPr>
          <w:color w:val="000000"/>
          <w:spacing w:val="0"/>
          <w:w w:val="100"/>
          <w:position w:val="0"/>
        </w:rPr>
        <w:t>亿元人民币授信额度。截至期末，上述抵押物账面原值为人民 币</w:t>
      </w:r>
      <w:r>
        <w:rPr>
          <w:rFonts w:ascii="Times New Roman" w:eastAsia="Times New Roman" w:hAnsi="Times New Roman" w:cs="Times New Roman"/>
          <w:color w:val="000000"/>
          <w:spacing w:val="0"/>
          <w:w w:val="100"/>
          <w:position w:val="0"/>
        </w:rPr>
        <w:t>135,979,538.15</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56,334,854.81</w:t>
      </w:r>
      <w:r>
        <w:rPr>
          <w:color w:val="000000"/>
          <w:spacing w:val="0"/>
          <w:w w:val="100"/>
          <w:position w:val="0"/>
        </w:rPr>
        <w:t xml:space="preserve">元。授信额度用于开具信用证及保函。报告期末，已使用授信额度人民 币 </w:t>
      </w:r>
      <w:r>
        <w:rPr>
          <w:rFonts w:ascii="Times New Roman" w:eastAsia="Times New Roman" w:hAnsi="Times New Roman" w:cs="Times New Roman"/>
          <w:color w:val="000000"/>
          <w:spacing w:val="0"/>
          <w:w w:val="100"/>
          <w:position w:val="0"/>
        </w:rPr>
        <w:t>9,320,638.86</w:t>
      </w:r>
      <w:r>
        <w:rPr>
          <w:color w:val="000000"/>
          <w:spacing w:val="0"/>
          <w:w w:val="100"/>
          <w:position w:val="0"/>
        </w:rPr>
        <w:t>元。</w:t>
      </w:r>
    </w:p>
    <w:p>
      <w:pPr>
        <w:pStyle w:val="Style25"/>
        <w:keepNext/>
        <w:keepLines/>
        <w:widowControl w:val="0"/>
        <w:shd w:val="clear" w:color="auto" w:fill="auto"/>
        <w:bidi w:val="0"/>
        <w:spacing w:before="0" w:after="30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32"/>
        <w:keepNext/>
        <w:keepLines/>
        <w:widowControl w:val="0"/>
        <w:shd w:val="clear" w:color="auto" w:fill="auto"/>
        <w:bidi w:val="0"/>
        <w:spacing w:before="0" w:after="36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607,758,134.94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405,377,514.38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、报告期内正在进行的重大的非股权投资情况</w:t>
      </w:r>
      <w:bookmarkEnd w:id="195"/>
      <w:bookmarkEnd w:id="196"/>
      <w:bookmarkEnd w:id="198"/>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6"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金融资产投资</w:t>
      </w:r>
      <w:bookmarkEnd w:id="199"/>
      <w:bookmarkEnd w:id="200"/>
      <w:bookmarkEnd w:id="202"/>
    </w:p>
    <w:p>
      <w:pPr>
        <w:pStyle w:val="Style32"/>
        <w:keepNext/>
        <w:keepLines/>
        <w:widowControl w:val="0"/>
        <w:numPr>
          <w:ilvl w:val="0"/>
          <w:numId w:val="3"/>
        </w:numPr>
        <w:shd w:val="clear" w:color="auto" w:fill="auto"/>
        <w:tabs>
          <w:tab w:pos="488" w:val="left"/>
        </w:tabs>
        <w:bidi w:val="0"/>
        <w:spacing w:before="0" w:after="360" w:line="240" w:lineRule="auto"/>
        <w:ind w:left="0" w:right="0" w:firstLine="0"/>
        <w:jc w:val="left"/>
      </w:pPr>
      <w:bookmarkStart w:id="199" w:name="bookmark199"/>
      <w:bookmarkStart w:id="200" w:name="bookmark200"/>
      <w:bookmarkStart w:id="203" w:name="bookmark203"/>
      <w:bookmarkStart w:id="204" w:name="bookmark204"/>
      <w:bookmarkEnd w:id="203"/>
      <w:r>
        <w:rPr>
          <w:color w:val="000000"/>
          <w:spacing w:val="0"/>
          <w:w w:val="100"/>
          <w:position w:val="0"/>
        </w:rPr>
        <w:t>证券投资情况</w:t>
      </w:r>
      <w:bookmarkEnd w:id="199"/>
      <w:bookmarkEnd w:id="200"/>
      <w:bookmarkEnd w:id="2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2"/>
        <w:keepNext/>
        <w:keepLines/>
        <w:widowControl w:val="0"/>
        <w:numPr>
          <w:ilvl w:val="0"/>
          <w:numId w:val="3"/>
        </w:numPr>
        <w:shd w:val="clear" w:color="auto" w:fill="auto"/>
        <w:tabs>
          <w:tab w:pos="488"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衍生品投资情况</w:t>
      </w:r>
      <w:bookmarkEnd w:id="205"/>
      <w:bookmarkEnd w:id="206"/>
      <w:bookmarkEnd w:id="2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86"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w:t>
        <w:tab/>
        <w:t>重大资产和股权出售</w:t>
      </w:r>
      <w:bookmarkEnd w:id="213"/>
      <w:bookmarkEnd w:id="214"/>
      <w:bookmarkEnd w:id="216"/>
    </w:p>
    <w:p>
      <w:pPr>
        <w:pStyle w:val="Style32"/>
        <w:keepNext/>
        <w:keepLines/>
        <w:widowControl w:val="0"/>
        <w:shd w:val="clear" w:color="auto" w:fill="auto"/>
        <w:tabs>
          <w:tab w:pos="386"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86"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w:t>
        <w:tab/>
        <w:t>主要控股参股公司分析</w:t>
      </w:r>
      <w:bookmarkEnd w:id="225"/>
      <w:bookmarkEnd w:id="226"/>
      <w:bookmarkEnd w:id="2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28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江苏恒宝 智能系统 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电子标签、 读写机具、 终端产品 的研发、生 产、销售及 服务；电子 标签的行 业解决方 案、软件开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400,720,01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392,518,02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59,590,265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43,256,997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34,475,397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发及系统 集成；计算 机软、硬件 的开发；计 算机系统 集成服务； 通信设备、 电子设备、 移动智能 设备、物联 网产品的 开发、销 售、安装、 维修；上述 相关产业 的信息咨 询服务；磁 卡、</w:t>
            </w:r>
            <w:r>
              <w:rPr>
                <w:color w:val="000000"/>
                <w:spacing w:val="0"/>
                <w:w w:val="100"/>
                <w:position w:val="0"/>
              </w:rPr>
              <w:t>IC</w:t>
            </w:r>
            <w:r>
              <w:rPr>
                <w:rFonts w:ascii="SimSun" w:eastAsia="SimSun" w:hAnsi="SimSun" w:cs="SimSun"/>
                <w:color w:val="000000"/>
                <w:spacing w:val="0"/>
                <w:w w:val="100"/>
                <w:position w:val="0"/>
              </w:rPr>
              <w:t>卡、 文化用品、 信封的销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恒宝国际 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研发、提供 智能卡及 相关解决 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新加坡元</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1,980,000.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r>
              <w:rPr>
                <w:rFonts w:ascii="SimSun" w:eastAsia="SimSun" w:hAnsi="SimSun" w:cs="SimSun"/>
                <w:color w:val="000000"/>
                <w:spacing w:val="0"/>
                <w:w w:val="100"/>
                <w:position w:val="0"/>
              </w:rPr>
              <w:t>美元</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7,283,527.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62,901,382</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43,945,050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42,696,378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-3,344,269.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-3,346,930.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北京东方 英卡数字 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生产智能 卡（限分支 机构经 营）；货物 进出口、技 术进出口、 代理进出 口；技术检 测；技术服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11,963,166</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11,941,554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-2,548,442.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-2,548,442.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22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深圳一卡 易科技股 份有限公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 硬件的技 术开发与 销售（不含 专营、专 控、专卖商 品及限制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139,106,45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123,917,39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60,310,772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-63,837,49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-50,891,43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云宝金服</w:t>
            </w:r>
          </w:p>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（北京）科 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技术开发、 技术服务； 软化开发； 接受金融 机构委托 从事金融 信息技术 服务外包； 投资管理； 数据处理； 互联网信 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23,583,079</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9,380,814.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21,063,255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-1,209,070.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-1,209,069.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恒宝（中东 非洲）有限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研发、销 售、系统集 成；提供智 能卡、金融 科技、物联 网、数据服 务及相关 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亿肯尼</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亚先令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218,332.25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200,913.37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-226,422.0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-226,422.0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691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恒宝润芯 数字科技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数字科技、 互联网科 技、智能科 技、软件科 技、信息科 技、电子科 技领域内 的技术开 发、技术服 务、技术咨 询、技术转 让，互联网 数据服务， 互联网安 全服务，信 息咨询服 务（不含许 可类信息 咨询服 务），集成 电路设计， 计算机系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亿元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282,690,36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131,516,92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511,929.77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511,929.77</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统服务，信 息系统集 成服务，智 能控制系 统集成，大 数据服务， 数据处理， 物联网技 术服务，电 子产品、计 算机软硬 件及辅助 设备、智能 产品、集成 电路芯片 及产品的 销售，住房 租赁，非居 住房地产 租赁。货物 进出口；技 术进出口； 检验检测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上海恒毓 投资中心</w:t>
            </w:r>
          </w:p>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（有限合 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创业投资， 投资管理， 投资咨询， 实业投资。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50,743.00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549,966,96</w:t>
            </w:r>
          </w:p>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549,966,96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8,951,906.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8,958,245.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云玥科技（上海）有限公司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对报告期年度生产经营和业绩无重大 影响。</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恒宝物联网有限公司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对报告期年度生产经营和业绩无重大 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恒宝润芯数字科技有限公司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对报告期年度生产经营和业绩无重大 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海南省恒宝数字科技有限公司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对报告期年度生产经营和业绩无重大 影响。</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Key fort Pte. Ltd.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对报告期年度生产经营和业绩无重大 影响。</w:t>
            </w:r>
          </w:p>
        </w:tc>
      </w:tr>
    </w:tbl>
    <w:tbl>
      <w:tblPr>
        <w:tblOverlap w:val="never"/>
        <w:jc w:val="center"/>
        <w:tblLayout w:type="fixed"/>
      </w:tblPr>
      <w:tblGrid>
        <w:gridCol w:w="3192"/>
        <w:gridCol w:w="3192"/>
        <w:gridCol w:w="3197"/>
      </w:tblGrid>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Chipstone Technologies Pte Ltd.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对报告期年度生产经营和业绩无重大 影响。</w:t>
            </w:r>
          </w:p>
        </w:tc>
      </w:tr>
    </w:tbl>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主要控股参股公司情况说明</w:t>
      </w:r>
    </w:p>
    <w:p>
      <w:pPr>
        <w:pStyle w:val="Style25"/>
        <w:keepNext/>
        <w:keepLines/>
        <w:widowControl w:val="0"/>
        <w:shd w:val="clear" w:color="auto" w:fill="auto"/>
        <w:tabs>
          <w:tab w:pos="493"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3" w:val="left"/>
        </w:tabs>
        <w:bidi w:val="0"/>
        <w:spacing w:before="0" w:after="2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29"/>
        <w:keepNext w:val="0"/>
        <w:keepLines w:val="0"/>
        <w:widowControl w:val="0"/>
        <w:shd w:val="clear" w:color="auto" w:fill="auto"/>
        <w:tabs>
          <w:tab w:pos="320" w:val="left"/>
        </w:tabs>
        <w:bidi w:val="0"/>
        <w:spacing w:before="0" w:after="0" w:line="314" w:lineRule="exact"/>
        <w:ind w:left="0" w:right="0" w:firstLine="0"/>
        <w:jc w:val="left"/>
      </w:pPr>
      <w:bookmarkStart w:id="237" w:name="bookmark237"/>
      <w:r>
        <w:rPr>
          <w:rFonts w:ascii="Times New Roman" w:eastAsia="Times New Roman" w:hAnsi="Times New Roman" w:cs="Times New Roman"/>
          <w:b/>
          <w:bCs/>
          <w:color w:val="000000"/>
          <w:spacing w:val="0"/>
          <w:w w:val="100"/>
          <w:position w:val="0"/>
        </w:rPr>
        <w:t>1</w:t>
      </w:r>
      <w:bookmarkEnd w:id="237"/>
      <w:r>
        <w:rPr>
          <w:b/>
          <w:bCs/>
          <w:color w:val="000000"/>
          <w:spacing w:val="0"/>
          <w:w w:val="100"/>
          <w:position w:val="0"/>
        </w:rPr>
        <w:t>、</w:t>
        <w:tab/>
        <w:t>公司未来将采取如下战略：</w:t>
      </w:r>
    </w:p>
    <w:p>
      <w:pPr>
        <w:pStyle w:val="Style29"/>
        <w:keepNext w:val="0"/>
        <w:keepLines w:val="0"/>
        <w:widowControl w:val="0"/>
        <w:numPr>
          <w:ilvl w:val="0"/>
          <w:numId w:val="5"/>
        </w:numPr>
        <w:shd w:val="clear" w:color="auto" w:fill="auto"/>
        <w:tabs>
          <w:tab w:pos="872" w:val="left"/>
        </w:tabs>
        <w:bidi w:val="0"/>
        <w:spacing w:before="0" w:after="0" w:line="314" w:lineRule="exact"/>
        <w:ind w:left="0" w:right="0" w:firstLine="380"/>
        <w:jc w:val="both"/>
      </w:pPr>
      <w:bookmarkStart w:id="238" w:name="bookmark238"/>
      <w:bookmarkEnd w:id="238"/>
      <w:r>
        <w:rPr>
          <w:color w:val="000000"/>
          <w:spacing w:val="0"/>
          <w:w w:val="100"/>
          <w:position w:val="0"/>
        </w:rPr>
        <w:t>公司将立足差异化基本战略，整合优势资源，通过提升供应链水平、产品工艺与技术水平，继续巩固和深化现有 产品，把握创新金融</w:t>
      </w:r>
      <w:r>
        <w:rPr>
          <w:color w:val="000000"/>
          <w:spacing w:val="0"/>
          <w:w w:val="100"/>
          <w:position w:val="0"/>
          <w:sz w:val="18"/>
          <w:szCs w:val="18"/>
        </w:rPr>
        <w:t>IC</w:t>
      </w:r>
      <w:r>
        <w:rPr>
          <w:color w:val="000000"/>
          <w:spacing w:val="0"/>
          <w:w w:val="100"/>
          <w:position w:val="0"/>
        </w:rPr>
        <w:t>卡产品需求持续提升的契机，继续加大</w:t>
      </w:r>
      <w:r>
        <w:rPr>
          <w:color w:val="000000"/>
          <w:spacing w:val="0"/>
          <w:w w:val="100"/>
          <w:position w:val="0"/>
          <w:sz w:val="18"/>
          <w:szCs w:val="18"/>
        </w:rPr>
        <w:t>eSIM</w:t>
      </w:r>
      <w:r>
        <w:rPr>
          <w:color w:val="000000"/>
          <w:spacing w:val="0"/>
          <w:w w:val="100"/>
          <w:position w:val="0"/>
        </w:rPr>
        <w:t>卡、</w:t>
      </w:r>
      <w:r>
        <w:rPr>
          <w:color w:val="000000"/>
          <w:spacing w:val="0"/>
          <w:w w:val="100"/>
          <w:position w:val="0"/>
          <w:sz w:val="18"/>
          <w:szCs w:val="18"/>
        </w:rPr>
        <w:t>M2M</w:t>
      </w:r>
      <w:r>
        <w:rPr>
          <w:color w:val="000000"/>
          <w:spacing w:val="0"/>
          <w:w w:val="100"/>
          <w:position w:val="0"/>
        </w:rPr>
        <w:t>卡、三代社保等产品及整体解决方案的市场拓展, 继续巩固和深化现有产品业务和市场地位，确保公司现有业务平稳增长，为公司技术研发和新产品创新提供有力保障。</w:t>
      </w:r>
    </w:p>
    <w:p>
      <w:pPr>
        <w:pStyle w:val="Style29"/>
        <w:keepNext w:val="0"/>
        <w:keepLines w:val="0"/>
        <w:widowControl w:val="0"/>
        <w:numPr>
          <w:ilvl w:val="0"/>
          <w:numId w:val="5"/>
        </w:numPr>
        <w:shd w:val="clear" w:color="auto" w:fill="auto"/>
        <w:tabs>
          <w:tab w:pos="877" w:val="left"/>
        </w:tabs>
        <w:bidi w:val="0"/>
        <w:spacing w:before="0" w:after="0" w:line="314" w:lineRule="exact"/>
        <w:ind w:left="0" w:right="0" w:firstLine="380"/>
        <w:jc w:val="both"/>
      </w:pPr>
      <w:bookmarkStart w:id="239" w:name="bookmark239"/>
      <w:bookmarkEnd w:id="239"/>
      <w:r>
        <w:rPr>
          <w:color w:val="000000"/>
          <w:spacing w:val="0"/>
          <w:w w:val="100"/>
          <w:position w:val="0"/>
        </w:rPr>
        <w:t>公司将结合国家十四个五年规划和</w:t>
      </w:r>
      <w:r>
        <w:rPr>
          <w:color w:val="000000"/>
          <w:spacing w:val="0"/>
          <w:w w:val="100"/>
          <w:position w:val="0"/>
          <w:sz w:val="18"/>
          <w:szCs w:val="18"/>
        </w:rPr>
        <w:t>2035</w:t>
      </w:r>
      <w:r>
        <w:rPr>
          <w:color w:val="000000"/>
          <w:spacing w:val="0"/>
          <w:w w:val="100"/>
          <w:position w:val="0"/>
        </w:rPr>
        <w:t>年远景目标纲要提出的加快数字化发展、建设数字中国新契机，同时面向 物联网、</w:t>
      </w:r>
      <w:r>
        <w:rPr>
          <w:color w:val="000000"/>
          <w:spacing w:val="0"/>
          <w:w w:val="100"/>
          <w:position w:val="0"/>
          <w:sz w:val="18"/>
          <w:szCs w:val="18"/>
        </w:rPr>
        <w:t>5G</w:t>
      </w:r>
      <w:r>
        <w:rPr>
          <w:color w:val="000000"/>
          <w:spacing w:val="0"/>
          <w:w w:val="100"/>
          <w:position w:val="0"/>
        </w:rPr>
        <w:t>、</w:t>
      </w:r>
      <w:r>
        <w:rPr>
          <w:color w:val="000000"/>
          <w:spacing w:val="0"/>
          <w:w w:val="100"/>
          <w:position w:val="0"/>
        </w:rPr>
        <w:t>区块链、金融科技、数据安全、大数据等新兴领域，加大新产品、新技术投入，实现进一步的技术突破，并且 定期与国内外标准组织技术交流，与产业伙伴分工协作，稳步推进行业持续良性发展，保持行业领先。</w:t>
      </w:r>
    </w:p>
    <w:p>
      <w:pPr>
        <w:pStyle w:val="Style29"/>
        <w:keepNext w:val="0"/>
        <w:keepLines w:val="0"/>
        <w:widowControl w:val="0"/>
        <w:numPr>
          <w:ilvl w:val="0"/>
          <w:numId w:val="5"/>
        </w:numPr>
        <w:shd w:val="clear" w:color="auto" w:fill="auto"/>
        <w:tabs>
          <w:tab w:pos="872" w:val="left"/>
        </w:tabs>
        <w:bidi w:val="0"/>
        <w:spacing w:before="0" w:after="0" w:line="314" w:lineRule="exact"/>
        <w:ind w:left="0" w:right="0" w:firstLine="380"/>
        <w:jc w:val="both"/>
      </w:pPr>
      <w:bookmarkStart w:id="240" w:name="bookmark240"/>
      <w:bookmarkEnd w:id="240"/>
      <w:r>
        <w:rPr>
          <w:color w:val="000000"/>
          <w:spacing w:val="0"/>
          <w:w w:val="100"/>
          <w:position w:val="0"/>
        </w:rPr>
        <w:t>公司将持续并加大在通讯模组、</w:t>
      </w:r>
      <w:r>
        <w:rPr>
          <w:color w:val="000000"/>
          <w:spacing w:val="0"/>
          <w:w w:val="100"/>
          <w:position w:val="0"/>
          <w:sz w:val="18"/>
          <w:szCs w:val="18"/>
        </w:rPr>
        <w:t>RFID</w:t>
      </w:r>
      <w:r>
        <w:rPr>
          <w:color w:val="000000"/>
          <w:spacing w:val="0"/>
          <w:w w:val="100"/>
          <w:position w:val="0"/>
        </w:rPr>
        <w:t>、</w:t>
      </w:r>
      <w:r>
        <w:rPr>
          <w:color w:val="000000"/>
          <w:spacing w:val="0"/>
          <w:w w:val="100"/>
          <w:position w:val="0"/>
        </w:rPr>
        <w:t>移动智能终端和身份识别等安全产品领域的开发和创新投入；整合生物识 别等技术，孵化手持终端、自助服务终端等卡类周边设备，提供多场景数据综合服务解决方案；探索和研究物联网、区块链 等前沿技术，参与数字化社会运营，以丰富公司现有产品线，并进一步平衡产品结构，打造多层次产品结构。并且公司将加 强</w:t>
      </w:r>
      <w:r>
        <w:rPr>
          <w:rFonts w:ascii="Times New Roman" w:eastAsia="Times New Roman" w:hAnsi="Times New Roman" w:cs="Times New Roman"/>
          <w:color w:val="000000"/>
          <w:spacing w:val="0"/>
          <w:w w:val="100"/>
          <w:position w:val="0"/>
        </w:rPr>
        <w:t>“</w:t>
      </w:r>
      <w:r>
        <w:rPr>
          <w:color w:val="000000"/>
          <w:spacing w:val="0"/>
          <w:w w:val="100"/>
          <w:position w:val="0"/>
        </w:rPr>
        <w:t>智能农业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智能仓储物流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智慧医疗</w:t>
      </w:r>
      <w:r>
        <w:rPr>
          <w:rFonts w:ascii="Times New Roman" w:eastAsia="Times New Roman" w:hAnsi="Times New Roman" w:cs="Times New Roman"/>
          <w:color w:val="000000"/>
          <w:spacing w:val="0"/>
          <w:w w:val="100"/>
          <w:position w:val="0"/>
        </w:rPr>
        <w:t>”</w:t>
      </w:r>
      <w:r>
        <w:rPr>
          <w:color w:val="000000"/>
          <w:spacing w:val="0"/>
          <w:w w:val="100"/>
          <w:position w:val="0"/>
        </w:rPr>
        <w:t>等行业应用领域的研究与技术储备，积极寻找机会点，实现市场突破。</w:t>
      </w:r>
    </w:p>
    <w:p>
      <w:pPr>
        <w:pStyle w:val="Style29"/>
        <w:keepNext w:val="0"/>
        <w:keepLines w:val="0"/>
        <w:widowControl w:val="0"/>
        <w:numPr>
          <w:ilvl w:val="0"/>
          <w:numId w:val="5"/>
        </w:numPr>
        <w:shd w:val="clear" w:color="auto" w:fill="auto"/>
        <w:tabs>
          <w:tab w:pos="877" w:val="left"/>
        </w:tabs>
        <w:bidi w:val="0"/>
        <w:spacing w:before="0" w:after="0" w:line="314" w:lineRule="exact"/>
        <w:ind w:left="0" w:right="0" w:firstLine="380"/>
        <w:jc w:val="both"/>
      </w:pPr>
      <w:bookmarkStart w:id="241" w:name="bookmark241"/>
      <w:bookmarkEnd w:id="241"/>
      <w:r>
        <w:rPr>
          <w:color w:val="000000"/>
          <w:spacing w:val="0"/>
          <w:w w:val="100"/>
          <w:position w:val="0"/>
        </w:rPr>
        <w:t>数字人民币时代的到来，将推动支持数字货币支付的手机</w:t>
      </w:r>
      <w:r>
        <w:rPr>
          <w:color w:val="000000"/>
          <w:spacing w:val="0"/>
          <w:w w:val="100"/>
          <w:position w:val="0"/>
          <w:sz w:val="18"/>
          <w:szCs w:val="18"/>
        </w:rPr>
        <w:t>SIM</w:t>
      </w:r>
      <w:r>
        <w:rPr>
          <w:color w:val="000000"/>
          <w:spacing w:val="0"/>
          <w:w w:val="100"/>
          <w:position w:val="0"/>
        </w:rPr>
        <w:t>卡、可视卡、指纹卡、可穿戴设备等数字人民币硬件 钱包及数字货币整体解决方案的需求，有利于推动金融</w:t>
      </w:r>
      <w:r>
        <w:rPr>
          <w:color w:val="000000"/>
          <w:spacing w:val="0"/>
          <w:w w:val="100"/>
          <w:position w:val="0"/>
          <w:sz w:val="18"/>
          <w:szCs w:val="18"/>
        </w:rPr>
        <w:t>IC</w:t>
      </w:r>
      <w:r>
        <w:rPr>
          <w:color w:val="000000"/>
          <w:spacing w:val="0"/>
          <w:w w:val="100"/>
          <w:position w:val="0"/>
        </w:rPr>
        <w:t>卡、通信</w:t>
      </w:r>
      <w:r>
        <w:rPr>
          <w:color w:val="000000"/>
          <w:spacing w:val="0"/>
          <w:w w:val="100"/>
          <w:position w:val="0"/>
          <w:sz w:val="18"/>
          <w:szCs w:val="18"/>
        </w:rPr>
        <w:t>SIM</w:t>
      </w:r>
      <w:r>
        <w:rPr>
          <w:color w:val="000000"/>
          <w:spacing w:val="0"/>
          <w:w w:val="100"/>
          <w:position w:val="0"/>
        </w:rPr>
        <w:t>卡、智能支付终端、物联网终端等市场的持续发展。 公司将把握数字货币发展契机，利用公司在数字安全领域、金融科技等方面的技术积累及客户资源，积极探索数字货币市场 机会。</w:t>
      </w:r>
    </w:p>
    <w:p>
      <w:pPr>
        <w:pStyle w:val="Style29"/>
        <w:keepNext w:val="0"/>
        <w:keepLines w:val="0"/>
        <w:widowControl w:val="0"/>
        <w:numPr>
          <w:ilvl w:val="0"/>
          <w:numId w:val="5"/>
        </w:numPr>
        <w:shd w:val="clear" w:color="auto" w:fill="auto"/>
        <w:tabs>
          <w:tab w:pos="867" w:val="left"/>
        </w:tabs>
        <w:bidi w:val="0"/>
        <w:spacing w:before="0" w:after="0" w:line="314" w:lineRule="exact"/>
        <w:ind w:left="0" w:right="0" w:firstLine="380"/>
        <w:jc w:val="both"/>
      </w:pPr>
      <w:bookmarkStart w:id="242" w:name="bookmark242"/>
      <w:bookmarkEnd w:id="242"/>
      <w:r>
        <w:rPr>
          <w:color w:val="000000"/>
          <w:spacing w:val="0"/>
          <w:w w:val="100"/>
          <w:position w:val="0"/>
        </w:rPr>
        <w:t>公司将积极响应国家军民融合大战略，充分利用公司在军工数字化和装备智能化领域的产品和应用经验，逐步将 公司产品拓展至防务军工市场，稳定提升公司在防务军工市场的业务收入。</w:t>
      </w:r>
    </w:p>
    <w:p>
      <w:pPr>
        <w:pStyle w:val="Style29"/>
        <w:keepNext w:val="0"/>
        <w:keepLines w:val="0"/>
        <w:widowControl w:val="0"/>
        <w:numPr>
          <w:ilvl w:val="0"/>
          <w:numId w:val="5"/>
        </w:numPr>
        <w:shd w:val="clear" w:color="auto" w:fill="auto"/>
        <w:tabs>
          <w:tab w:pos="872" w:val="left"/>
        </w:tabs>
        <w:bidi w:val="0"/>
        <w:spacing w:before="0" w:after="0" w:line="314" w:lineRule="exact"/>
        <w:ind w:left="0" w:right="0" w:firstLine="380"/>
        <w:jc w:val="both"/>
      </w:pPr>
      <w:bookmarkStart w:id="243" w:name="bookmark243"/>
      <w:bookmarkEnd w:id="243"/>
      <w:r>
        <w:rPr>
          <w:color w:val="000000"/>
          <w:spacing w:val="0"/>
          <w:w w:val="100"/>
          <w:position w:val="0"/>
        </w:rPr>
        <w:t>公司将投入研发传感器、测试仪器和软件分析平台，布局结构健康监测领域，为高端装备的结构进行全生命周期 和精准管理，作为公司业务新的增长点。</w:t>
      </w:r>
    </w:p>
    <w:p>
      <w:pPr>
        <w:pStyle w:val="Style29"/>
        <w:keepNext w:val="0"/>
        <w:keepLines w:val="0"/>
        <w:widowControl w:val="0"/>
        <w:shd w:val="clear" w:color="auto" w:fill="auto"/>
        <w:tabs>
          <w:tab w:pos="335" w:val="left"/>
        </w:tabs>
        <w:bidi w:val="0"/>
        <w:spacing w:before="0" w:after="0" w:line="314" w:lineRule="exact"/>
        <w:ind w:left="0" w:right="0" w:firstLine="0"/>
        <w:jc w:val="left"/>
      </w:pPr>
      <w:bookmarkStart w:id="244" w:name="bookmark244"/>
      <w:r>
        <w:rPr>
          <w:rFonts w:ascii="Times New Roman" w:eastAsia="Times New Roman" w:hAnsi="Times New Roman" w:cs="Times New Roman"/>
          <w:b/>
          <w:bCs/>
          <w:color w:val="000000"/>
          <w:spacing w:val="0"/>
          <w:w w:val="100"/>
          <w:position w:val="0"/>
        </w:rPr>
        <w:t>2</w:t>
      </w:r>
      <w:bookmarkEnd w:id="244"/>
      <w:r>
        <w:rPr>
          <w:b/>
          <w:bCs/>
          <w:color w:val="000000"/>
          <w:spacing w:val="0"/>
          <w:w w:val="100"/>
          <w:position w:val="0"/>
        </w:rPr>
        <w:t>、</w:t>
        <w:tab/>
        <w:t>公司可能面临的风险及对策</w:t>
      </w:r>
    </w:p>
    <w:p>
      <w:pPr>
        <w:pStyle w:val="Style29"/>
        <w:keepNext w:val="0"/>
        <w:keepLines w:val="0"/>
        <w:widowControl w:val="0"/>
        <w:numPr>
          <w:ilvl w:val="0"/>
          <w:numId w:val="7"/>
        </w:numPr>
        <w:shd w:val="clear" w:color="auto" w:fill="auto"/>
        <w:tabs>
          <w:tab w:pos="796" w:val="left"/>
        </w:tabs>
        <w:bidi w:val="0"/>
        <w:spacing w:before="0" w:after="0" w:line="314" w:lineRule="exact"/>
        <w:ind w:left="0" w:right="0" w:firstLine="380"/>
        <w:jc w:val="both"/>
      </w:pPr>
      <w:bookmarkStart w:id="245" w:name="bookmark245"/>
      <w:bookmarkEnd w:id="245"/>
      <w:r>
        <w:rPr>
          <w:color w:val="000000"/>
          <w:spacing w:val="0"/>
          <w:w w:val="100"/>
          <w:position w:val="0"/>
        </w:rPr>
        <w:t>新产品、新业务市场拓展带来的经营风险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公司正在积极调整产品结构和业务模式，产业战略布局已取得初步成果。从单纯硬件产品向系统平台服务、数字化解决 方案与服务运营模式转型。由于产品结构和业务模式变革，产品初期竞争力，可能仍受限于公司在初期业务支撑能力、市场 拓展能力、落地商业模式等因素不够完善，在打开新市场会存在一定客观难度。</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对策：</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根据市场发展动态及时调整市场策略和行动计划，抓住重点机会实施突破，抢占市场窗口期，形成典型示范的效果。 持续加强人才队伍建设，构筑人才高地，持续提升企业竞争力，加快新业务破冰能力和新产品上线速度，降低新业务、 新市场拓展带来的风险；同时公司将完善薪酬管理体系建设，保障人才战略有效实施。</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保持与产业链战略合作方紧密合作，采取资源共享和优势互补的方法，充分利用业务模式转型与战略布局的机会，发展 多种关联新业务，提升竞争力和话语权，并通过整体业务来降低某个单一新业务的市场风险，为公司持续稳定的发展奠定基 础。</w:t>
      </w:r>
    </w:p>
    <w:p>
      <w:pPr>
        <w:pStyle w:val="Style29"/>
        <w:keepNext w:val="0"/>
        <w:keepLines w:val="0"/>
        <w:widowControl w:val="0"/>
        <w:numPr>
          <w:ilvl w:val="0"/>
          <w:numId w:val="7"/>
        </w:numPr>
        <w:shd w:val="clear" w:color="auto" w:fill="auto"/>
        <w:tabs>
          <w:tab w:pos="796" w:val="left"/>
        </w:tabs>
        <w:bidi w:val="0"/>
        <w:spacing w:before="0" w:after="0" w:line="314" w:lineRule="exact"/>
        <w:ind w:left="0" w:right="0" w:firstLine="380"/>
        <w:jc w:val="both"/>
      </w:pPr>
      <w:bookmarkStart w:id="246" w:name="bookmark246"/>
      <w:bookmarkEnd w:id="246"/>
      <w:r>
        <w:rPr>
          <w:color w:val="000000"/>
          <w:spacing w:val="0"/>
          <w:w w:val="100"/>
          <w:position w:val="0"/>
        </w:rPr>
        <w:t>市场竞争加剧对公司主营业务和利润带来的风险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目前，公司主营业务的竞争能力主要体现在企业资金实力、设计开发能力、产品品质水平、产品成本控制能力，整体解 决方案能力和售后服务能力等环节。尤其最近几年，产业链内企业相互渗透，行业内投资并购和合作发展情况越来越多，加 </w:t>
      </w:r>
      <w:r>
        <w:rPr>
          <w:color w:val="000000"/>
          <w:spacing w:val="0"/>
          <w:w w:val="100"/>
          <w:position w:val="0"/>
        </w:rPr>
        <w:t>剧了行业市场竞争的程度，产品价格成为后进企业最直接的竞争手段，有时会导致市场恶性竞争。</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对策：</w:t>
      </w:r>
    </w:p>
    <w:p>
      <w:pPr>
        <w:pStyle w:val="Style29"/>
        <w:keepNext w:val="0"/>
        <w:keepLines w:val="0"/>
        <w:widowControl w:val="0"/>
        <w:shd w:val="clear" w:color="auto" w:fill="auto"/>
        <w:bidi w:val="0"/>
        <w:spacing w:before="0" w:line="312" w:lineRule="exact"/>
        <w:ind w:left="0" w:right="0"/>
        <w:jc w:val="left"/>
      </w:pPr>
      <w:r>
        <w:rPr>
          <w:color w:val="000000"/>
          <w:spacing w:val="0"/>
          <w:w w:val="100"/>
          <w:position w:val="0"/>
        </w:rPr>
        <w:t>通过技术创新手段，供应链优化，提高生产效率，降低产品成本，保持产品价格竞争力。通过差异化产品和解决方案规 避同质化竞争风险，丰富和扩大产品家族，利用上市公司平台积极、灵活地开展行业资源整合。提高公司队伍管理水平，全 面提升公司核心竞争力。</w:t>
      </w:r>
    </w:p>
    <w:p>
      <w:pPr>
        <w:pStyle w:val="Style29"/>
        <w:keepNext w:val="0"/>
        <w:keepLines w:val="0"/>
        <w:widowControl w:val="0"/>
        <w:shd w:val="clear" w:color="auto" w:fill="auto"/>
        <w:bidi w:val="0"/>
        <w:spacing w:before="0" w:after="720" w:line="312" w:lineRule="exact"/>
        <w:ind w:left="0" w:right="0"/>
        <w:jc w:val="left"/>
      </w:pPr>
      <w:r>
        <w:rPr>
          <w:color w:val="000000"/>
          <w:spacing w:val="0"/>
          <w:w w:val="100"/>
          <w:position w:val="0"/>
        </w:rPr>
        <w:t>利用公司市场营销能力优势，确保公司关键盈利产品在主流市场领先地位，保证整体盈利水平领先地位。</w:t>
      </w:r>
    </w:p>
    <w:p>
      <w:pPr>
        <w:pStyle w:val="Style25"/>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十、接待调研、沟通、采访等活动</w:t>
      </w:r>
      <w:bookmarkEnd w:id="247"/>
      <w:bookmarkEnd w:id="248"/>
      <w:bookmarkEnd w:id="249"/>
    </w:p>
    <w:p>
      <w:pPr>
        <w:pStyle w:val="Style32"/>
        <w:keepNext/>
        <w:keepLines/>
        <w:widowControl w:val="0"/>
        <w:shd w:val="clear" w:color="auto" w:fill="auto"/>
        <w:bidi w:val="0"/>
        <w:spacing w:before="0" w:after="24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、报告期内接待调研、沟通、采访等活动登记表</w:t>
      </w:r>
      <w:bookmarkEnd w:id="250"/>
      <w:bookmarkEnd w:id="251"/>
      <w:bookmarkEnd w:id="253"/>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88" w:right="1060" w:bottom="1503" w:left="1062"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40" w:line="240" w:lineRule="auto"/>
        <w:ind w:left="0" w:right="0" w:firstLine="0"/>
        <w:jc w:val="center"/>
      </w:pPr>
      <w:bookmarkStart w:id="254" w:name="bookmark254"/>
      <w:bookmarkStart w:id="255" w:name="bookmark255"/>
      <w:bookmarkStart w:id="256" w:name="bookmark256"/>
      <w:r>
        <w:rPr>
          <w:color w:val="000000"/>
          <w:spacing w:val="0"/>
          <w:w w:val="100"/>
          <w:position w:val="0"/>
        </w:rPr>
        <w:t>第五节重要事项</w:t>
      </w:r>
      <w:bookmarkEnd w:id="254"/>
      <w:bookmarkEnd w:id="255"/>
      <w:bookmarkEnd w:id="256"/>
    </w:p>
    <w:p>
      <w:pPr>
        <w:pStyle w:val="Style25"/>
        <w:keepNext/>
        <w:keepLines/>
        <w:widowControl w:val="0"/>
        <w:shd w:val="clear" w:color="auto" w:fill="auto"/>
        <w:bidi w:val="0"/>
        <w:spacing w:before="0" w:after="360" w:line="240" w:lineRule="auto"/>
        <w:ind w:left="0" w:right="0" w:firstLine="240"/>
        <w:jc w:val="left"/>
      </w:pPr>
      <w:bookmarkStart w:id="257" w:name="bookmark257"/>
      <w:bookmarkStart w:id="258" w:name="bookmark258"/>
      <w:bookmarkStart w:id="259" w:name="bookmark259"/>
      <w:r>
        <w:rPr>
          <w:color w:val="000000"/>
          <w:spacing w:val="0"/>
          <w:w w:val="100"/>
          <w:position w:val="0"/>
          <w:sz w:val="24"/>
          <w:szCs w:val="24"/>
        </w:rPr>
        <w:t>、公司普通股利润分配及资本公积金转增股本情况</w:t>
      </w:r>
      <w:bookmarkEnd w:id="257"/>
      <w:bookmarkEnd w:id="258"/>
      <w:bookmarkEnd w:id="25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报告期内，公司严格按照中国证监会及公司章程的规定执行利润分配政策。</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年度权益分配方案：不进行现金分红和资本公积转增股本。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2019</w:t>
      </w:r>
      <w:r>
        <w:rPr>
          <w:color w:val="000000"/>
          <w:spacing w:val="0"/>
          <w:w w:val="100"/>
          <w:position w:val="0"/>
        </w:rPr>
        <w:t>年度权益分配方案：不进行现金分红和资本公积转增股本。</w:t>
      </w:r>
    </w:p>
    <w:p>
      <w:pPr>
        <w:pStyle w:val="Style29"/>
        <w:keepNext w:val="0"/>
        <w:keepLines w:val="0"/>
        <w:widowControl w:val="0"/>
        <w:shd w:val="clear" w:color="auto" w:fill="auto"/>
        <w:bidi w:val="0"/>
        <w:spacing w:before="0" w:after="760" w:line="240" w:lineRule="auto"/>
        <w:ind w:left="0" w:right="0" w:firstLine="0"/>
        <w:jc w:val="left"/>
      </w:pPr>
      <w:r>
        <w:rPr>
          <w:color w:val="000000"/>
          <w:spacing w:val="0"/>
          <w:w w:val="100"/>
          <w:position w:val="0"/>
          <w:sz w:val="18"/>
          <w:szCs w:val="18"/>
        </w:rPr>
        <w:t>2018</w:t>
      </w:r>
      <w:r>
        <w:rPr>
          <w:color w:val="000000"/>
          <w:spacing w:val="0"/>
          <w:w w:val="100"/>
          <w:position w:val="0"/>
        </w:rPr>
        <w:t>年度权益分配方案：不进行现金分红和资本公积转增股本。</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5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现金分红金 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以其他方式</w:t>
            </w:r>
          </w:p>
          <w:p>
            <w:pPr>
              <w:pStyle w:val="Style22"/>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（如回购股 份）现金分</w:t>
            </w:r>
          </w:p>
          <w:p>
            <w:pPr>
              <w:pStyle w:val="Style22"/>
              <w:keepNext w:val="0"/>
              <w:keepLines w:val="0"/>
              <w:widowControl w:val="0"/>
              <w:shd w:val="clear" w:color="auto" w:fill="auto"/>
              <w:bidi w:val="0"/>
              <w:spacing w:before="0" w:after="0" w:line="317" w:lineRule="exact"/>
              <w:ind w:left="0" w:right="0" w:firstLine="220"/>
              <w:jc w:val="left"/>
            </w:pPr>
            <w:r>
              <w:rPr>
                <w:rFonts w:ascii="SimSun" w:eastAsia="SimSun" w:hAnsi="SimSun" w:cs="SimSun"/>
                <w:color w:val="000000"/>
                <w:spacing w:val="0"/>
                <w:w w:val="100"/>
                <w:position w:val="0"/>
              </w:rPr>
              <w:t>红的金额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现金分红总 额（含其他 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现金分红总 额（含其他 方式）占合 并报表中归 属于上市公 司普通股股 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1,724,407.34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86,769,193.4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53,009,074.0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53,009,074.0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61.09%</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145,493,021.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46,010,428.7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46,010,428.7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31.62%</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报告期内盈利且母公司可供普通股股东分配利润为正但未 提出普通股现金红利分配预案的原因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公司未分配利润的用途和使用计划</w:t>
            </w:r>
          </w:p>
        </w:tc>
      </w:tr>
      <w:tr>
        <w:trPr>
          <w:trHeight w:val="86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根据《公司章程》第一百五十八条规定：“</w:t>
            </w:r>
          </w:p>
          <w:p>
            <w:pPr>
              <w:pStyle w:val="Style22"/>
              <w:keepNext w:val="0"/>
              <w:keepLines w:val="0"/>
              <w:widowControl w:val="0"/>
              <w:shd w:val="clear" w:color="auto" w:fill="auto"/>
              <w:bidi w:val="0"/>
              <w:spacing w:before="0" w:after="120" w:line="313" w:lineRule="exact"/>
              <w:ind w:left="0" w:right="0" w:firstLine="0"/>
              <w:jc w:val="both"/>
            </w:pPr>
            <w:r>
              <w:rPr>
                <w:rFonts w:ascii="SimSun" w:eastAsia="SimSun" w:hAnsi="SimSun" w:cs="SimSun"/>
                <w:color w:val="000000"/>
                <w:spacing w:val="0"/>
                <w:w w:val="100"/>
                <w:position w:val="0"/>
              </w:rPr>
              <w:t>公司的利润分配：</w:t>
            </w:r>
          </w:p>
          <w:p>
            <w:pPr>
              <w:pStyle w:val="Style22"/>
              <w:keepNext w:val="0"/>
              <w:keepLines w:val="0"/>
              <w:widowControl w:val="0"/>
              <w:shd w:val="clear" w:color="auto" w:fill="auto"/>
              <w:tabs>
                <w:tab w:pos="307" w:val="left"/>
              </w:tabs>
              <w:bidi w:val="0"/>
              <w:spacing w:before="0" w:after="0" w:line="36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tab/>
            </w:r>
            <w:r>
              <w:rPr>
                <w:rFonts w:ascii="SimSun" w:eastAsia="SimSun" w:hAnsi="SimSun" w:cs="SimSun"/>
                <w:color w:val="000000"/>
                <w:spacing w:val="0"/>
                <w:w w:val="100"/>
                <w:position w:val="0"/>
              </w:rPr>
              <w:t>公司利润分配政策的基本原则：</w:t>
            </w:r>
          </w:p>
          <w:p>
            <w:pPr>
              <w:pStyle w:val="Style22"/>
              <w:keepNext w:val="0"/>
              <w:keepLines w:val="0"/>
              <w:widowControl w:val="0"/>
              <w:shd w:val="clear" w:color="auto" w:fill="auto"/>
              <w:tabs>
                <w:tab w:pos="264" w:val="left"/>
              </w:tabs>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公司利润分配应有利于公司发展，并重视对投资者合理 的投资回报，公司每年以当年合并报表实现归属母公司可 供分配利润规定比例向股东分配股利。</w:t>
            </w:r>
          </w:p>
          <w:p>
            <w:pPr>
              <w:pStyle w:val="Style22"/>
              <w:keepNext w:val="0"/>
              <w:keepLines w:val="0"/>
              <w:widowControl w:val="0"/>
              <w:shd w:val="clear" w:color="auto" w:fill="auto"/>
              <w:tabs>
                <w:tab w:pos="274" w:val="left"/>
              </w:tabs>
              <w:bidi w:val="0"/>
              <w:spacing w:before="0" w:after="12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公司的利润分配政策保持连续性和稳定性，同时兼顾公 司的长远利益、全体股东的整体利益及公司的可持续发展。</w:t>
            </w:r>
          </w:p>
          <w:p>
            <w:pPr>
              <w:pStyle w:val="Style22"/>
              <w:keepNext w:val="0"/>
              <w:keepLines w:val="0"/>
              <w:widowControl w:val="0"/>
              <w:shd w:val="clear" w:color="auto" w:fill="auto"/>
              <w:tabs>
                <w:tab w:pos="274" w:val="left"/>
              </w:tabs>
              <w:bidi w:val="0"/>
              <w:spacing w:before="0" w:after="0" w:line="36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tab/>
              <w:t>公司优先采用现金分红的利润分配方式。</w:t>
            </w:r>
          </w:p>
          <w:p>
            <w:pPr>
              <w:pStyle w:val="Style22"/>
              <w:keepNext w:val="0"/>
              <w:keepLines w:val="0"/>
              <w:widowControl w:val="0"/>
              <w:shd w:val="clear" w:color="auto" w:fill="auto"/>
              <w:tabs>
                <w:tab w:pos="307" w:val="left"/>
              </w:tabs>
              <w:bidi w:val="0"/>
              <w:spacing w:before="0" w:after="0" w:line="36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二</w:t>
            </w:r>
            <w:r>
              <w:rPr>
                <w:color w:val="000000"/>
                <w:spacing w:val="0"/>
                <w:w w:val="100"/>
                <w:position w:val="0"/>
              </w:rPr>
              <w:t>）</w:t>
              <w:tab/>
            </w:r>
            <w:r>
              <w:rPr>
                <w:rFonts w:ascii="SimSun" w:eastAsia="SimSun" w:hAnsi="SimSun" w:cs="SimSun"/>
                <w:color w:val="000000"/>
                <w:spacing w:val="0"/>
                <w:w w:val="100"/>
                <w:position w:val="0"/>
              </w:rPr>
              <w:t>公司利润分配具体政策如下：</w:t>
            </w:r>
          </w:p>
          <w:p>
            <w:pPr>
              <w:pStyle w:val="Style22"/>
              <w:keepNext w:val="0"/>
              <w:keepLines w:val="0"/>
              <w:widowControl w:val="0"/>
              <w:shd w:val="clear" w:color="auto" w:fill="auto"/>
              <w:tabs>
                <w:tab w:pos="259" w:val="left"/>
              </w:tabs>
              <w:bidi w:val="0"/>
              <w:spacing w:before="0" w:after="12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利润分配的形式：公司采用现金、股票或者现金与股票 相结合的方式分配股利。在有条件的情况下，公司可以进 行中期利润分配。</w:t>
            </w:r>
          </w:p>
          <w:p>
            <w:pPr>
              <w:pStyle w:val="Style22"/>
              <w:keepNext w:val="0"/>
              <w:keepLines w:val="0"/>
              <w:widowControl w:val="0"/>
              <w:shd w:val="clear" w:color="auto" w:fill="auto"/>
              <w:tabs>
                <w:tab w:pos="283" w:val="left"/>
              </w:tabs>
              <w:bidi w:val="0"/>
              <w:spacing w:before="0" w:after="0" w:line="36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公司现金分红的具体条件和比例：</w:t>
            </w:r>
          </w:p>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公司主要采取现金分红的利润分配政策，即公司在当年盈 利且累计未分配利润为正的情况下，采取现金方式分配股 利，如无重大投资计划或重大现金支出事项的发生，公司 必须进行现金分红，每年以现金方式分配的利润不少于当 年实现的可供分配利润的</w:t>
            </w:r>
            <w:r>
              <w:rPr>
                <w:color w:val="000000"/>
                <w:spacing w:val="0"/>
                <w:w w:val="100"/>
                <w:position w:val="0"/>
              </w:rPr>
              <w:t>10%</w:t>
            </w:r>
            <w:r>
              <w:rPr>
                <w:rFonts w:ascii="SimSun" w:eastAsia="SimSun" w:hAnsi="SimSun" w:cs="SimSun"/>
                <w:color w:val="000000"/>
                <w:spacing w:val="0"/>
                <w:w w:val="100"/>
                <w:position w:val="0"/>
              </w:rPr>
              <w:t>。且最近三年以现金方式累 计分配的利润不少于最近三年实现的年均可分配利润的百 分之三十。”</w:t>
            </w:r>
          </w:p>
          <w:p>
            <w:pPr>
              <w:pStyle w:val="Style22"/>
              <w:keepNext w:val="0"/>
              <w:keepLines w:val="0"/>
              <w:widowControl w:val="0"/>
              <w:shd w:val="clear" w:color="auto" w:fill="auto"/>
              <w:bidi w:val="0"/>
              <w:spacing w:before="0" w:after="80" w:line="313" w:lineRule="exact"/>
              <w:ind w:left="0" w:right="0" w:firstLine="0"/>
              <w:jc w:val="both"/>
            </w:pPr>
            <w:r>
              <w:rPr>
                <w:rFonts w:ascii="SimSun" w:eastAsia="SimSun" w:hAnsi="SimSun" w:cs="SimSun"/>
                <w:color w:val="000000"/>
                <w:spacing w:val="0"/>
                <w:w w:val="100"/>
                <w:position w:val="0"/>
              </w:rPr>
              <w:t>公司目前正在积极进行业务的战略延伸，为实现公司长远 稳定的发展，未来给投资者带来更好的投资回报，公司拟 定</w:t>
            </w:r>
            <w:r>
              <w:rPr>
                <w:color w:val="000000"/>
                <w:spacing w:val="0"/>
                <w:w w:val="100"/>
                <w:position w:val="0"/>
              </w:rPr>
              <w:t>2020</w:t>
            </w:r>
            <w:r>
              <w:rPr>
                <w:rFonts w:ascii="SimSun" w:eastAsia="SimSun" w:hAnsi="SimSun" w:cs="SimSun"/>
                <w:color w:val="000000"/>
                <w:spacing w:val="0"/>
                <w:w w:val="100"/>
                <w:position w:val="0"/>
              </w:rPr>
              <w:t>年度利润分配预案为：全体股东每</w:t>
            </w:r>
            <w:r>
              <w:rPr>
                <w:color w:val="000000"/>
                <w:spacing w:val="0"/>
                <w:w w:val="100"/>
                <w:position w:val="0"/>
              </w:rPr>
              <w:t>10</w:t>
            </w:r>
            <w:r>
              <w:rPr>
                <w:rFonts w:ascii="SimSun" w:eastAsia="SimSun" w:hAnsi="SimSun" w:cs="SimSun"/>
                <w:color w:val="000000"/>
                <w:spacing w:val="0"/>
                <w:w w:val="100"/>
                <w:position w:val="0"/>
              </w:rPr>
              <w:t>股派发现金 红利</w:t>
            </w:r>
            <w:r>
              <w:rPr>
                <w:color w:val="000000"/>
                <w:spacing w:val="0"/>
                <w:w w:val="100"/>
                <w:position w:val="0"/>
              </w:rPr>
              <w:t>0.00</w:t>
            </w:r>
            <w:r>
              <w:rPr>
                <w:rFonts w:ascii="SimSun" w:eastAsia="SimSun" w:hAnsi="SimSun" w:cs="SimSun"/>
                <w:color w:val="000000"/>
                <w:spacing w:val="0"/>
                <w:w w:val="100"/>
                <w:position w:val="0"/>
              </w:rPr>
              <w:t>元（含税），送红股</w:t>
            </w:r>
            <w:r>
              <w:rPr>
                <w:color w:val="000000"/>
                <w:spacing w:val="0"/>
                <w:w w:val="100"/>
                <w:position w:val="0"/>
              </w:rPr>
              <w:t>0</w:t>
            </w:r>
            <w:r>
              <w:rPr>
                <w:rFonts w:ascii="SimSun" w:eastAsia="SimSun" w:hAnsi="SimSun" w:cs="SimSun"/>
                <w:color w:val="000000"/>
                <w:spacing w:val="0"/>
                <w:w w:val="100"/>
                <w:position w:val="0"/>
              </w:rPr>
              <w:t>股（含税），不以公积金转 增股本。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累计未分配利润</w:t>
            </w:r>
            <w:r>
              <w:rPr>
                <w:color w:val="000000"/>
                <w:spacing w:val="0"/>
                <w:w w:val="100"/>
                <w:position w:val="0"/>
              </w:rPr>
              <w:t>1,023,779,759.10</w:t>
            </w:r>
            <w:r>
              <w:rPr>
                <w:rFonts w:ascii="SimSun" w:eastAsia="SimSun" w:hAnsi="SimSun" w:cs="SimSun"/>
                <w:color w:val="000000"/>
                <w:spacing w:val="0"/>
                <w:w w:val="100"/>
                <w:position w:val="0"/>
              </w:rPr>
              <w:t>元继续用于补充流动资金 并转入以后年度分配。</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、本报告期利润分配及资本公积金转增股本情况</w:t>
      </w:r>
      <w:bookmarkEnd w:id="260"/>
      <w:bookmarkEnd w:id="261"/>
      <w:bookmarkEnd w:id="26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三</w:t>
      </w:r>
      <w:bookmarkEnd w:id="266"/>
      <w:r>
        <w:rPr>
          <w:color w:val="000000"/>
          <w:spacing w:val="0"/>
          <w:w w:val="100"/>
          <w:position w:val="0"/>
          <w:sz w:val="24"/>
          <w:szCs w:val="24"/>
        </w:rPr>
        <w:t>、承诺事项履行情况</w:t>
      </w:r>
      <w:bookmarkEnd w:id="264"/>
      <w:bookmarkEnd w:id="265"/>
      <w:bookmarkEnd w:id="267"/>
    </w:p>
    <w:p>
      <w:pPr>
        <w:pStyle w:val="Style32"/>
        <w:keepNext/>
        <w:keepLines/>
        <w:widowControl w:val="0"/>
        <w:shd w:val="clear" w:color="auto" w:fill="auto"/>
        <w:bidi w:val="0"/>
        <w:spacing w:before="0" w:line="326"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、公司实际控制人、股东、关联方、收购人以及公司等承诺相关方在报告期内履行完毕及截至报告期末 尚未履行完毕的承诺事项</w:t>
      </w:r>
      <w:bookmarkEnd w:id="268"/>
      <w:bookmarkEnd w:id="269"/>
      <w:bookmarkEnd w:id="271"/>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钱京、钱平、 江浩然、胡 三龙、潘梅 芳、曹志新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tabs>
                <w:tab w:pos="547" w:val="left"/>
              </w:tabs>
              <w:bidi w:val="0"/>
              <w:spacing w:before="0" w:after="0" w:line="312" w:lineRule="exact"/>
              <w:ind w:left="0" w:right="0" w:firstLine="0"/>
              <w:jc w:val="both"/>
            </w:pPr>
            <w:r>
              <w:rPr>
                <w:rFonts w:ascii="SimSun" w:eastAsia="SimSun" w:hAnsi="SimSun" w:cs="SimSun"/>
                <w:color w:val="000000"/>
                <w:spacing w:val="0"/>
                <w:w w:val="100"/>
                <w:position w:val="0"/>
              </w:rPr>
              <w:t>（一）</w:t>
              <w:tab/>
              <w:t>首次 公开发行股 票前持有公 司</w:t>
            </w:r>
            <w:r>
              <w:rPr>
                <w:color w:val="000000"/>
                <w:spacing w:val="0"/>
                <w:w w:val="100"/>
                <w:position w:val="0"/>
              </w:rPr>
              <w:t>5%</w:t>
            </w:r>
            <w:r>
              <w:rPr>
                <w:rFonts w:ascii="SimSun" w:eastAsia="SimSun" w:hAnsi="SimSun" w:cs="SimSun"/>
                <w:color w:val="000000"/>
                <w:spacing w:val="0"/>
                <w:w w:val="100"/>
                <w:position w:val="0"/>
              </w:rPr>
              <w:t>以上 股份的股东 承诺：在作 为恒宝股份 有限公司股 东期间，不 会在中国境 内或境外， 以任何方式</w:t>
            </w:r>
          </w:p>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（包括但不 限于单独经 营、通过合 资经营或拥 有另一公司 或企业的股 份及其他权 益）直接或 间接参与任 何与恒宝股 份有限公司 构成竞争的 任何业务或 活动，也不 会在与恒宝 股份有限公 司有竞争关 系的企业或 组织内任 职。截至报 告期末，未 发现同业竞 争情况。</w:t>
            </w:r>
          </w:p>
          <w:p>
            <w:pPr>
              <w:pStyle w:val="Style22"/>
              <w:keepNext w:val="0"/>
              <w:keepLines w:val="0"/>
              <w:widowControl w:val="0"/>
              <w:shd w:val="clear" w:color="auto" w:fill="auto"/>
              <w:tabs>
                <w:tab w:pos="547" w:val="left"/>
              </w:tabs>
              <w:bidi w:val="0"/>
              <w:spacing w:before="0" w:after="0" w:line="312" w:lineRule="exact"/>
              <w:ind w:left="0" w:right="0" w:firstLine="0"/>
              <w:jc w:val="both"/>
            </w:pPr>
            <w:r>
              <w:rPr>
                <w:rFonts w:ascii="SimSun" w:eastAsia="SimSun" w:hAnsi="SimSun" w:cs="SimSun"/>
                <w:color w:val="000000"/>
                <w:spacing w:val="0"/>
                <w:w w:val="100"/>
                <w:position w:val="0"/>
              </w:rPr>
              <w:t>（二）</w:t>
              <w:tab/>
              <w:t>公司 控股股东钱 京承诺：自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182" w:val="left"/>
              </w:tabs>
              <w:bidi w:val="0"/>
              <w:spacing w:before="0" w:after="0" w:line="31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 xml:space="preserve">首次公开 发行股票前 持有公司 </w:t>
            </w:r>
            <w:r>
              <w:rPr>
                <w:color w:val="000000"/>
                <w:spacing w:val="0"/>
                <w:w w:val="100"/>
                <w:position w:val="0"/>
              </w:rPr>
              <w:t>5%</w:t>
            </w:r>
            <w:r>
              <w:rPr>
                <w:rFonts w:ascii="SimSun" w:eastAsia="SimSun" w:hAnsi="SimSun" w:cs="SimSun"/>
                <w:color w:val="000000"/>
                <w:spacing w:val="0"/>
                <w:w w:val="100"/>
                <w:position w:val="0"/>
              </w:rPr>
              <w:t>以上股 份的股东在 作为恒宝股 份有限公司 股东期间；</w:t>
            </w:r>
          </w:p>
          <w:p>
            <w:pPr>
              <w:pStyle w:val="Style22"/>
              <w:keepNext w:val="0"/>
              <w:keepLines w:val="0"/>
              <w:widowControl w:val="0"/>
              <w:shd w:val="clear" w:color="auto" w:fill="auto"/>
              <w:tabs>
                <w:tab w:pos="192" w:val="left"/>
              </w:tabs>
              <w:bidi w:val="0"/>
              <w:spacing w:before="0" w:after="0" w:line="313"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担任公司 董事、监事、 高级管理人 员的股东钱 京、钱平、 江浩然、曹 志新在其任 职期间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公司股票上 市之日起三 十六个月 内，不转让 或者委托他 人管理其持 有的发行人 股份，也不 由发行人回 购其持有的 股份。截止 报告期末， 该承诺已履 行完毕。</w:t>
            </w:r>
          </w:p>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 xml:space="preserve">（三）公司 其他股东钱 平、江浩然、 胡三龙、潘 梅芳和曹志 新承诺：其 所持有的股 份中，因 </w:t>
            </w:r>
            <w:r>
              <w:rPr>
                <w:color w:val="000000"/>
                <w:spacing w:val="0"/>
                <w:w w:val="100"/>
                <w:position w:val="0"/>
              </w:rPr>
              <w:t>2005</w:t>
            </w:r>
            <w:r>
              <w:rPr>
                <w:rFonts w:ascii="SimSun" w:eastAsia="SimSun" w:hAnsi="SimSun" w:cs="SimSun"/>
                <w:color w:val="000000"/>
                <w:spacing w:val="0"/>
                <w:w w:val="100"/>
                <w:position w:val="0"/>
              </w:rPr>
              <w:t>年度 利润分配增 加的股份</w:t>
            </w:r>
          </w:p>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（合计</w:t>
            </w:r>
            <w:r>
              <w:rPr>
                <w:color w:val="000000"/>
                <w:spacing w:val="0"/>
                <w:w w:val="100"/>
                <w:position w:val="0"/>
              </w:rPr>
              <w:t xml:space="preserve">864 </w:t>
            </w:r>
            <w:r>
              <w:rPr>
                <w:rFonts w:ascii="SimSun" w:eastAsia="SimSun" w:hAnsi="SimSun" w:cs="SimSun"/>
                <w:color w:val="000000"/>
                <w:spacing w:val="0"/>
                <w:w w:val="100"/>
                <w:position w:val="0"/>
              </w:rPr>
              <w:t>万股），自工 商变更之日</w:t>
            </w:r>
          </w:p>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20 </w:t>
            </w:r>
            <w:r>
              <w:rPr>
                <w:rFonts w:ascii="SimSun" w:eastAsia="SimSun" w:hAnsi="SimSun" w:cs="SimSun"/>
                <w:color w:val="000000"/>
                <w:spacing w:val="0"/>
                <w:w w:val="100"/>
                <w:position w:val="0"/>
              </w:rPr>
              <w:t xml:space="preserve">日）起三十 六个月内不 转让；其他 股份（合计 </w:t>
            </w:r>
            <w:r>
              <w:rPr>
                <w:color w:val="000000"/>
                <w:spacing w:val="0"/>
                <w:w w:val="100"/>
                <w:position w:val="0"/>
              </w:rPr>
              <w:t xml:space="preserve">4,320 </w:t>
            </w:r>
            <w:r>
              <w:rPr>
                <w:rFonts w:ascii="SimSun" w:eastAsia="SimSun" w:hAnsi="SimSun" w:cs="SimSun"/>
                <w:color w:val="000000"/>
                <w:spacing w:val="0"/>
                <w:w w:val="100"/>
                <w:position w:val="0"/>
              </w:rPr>
              <w:t>万 股）自公司 股票上市交 易之日起一 年内不转 让。截止报 告期末，该 承诺已履行 完毕。（四） 担任公司董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事、监事、 高级管理人 员的股东钱 京、钱平、 江浩然、曹 志新还承 诺：除前述 锁定期外， 在其任职期 间每年转让 的股份不得 超过其上年 底所持有本 公司股份总 数的百分之 二十五；离 职后半年 内，不转让 其所持有的 本公司股 份。该承诺 正在履行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根据《国家 秘密载体印 制资质管理 办法》规定：</w:t>
            </w:r>
          </w:p>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“国家秘密 载体印制资 质申请单位</w:t>
            </w:r>
          </w:p>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（以下简称 申请单位） 应具备以下 基本条件：</w:t>
            </w:r>
          </w:p>
          <w:p>
            <w:pPr>
              <w:pStyle w:val="Style22"/>
              <w:keepNext w:val="0"/>
              <w:keepLines w:val="0"/>
              <w:widowControl w:val="0"/>
              <w:shd w:val="clear" w:color="auto" w:fill="auto"/>
              <w:tabs>
                <w:tab w:pos="538" w:val="left"/>
              </w:tabs>
              <w:bidi w:val="0"/>
              <w:spacing w:before="0" w:after="0" w:line="312" w:lineRule="exact"/>
              <w:ind w:left="0" w:right="0" w:firstLine="0"/>
              <w:jc w:val="both"/>
            </w:pPr>
            <w:r>
              <w:rPr>
                <w:rFonts w:ascii="SimSun" w:eastAsia="SimSun" w:hAnsi="SimSun" w:cs="SimSun"/>
                <w:color w:val="000000"/>
                <w:spacing w:val="0"/>
                <w:w w:val="100"/>
                <w:position w:val="0"/>
              </w:rPr>
              <w:t>（一）</w:t>
              <w:tab/>
              <w:t>在中 华人民共和 国境内注册 的企业法人 或者事业单 位法人；</w:t>
            </w:r>
          </w:p>
          <w:p>
            <w:pPr>
              <w:pStyle w:val="Style22"/>
              <w:keepNext w:val="0"/>
              <w:keepLines w:val="0"/>
              <w:widowControl w:val="0"/>
              <w:shd w:val="clear" w:color="auto" w:fill="auto"/>
              <w:tabs>
                <w:tab w:pos="542" w:val="left"/>
              </w:tabs>
              <w:bidi w:val="0"/>
              <w:spacing w:before="0" w:after="0" w:line="312" w:lineRule="exact"/>
              <w:ind w:left="0" w:right="0" w:firstLine="0"/>
              <w:jc w:val="both"/>
            </w:pPr>
            <w:r>
              <w:rPr>
                <w:rFonts w:ascii="SimSun" w:eastAsia="SimSun" w:hAnsi="SimSun" w:cs="SimSun"/>
                <w:color w:val="000000"/>
                <w:spacing w:val="0"/>
                <w:w w:val="100"/>
                <w:position w:val="0"/>
              </w:rPr>
              <w:t>（二）</w:t>
              <w:tab/>
              <w:t>参与 国家秘密载 体印制业务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公司在持有 国家秘密载 体印制甲级 涉密防伪票 据证书资质 期间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15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rPr>
                <w:sz w:val="30"/>
                <w:szCs w:val="30"/>
              </w:rPr>
            </w:pPr>
            <w:r>
              <w:rPr>
                <w:rFonts w:ascii="SimSun" w:eastAsia="SimSun" w:hAnsi="SimSun" w:cs="SimSun"/>
                <w:color w:val="000000"/>
                <w:spacing w:val="0"/>
                <w:w w:val="100"/>
                <w:position w:val="0"/>
                <w:sz w:val="18"/>
                <w:szCs w:val="18"/>
              </w:rPr>
              <w:t xml:space="preserve">的人员为中 华人民共和 国境内公 民，国家另 有规定的除 外”，“有境 夕卜（含香港、 澳门、台湾） 组织、机构、 人员控股或 者参与经营 管理的，不 得授予国家 统一考试试 卷、涉密防 伪票据证书 印制资质” 等规定，为 确保公司持 有涉密资质 期间，公司 实际控制人 始终为中 方，钱京先 生承诺如 下：恒宝股 份有限公司 在持有国家 秘密载体印 制甲级涉密 防伪票据证 书资质期 间，不向影 响保密条款 的自然人或 机构出售股 </w:t>
            </w:r>
            <w:r>
              <w:rPr>
                <w:rFonts w:ascii="SimSun" w:eastAsia="SimSun" w:hAnsi="SimSun" w:cs="SimSun"/>
                <w:color w:val="000000"/>
                <w:spacing w:val="0"/>
                <w:w w:val="100"/>
                <w:position w:val="0"/>
                <w:sz w:val="30"/>
                <w:szCs w:val="30"/>
                <w:vertAlign w:val="subscript"/>
              </w:rPr>
              <w:t>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32"/>
        <w:keepNext/>
        <w:keepLines/>
        <w:widowControl w:val="0"/>
        <w:shd w:val="clear" w:color="auto" w:fill="auto"/>
        <w:bidi w:val="0"/>
        <w:spacing w:before="0" w:line="317" w:lineRule="exact"/>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、公司资产或项目存在盈利预测，且报告期仍处在盈利预测期间，公司就资产或项目达到原盈利预测及 其原因做出说明</w:t>
      </w:r>
      <w:bookmarkEnd w:id="272"/>
      <w:bookmarkEnd w:id="273"/>
      <w:bookmarkEnd w:id="275"/>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5"/>
        <w:keepNext/>
        <w:keepLines/>
        <w:widowControl w:val="0"/>
        <w:shd w:val="clear" w:color="auto" w:fill="auto"/>
        <w:tabs>
          <w:tab w:pos="498" w:val="left"/>
        </w:tabs>
        <w:bidi w:val="0"/>
        <w:spacing w:before="0" w:after="340" w:line="322" w:lineRule="exact"/>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w:t>
        <w:tab/>
        <w:t>控股股东及其关联方对上市公司的非经营性占用资金情况</w:t>
      </w:r>
      <w:bookmarkEnd w:id="276"/>
      <w:bookmarkEnd w:id="277"/>
      <w:bookmarkEnd w:id="279"/>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22" w:val="left"/>
        </w:tabs>
        <w:bidi w:val="0"/>
        <w:spacing w:before="0" w:after="340" w:line="322" w:lineRule="exact"/>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w:t>
        <w:tab/>
        <w:t>董事会、监事会、独立董事（如有）对会计师事务所本报告期“非标准审计报告”的说 明</w:t>
      </w:r>
      <w:bookmarkEnd w:id="280"/>
      <w:bookmarkEnd w:id="281"/>
      <w:bookmarkEnd w:id="283"/>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tabs>
          <w:tab w:pos="522" w:val="left"/>
        </w:tabs>
        <w:bidi w:val="0"/>
        <w:spacing w:before="0" w:after="340" w:line="322" w:lineRule="exact"/>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六</w:t>
      </w:r>
      <w:bookmarkEnd w:id="286"/>
      <w:r>
        <w:rPr>
          <w:color w:val="000000"/>
          <w:spacing w:val="0"/>
          <w:w w:val="100"/>
          <w:position w:val="0"/>
          <w:sz w:val="24"/>
          <w:szCs w:val="24"/>
        </w:rPr>
        <w:t>、</w:t>
        <w:tab/>
        <w:t>与上年度财务报告相比，会计政策、会计估计和核算方法发生变化的情况说明</w:t>
      </w:r>
      <w:bookmarkEnd w:id="284"/>
      <w:bookmarkEnd w:id="285"/>
      <w:bookmarkEnd w:id="28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9"/>
        <w:keepNext w:val="0"/>
        <w:keepLines w:val="0"/>
        <w:widowControl w:val="0"/>
        <w:shd w:val="clear" w:color="auto" w:fill="auto"/>
        <w:bidi w:val="0"/>
        <w:spacing w:before="0" w:after="1060" w:line="240" w:lineRule="auto"/>
        <w:ind w:left="0" w:right="0" w:firstLine="0"/>
        <w:jc w:val="left"/>
      </w:pPr>
      <w:r>
        <w:rPr>
          <w:color w:val="000000"/>
          <w:spacing w:val="0"/>
          <w:w w:val="100"/>
          <w:position w:val="0"/>
        </w:rPr>
        <w:t>详见第十二节、五</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p>
    <w:p>
      <w:pPr>
        <w:pStyle w:val="Style25"/>
        <w:keepNext/>
        <w:keepLines/>
        <w:widowControl w:val="0"/>
        <w:shd w:val="clear" w:color="auto" w:fill="auto"/>
        <w:tabs>
          <w:tab w:pos="522" w:val="left"/>
        </w:tabs>
        <w:bidi w:val="0"/>
        <w:spacing w:before="0" w:after="2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w:t>
        <w:tab/>
        <w:t>报告期内发生重大会计差错更正需追溯重述的情况说明</w:t>
      </w:r>
      <w:bookmarkEnd w:id="288"/>
      <w:bookmarkEnd w:id="289"/>
      <w:bookmarkEnd w:id="291"/>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29"/>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2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八</w:t>
      </w:r>
      <w:bookmarkEnd w:id="294"/>
      <w:r>
        <w:rPr>
          <w:color w:val="000000"/>
          <w:spacing w:val="0"/>
          <w:w w:val="100"/>
          <w:position w:val="0"/>
          <w:sz w:val="24"/>
          <w:szCs w:val="24"/>
        </w:rPr>
        <w:t>、</w:t>
        <w:tab/>
        <w:t>与上年度财务报告相比，合并报表范围发生变化的情况说明</w:t>
      </w:r>
      <w:bookmarkEnd w:id="292"/>
      <w:bookmarkEnd w:id="293"/>
      <w:bookmarkEnd w:id="295"/>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子公司云宝金服（北京）科技有限公司于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月设立子公司云玥科技（上海）有限公司，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月该公司纳入合并 范围。</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月设立子公司海南省恒宝数字科技有限公司，截止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日该公司尚未实际经营。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月设立子公司恒宝物联网有限公司，截止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日该公司尚未实际经营。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月出资设立子公司恒宝润芯数字科技有限公司，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月该公司纳入合并范围。</w:t>
      </w:r>
    </w:p>
    <w:p>
      <w:pPr>
        <w:pStyle w:val="Style4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子公司恒宝国际有限责任公司于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月出资设立子公司</w:t>
      </w:r>
      <w:r>
        <w:rPr>
          <w:color w:val="000000"/>
          <w:spacing w:val="0"/>
          <w:w w:val="100"/>
          <w:position w:val="0"/>
        </w:rPr>
        <w:t>Chipstone Technologies Pte.Ltd</w:t>
      </w:r>
      <w:r>
        <w:rPr>
          <w:rFonts w:ascii="SimSun" w:eastAsia="SimSun" w:hAnsi="SimSun" w:cs="SimSun"/>
          <w:color w:val="000000"/>
          <w:spacing w:val="0"/>
          <w:w w:val="100"/>
          <w:position w:val="0"/>
        </w:rPr>
        <w:t>和孙公司</w:t>
      </w:r>
      <w:r>
        <w:rPr>
          <w:color w:val="000000"/>
          <w:spacing w:val="0"/>
          <w:w w:val="100"/>
          <w:position w:val="0"/>
        </w:rPr>
        <w:t>Keyfort Pte.Ltd</w:t>
      </w:r>
      <w:r>
        <w:rPr>
          <w:rFonts w:ascii="SimSun" w:eastAsia="SimSun" w:hAnsi="SimSun" w:cs="SimSun"/>
          <w:color w:val="000000"/>
          <w:spacing w:val="0"/>
          <w:w w:val="100"/>
          <w:position w:val="0"/>
        </w:rPr>
        <w:t>，</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Chipstone Technologies Pte Ltd</w:t>
      </w:r>
      <w:r>
        <w:rPr>
          <w:rFonts w:ascii="SimSun" w:eastAsia="SimSun" w:hAnsi="SimSun" w:cs="SimSun"/>
          <w:color w:val="000000"/>
          <w:spacing w:val="0"/>
          <w:w w:val="100"/>
          <w:position w:val="0"/>
        </w:rPr>
        <w:t>和</w:t>
      </w:r>
      <w:r>
        <w:rPr>
          <w:color w:val="000000"/>
          <w:spacing w:val="0"/>
          <w:w w:val="100"/>
          <w:position w:val="0"/>
        </w:rPr>
        <w:t>Keyfort Pte.Ltd</w:t>
      </w:r>
      <w:r>
        <w:rPr>
          <w:rFonts w:ascii="SimSun" w:eastAsia="SimSun" w:hAnsi="SimSun" w:cs="SimSun"/>
          <w:color w:val="000000"/>
          <w:spacing w:val="0"/>
          <w:w w:val="100"/>
          <w:position w:val="0"/>
        </w:rPr>
        <w:t>纳入合并范围。</w:t>
      </w:r>
    </w:p>
    <w:p>
      <w:pPr>
        <w:pStyle w:val="Style25"/>
        <w:keepNext/>
        <w:keepLines/>
        <w:widowControl w:val="0"/>
        <w:shd w:val="clear" w:color="auto" w:fill="auto"/>
        <w:tabs>
          <w:tab w:pos="522" w:val="left"/>
        </w:tabs>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九</w:t>
      </w:r>
      <w:bookmarkEnd w:id="298"/>
      <w:r>
        <w:rPr>
          <w:color w:val="000000"/>
          <w:spacing w:val="0"/>
          <w:w w:val="100"/>
          <w:position w:val="0"/>
          <w:sz w:val="24"/>
          <w:szCs w:val="24"/>
        </w:rPr>
        <w:t>、</w:t>
        <w:tab/>
        <w:t>聘任、解聘会计师事务所情况</w:t>
      </w:r>
      <w:bookmarkEnd w:id="296"/>
      <w:bookmarkEnd w:id="297"/>
      <w:bookmarkEnd w:id="299"/>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胡海萌、汪军</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 □否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口是"否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更换会计师事务所是否履行审批程序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 □否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对改聘、变更会计师事务所情况的详细说明</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公司原审计机构上会会计师事务所（特殊普通合伙）（以下简称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上会事务所</w:t>
      </w:r>
      <w:r>
        <w:rPr>
          <w:rFonts w:ascii="Times New Roman" w:eastAsia="Times New Roman" w:hAnsi="Times New Roman" w:cs="Times New Roman"/>
          <w:color w:val="000000"/>
          <w:spacing w:val="0"/>
          <w:w w:val="100"/>
          <w:position w:val="0"/>
        </w:rPr>
        <w:t>”</w:t>
      </w:r>
      <w:r>
        <w:rPr>
          <w:color w:val="000000"/>
          <w:spacing w:val="0"/>
          <w:w w:val="100"/>
          <w:position w:val="0"/>
        </w:rPr>
        <w:t>）在执业过程中坚持独立审计原则，勤勉 尽职，公允独立地发表审计意见，客观、公正、准确地反映公司财务报表及内部控制情况，切实履行了审计机构的职责，从 专业角度维护了公司及股东的合法权益。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为了确保上市公司审计工作的客观性，考虑公司业务发展和未来审计的需要，经公司认真考察、审计委员会审查、独立 董事事前认可，董事会审议通过，公司拟更换年度审计服务的会计师事务所，聘任具备证券、期货业务资格的中兴华会计师 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年度财务会计报告和内部控制审计机构，聘期一年，自公司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 审议通过起生效，并提请股东大会授权公司经营管理层依照市场公允、合理的定价原则，与中兴华会计师事务所（特殊普通 合伙）协商确定其</w:t>
      </w:r>
      <w:r>
        <w:rPr>
          <w:rFonts w:ascii="Times New Roman" w:eastAsia="Times New Roman" w:hAnsi="Times New Roman" w:cs="Times New Roman"/>
          <w:color w:val="000000"/>
          <w:spacing w:val="0"/>
          <w:w w:val="100"/>
          <w:position w:val="0"/>
        </w:rPr>
        <w:t>2020</w:t>
      </w:r>
      <w:r>
        <w:rPr>
          <w:color w:val="000000"/>
          <w:spacing w:val="0"/>
          <w:w w:val="100"/>
          <w:position w:val="0"/>
        </w:rPr>
        <w:t>年度审计费用，办理并签署相关服务协议等事项。</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公司已就更换会计师事务所事项与上会事务所进行了事先沟通，征得了其理解和支持，上会事务所知悉本事项并确认无 异议。上会事务所在为公司提供审计服务期间，勤勉、尽责、切实履行了审计机构应尽的职责，公司对上会事务所及其团队 多年来的辛勤工作和良好服务表示诚挚的感谢！</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日召开了第七届董事会第九次临时会议和第七届监事会第六次临时会议，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年第三次临时股东大会，审议通过了《关于更换会计师事务所的议案》，独立董事发表了事前认可意见和独立意见，同 意聘请上会为公司</w:t>
      </w:r>
      <w:r>
        <w:rPr>
          <w:rFonts w:ascii="Times New Roman" w:eastAsia="Times New Roman" w:hAnsi="Times New Roman" w:cs="Times New Roman"/>
          <w:color w:val="000000"/>
          <w:spacing w:val="0"/>
          <w:w w:val="100"/>
          <w:position w:val="0"/>
        </w:rPr>
        <w:t>2020</w:t>
      </w:r>
      <w:r>
        <w:rPr>
          <w:color w:val="000000"/>
          <w:spacing w:val="0"/>
          <w:w w:val="100"/>
          <w:position w:val="0"/>
        </w:rPr>
        <w:t>年年度财务会计报告和内部审计机构，聘期一年。</w:t>
      </w:r>
    </w:p>
    <w:p>
      <w:pPr>
        <w:pStyle w:val="Style29"/>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日，公司在《上海证券报》、《中国证券报》、《证券时报》及巨潮资讯网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w:t>
      </w:r>
      <w:r>
        <w:rPr>
          <w:color w:val="000000"/>
          <w:spacing w:val="0"/>
          <w:w w:val="100"/>
          <w:position w:val="0"/>
        </w:rPr>
        <w:t xml:space="preserve"> 登的《关于更换会计师事务所的公告》（公告编号：</w:t>
      </w:r>
      <w:r>
        <w:rPr>
          <w:rFonts w:ascii="Times New Roman" w:eastAsia="Times New Roman" w:hAnsi="Times New Roman" w:cs="Times New Roman"/>
          <w:color w:val="000000"/>
          <w:spacing w:val="0"/>
          <w:w w:val="100"/>
          <w:position w:val="0"/>
        </w:rPr>
        <w:t>2020-050</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十、年度报告披露后面临退市情况</w:t>
      </w:r>
      <w:bookmarkEnd w:id="300"/>
      <w:bookmarkEnd w:id="301"/>
      <w:bookmarkEnd w:id="302"/>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十一、破产重整相关事项</w:t>
      </w:r>
      <w:bookmarkEnd w:id="303"/>
      <w:bookmarkEnd w:id="304"/>
      <w:bookmarkEnd w:id="30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十二、重大诉讼、仲裁事项</w:t>
      </w:r>
      <w:bookmarkEnd w:id="306"/>
      <w:bookmarkEnd w:id="307"/>
      <w:bookmarkEnd w:id="308"/>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是否形成预 计负债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 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14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 理结果及影响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披露索引</w:t>
            </w: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未达到重大诉 讼、重大仲裁事</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项汇总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部分尚待 开庭、部 分正在审 理、部分 已审结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已审结部分 按判决结果 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59" w:line="1" w:lineRule="exact"/>
      </w:pPr>
    </w:p>
    <w:p>
      <w:pPr>
        <w:pStyle w:val="Style25"/>
        <w:keepNext/>
        <w:keepLines/>
        <w:widowControl w:val="0"/>
        <w:shd w:val="clear" w:color="auto" w:fill="auto"/>
        <w:bidi w:val="0"/>
        <w:spacing w:before="0" w:after="26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十三、处罚及整改情况</w:t>
      </w:r>
      <w:bookmarkEnd w:id="309"/>
      <w:bookmarkEnd w:id="310"/>
      <w:bookmarkEnd w:id="311"/>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2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十四、公司及其控股股东、实际控制人的诚信状况</w:t>
      </w:r>
      <w:bookmarkEnd w:id="312"/>
      <w:bookmarkEnd w:id="313"/>
      <w:bookmarkEnd w:id="314"/>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报告期内，公司及控股股东、实际控制人诚信状况良好，不存在未履行法院生效判决、所负数额较大的债务到期未清偿 等情况。</w:t>
      </w:r>
    </w:p>
    <w:p>
      <w:pPr>
        <w:pStyle w:val="Style25"/>
        <w:keepNext/>
        <w:keepLines/>
        <w:widowControl w:val="0"/>
        <w:shd w:val="clear" w:color="auto" w:fill="auto"/>
        <w:bidi w:val="0"/>
        <w:spacing w:before="0" w:after="26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十五、公司股权激励计划、员工持股计划或其他员工激励措施的实施情况</w:t>
      </w:r>
      <w:bookmarkEnd w:id="315"/>
      <w:bookmarkEnd w:id="316"/>
      <w:bookmarkEnd w:id="317"/>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十六、重大关联交易</w:t>
      </w:r>
      <w:bookmarkEnd w:id="318"/>
      <w:bookmarkEnd w:id="319"/>
      <w:bookmarkEnd w:id="320"/>
    </w:p>
    <w:p>
      <w:pPr>
        <w:pStyle w:val="Style32"/>
        <w:keepNext/>
        <w:keepLines/>
        <w:widowControl w:val="0"/>
        <w:shd w:val="clear" w:color="auto" w:fill="auto"/>
        <w:tabs>
          <w:tab w:pos="368" w:val="left"/>
        </w:tabs>
        <w:bidi w:val="0"/>
        <w:spacing w:before="0" w:after="26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与日常经营相关的关联交易</w:t>
      </w:r>
      <w:bookmarkEnd w:id="321"/>
      <w:bookmarkEnd w:id="322"/>
      <w:bookmarkEnd w:id="324"/>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资产或股权收购、出售发生的关联交易</w:t>
      </w:r>
      <w:bookmarkEnd w:id="325"/>
      <w:bookmarkEnd w:id="326"/>
      <w:bookmarkEnd w:id="328"/>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共同对外投资的关联交易</w:t>
      </w:r>
      <w:bookmarkEnd w:id="329"/>
      <w:bookmarkEnd w:id="330"/>
      <w:bookmarkEnd w:id="332"/>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关联债权债务往来</w:t>
      </w:r>
      <w:bookmarkEnd w:id="333"/>
      <w:bookmarkEnd w:id="334"/>
      <w:bookmarkEnd w:id="336"/>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公司报告期不存在关联债权债务往来。</w:t>
      </w:r>
    </w:p>
    <w:p>
      <w:pPr>
        <w:pStyle w:val="Style32"/>
        <w:keepNext/>
        <w:keepLines/>
        <w:widowControl w:val="0"/>
        <w:shd w:val="clear" w:color="auto" w:fill="auto"/>
        <w:bidi w:val="0"/>
        <w:spacing w:before="0" w:after="24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5</w:t>
      </w:r>
      <w:bookmarkEnd w:id="339"/>
      <w:r>
        <w:rPr>
          <w:color w:val="000000"/>
          <w:spacing w:val="0"/>
          <w:w w:val="100"/>
          <w:position w:val="0"/>
        </w:rPr>
        <w:t>、其他重大关联交易</w:t>
      </w:r>
      <w:bookmarkEnd w:id="337"/>
      <w:bookmarkEnd w:id="338"/>
      <w:bookmarkEnd w:id="340"/>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4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十七、重大合同及其履行情况</w:t>
      </w:r>
      <w:bookmarkEnd w:id="341"/>
      <w:bookmarkEnd w:id="342"/>
      <w:bookmarkEnd w:id="343"/>
    </w:p>
    <w:p>
      <w:pPr>
        <w:pStyle w:val="Style32"/>
        <w:keepNext/>
        <w:keepLines/>
        <w:widowControl w:val="0"/>
        <w:shd w:val="clear" w:color="auto" w:fill="auto"/>
        <w:tabs>
          <w:tab w:pos="36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托管、承包、租赁事项情况</w:t>
      </w:r>
      <w:bookmarkEnd w:id="344"/>
      <w:bookmarkEnd w:id="345"/>
      <w:bookmarkEnd w:id="347"/>
    </w:p>
    <w:p>
      <w:pPr>
        <w:pStyle w:val="Style32"/>
        <w:keepNext/>
        <w:keepLines/>
        <w:widowControl w:val="0"/>
        <w:shd w:val="clear" w:color="auto" w:fill="auto"/>
        <w:tabs>
          <w:tab w:pos="488" w:val="left"/>
        </w:tabs>
        <w:bidi w:val="0"/>
        <w:spacing w:before="0" w:after="240" w:line="240" w:lineRule="auto"/>
        <w:ind w:left="0" w:right="0" w:firstLine="0"/>
        <w:jc w:val="left"/>
      </w:pPr>
      <w:bookmarkStart w:id="344" w:name="bookmark344"/>
      <w:bookmarkStart w:id="345" w:name="bookmark345"/>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4"/>
      <w:bookmarkEnd w:id="345"/>
      <w:bookmarkEnd w:id="349"/>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88" w:val="left"/>
        </w:tabs>
        <w:bidi w:val="0"/>
        <w:spacing w:before="0" w:after="24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0"/>
      <w:bookmarkEnd w:id="351"/>
      <w:bookmarkEnd w:id="353"/>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88" w:val="left"/>
        </w:tabs>
        <w:bidi w:val="0"/>
        <w:spacing w:before="0" w:after="24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4"/>
      <w:bookmarkEnd w:id="355"/>
      <w:bookmarkEnd w:id="357"/>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深圳一卡易子公司</w:t>
      </w:r>
      <w:r>
        <w:rPr>
          <w:rFonts w:ascii="Times New Roman" w:eastAsia="Times New Roman" w:hAnsi="Times New Roman" w:cs="Times New Roman"/>
          <w:color w:val="000000"/>
          <w:spacing w:val="0"/>
          <w:w w:val="100"/>
          <w:position w:val="0"/>
        </w:rPr>
        <w:t>2019</w:t>
      </w:r>
      <w:r>
        <w:rPr>
          <w:color w:val="000000"/>
          <w:spacing w:val="0"/>
          <w:w w:val="100"/>
          <w:position w:val="0"/>
        </w:rPr>
        <w:t>年租入深圳市龙华街道三联社区创业路</w:t>
      </w:r>
      <w:r>
        <w:rPr>
          <w:rFonts w:ascii="Times New Roman" w:eastAsia="Times New Roman" w:hAnsi="Times New Roman" w:cs="Times New Roman"/>
          <w:color w:val="000000"/>
          <w:spacing w:val="0"/>
          <w:w w:val="100"/>
          <w:position w:val="0"/>
        </w:rPr>
        <w:t>19</w:t>
      </w:r>
      <w:r>
        <w:rPr>
          <w:color w:val="000000"/>
          <w:spacing w:val="0"/>
          <w:w w:val="100"/>
          <w:position w:val="0"/>
        </w:rPr>
        <w:t>号弓村新城商业中心（汇海广场）</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层</w:t>
      </w:r>
      <w:r>
        <w:rPr>
          <w:rFonts w:ascii="Times New Roman" w:eastAsia="Times New Roman" w:hAnsi="Times New Roman" w:cs="Times New Roman"/>
          <w:color w:val="000000"/>
          <w:spacing w:val="0"/>
          <w:w w:val="100"/>
          <w:position w:val="0"/>
        </w:rPr>
        <w:t>01-03</w:t>
      </w:r>
      <w:r>
        <w:rPr>
          <w:color w:val="000000"/>
          <w:spacing w:val="0"/>
          <w:w w:val="100"/>
          <w:position w:val="0"/>
        </w:rPr>
        <w:t>号，深 圳市汇海宏融投资发展有限公司所属的写字楼</w:t>
      </w:r>
      <w:r>
        <w:rPr>
          <w:rFonts w:ascii="Times New Roman" w:eastAsia="Times New Roman" w:hAnsi="Times New Roman" w:cs="Times New Roman"/>
          <w:color w:val="000000"/>
          <w:spacing w:val="0"/>
          <w:w w:val="100"/>
          <w:position w:val="0"/>
        </w:rPr>
        <w:t>1584</w:t>
      </w:r>
      <w:r>
        <w:rPr>
          <w:color w:val="000000"/>
          <w:spacing w:val="0"/>
          <w:w w:val="100"/>
          <w:position w:val="0"/>
        </w:rPr>
        <w:t>平方米作为经营、办公场所，租赁期限为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日年租金为</w:t>
      </w:r>
      <w:r>
        <w:rPr>
          <w:rFonts w:ascii="Times New Roman" w:eastAsia="Times New Roman" w:hAnsi="Times New Roman" w:cs="Times New Roman"/>
          <w:color w:val="000000"/>
          <w:spacing w:val="0"/>
          <w:w w:val="100"/>
          <w:position w:val="0"/>
        </w:rPr>
        <w:t>1,710,720.00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日年租金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,847,580.00</w:t>
      </w:r>
      <w:r>
        <w:rPr>
          <w:color w:val="000000"/>
          <w:spacing w:val="0"/>
          <w:w w:val="100"/>
          <w:position w:val="0"/>
        </w:rPr>
        <w:t>元。 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after="24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重大担保</w:t>
      </w:r>
      <w:bookmarkEnd w:id="358"/>
      <w:bookmarkEnd w:id="359"/>
      <w:bookmarkEnd w:id="361"/>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委托他人进行现金资产管理情况</w:t>
      </w:r>
      <w:bookmarkEnd w:id="362"/>
      <w:bookmarkEnd w:id="363"/>
      <w:bookmarkEnd w:id="365"/>
    </w:p>
    <w:p>
      <w:pPr>
        <w:pStyle w:val="Style32"/>
        <w:keepNext/>
        <w:keepLines/>
        <w:widowControl w:val="0"/>
        <w:shd w:val="clear" w:color="auto" w:fill="auto"/>
        <w:bidi w:val="0"/>
        <w:spacing w:before="0" w:after="240" w:line="240" w:lineRule="auto"/>
        <w:ind w:left="0" w:right="0" w:firstLine="0"/>
        <w:jc w:val="left"/>
      </w:pPr>
      <w:bookmarkStart w:id="362" w:name="bookmark362"/>
      <w:bookmarkStart w:id="363" w:name="bookmark363"/>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2"/>
      <w:bookmarkEnd w:id="363"/>
      <w:bookmarkEnd w:id="367"/>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240" w:line="326" w:lineRule="exact"/>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317,165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86,389.29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317,165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86,389.29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单项金额重大或安全性较低、流动性较差、不保本的高风险委托理财具体情况</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9"/>
        </w:numPr>
        <w:shd w:val="clear" w:color="auto" w:fill="auto"/>
        <w:bidi w:val="0"/>
        <w:spacing w:before="0" w:after="260" w:line="240" w:lineRule="auto"/>
        <w:ind w:left="0" w:right="0" w:firstLine="0"/>
        <w:jc w:val="left"/>
      </w:pPr>
      <w:bookmarkStart w:id="368" w:name="bookmark368"/>
      <w:bookmarkStart w:id="369" w:name="bookmark369"/>
      <w:bookmarkStart w:id="370" w:name="bookmark370"/>
      <w:bookmarkStart w:id="371" w:name="bookmark371"/>
      <w:bookmarkEnd w:id="370"/>
      <w:r>
        <w:rPr>
          <w:color w:val="000000"/>
          <w:spacing w:val="0"/>
          <w:w w:val="100"/>
          <w:position w:val="0"/>
        </w:rPr>
        <w:t>委托贷款情况</w:t>
      </w:r>
      <w:bookmarkEnd w:id="368"/>
      <w:bookmarkEnd w:id="369"/>
      <w:bookmarkEnd w:id="371"/>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404"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w:t>
        <w:tab/>
        <w:t>日常经营重大合同</w:t>
      </w:r>
      <w:bookmarkEnd w:id="372"/>
      <w:bookmarkEnd w:id="373"/>
      <w:bookmarkEnd w:id="375"/>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04" w:val="left"/>
        </w:tabs>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5</w:t>
      </w:r>
      <w:bookmarkEnd w:id="378"/>
      <w:r>
        <w:rPr>
          <w:color w:val="000000"/>
          <w:spacing w:val="0"/>
          <w:w w:val="100"/>
          <w:position w:val="0"/>
        </w:rPr>
        <w:t>、</w:t>
        <w:tab/>
        <w:t>其他重大合同</w:t>
      </w:r>
      <w:bookmarkEnd w:id="376"/>
      <w:bookmarkEnd w:id="377"/>
      <w:bookmarkEnd w:id="379"/>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十八、社会责任情况</w:t>
      </w:r>
      <w:bookmarkEnd w:id="380"/>
      <w:bookmarkEnd w:id="381"/>
      <w:bookmarkEnd w:id="382"/>
    </w:p>
    <w:p>
      <w:pPr>
        <w:pStyle w:val="Style32"/>
        <w:keepNext/>
        <w:keepLines/>
        <w:widowControl w:val="0"/>
        <w:shd w:val="clear" w:color="auto" w:fill="auto"/>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、履行社会责任情况</w:t>
      </w:r>
      <w:bookmarkEnd w:id="383"/>
      <w:bookmarkEnd w:id="384"/>
      <w:bookmarkEnd w:id="386"/>
    </w:p>
    <w:p>
      <w:pPr>
        <w:pStyle w:val="Style29"/>
        <w:keepNext w:val="0"/>
        <w:keepLines w:val="0"/>
        <w:widowControl w:val="0"/>
        <w:numPr>
          <w:ilvl w:val="0"/>
          <w:numId w:val="11"/>
        </w:numPr>
        <w:shd w:val="clear" w:color="auto" w:fill="auto"/>
        <w:tabs>
          <w:tab w:pos="541" w:val="left"/>
        </w:tabs>
        <w:bidi w:val="0"/>
        <w:spacing w:before="0" w:after="0" w:line="315" w:lineRule="exact"/>
        <w:ind w:left="0" w:right="0" w:firstLine="0"/>
        <w:jc w:val="left"/>
      </w:pPr>
      <w:bookmarkStart w:id="387" w:name="bookmark387"/>
      <w:bookmarkEnd w:id="387"/>
      <w:r>
        <w:rPr>
          <w:color w:val="000000"/>
          <w:spacing w:val="0"/>
          <w:w w:val="100"/>
          <w:position w:val="0"/>
        </w:rPr>
        <w:t>保障股东特别是中小股东的权益的责任：规范运作公司</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，及时准确完整地披露相关信息；建立投资者关系平台， 及时回答投资者的提问；做好投资者调研接待，真实完整介绍公司的经营现状和发展战略，确保广大投资者能公开、公平地 获得公司信息，了解公司经营状况。</w:t>
      </w:r>
    </w:p>
    <w:p>
      <w:pPr>
        <w:pStyle w:val="Style29"/>
        <w:keepNext w:val="0"/>
        <w:keepLines w:val="0"/>
        <w:widowControl w:val="0"/>
        <w:numPr>
          <w:ilvl w:val="0"/>
          <w:numId w:val="11"/>
        </w:numPr>
        <w:shd w:val="clear" w:color="auto" w:fill="auto"/>
        <w:tabs>
          <w:tab w:pos="536" w:val="left"/>
        </w:tabs>
        <w:bidi w:val="0"/>
        <w:spacing w:before="0" w:after="0" w:line="315" w:lineRule="exact"/>
        <w:ind w:left="0" w:right="0" w:firstLine="0"/>
        <w:jc w:val="left"/>
      </w:pPr>
      <w:bookmarkStart w:id="388" w:name="bookmark388"/>
      <w:bookmarkEnd w:id="388"/>
      <w:r>
        <w:rPr>
          <w:color w:val="000000"/>
          <w:spacing w:val="0"/>
          <w:w w:val="100"/>
          <w:position w:val="0"/>
        </w:rPr>
        <w:t>保护员工合法权益的责任：严格按照国家相关法律法规建立员工用工制度和保障制度，注重员工工作环境的改造和优 化，特殊工种享有特种补贴，公司通过了</w:t>
      </w:r>
      <w:r>
        <w:rPr>
          <w:rFonts w:ascii="Times New Roman" w:eastAsia="Times New Roman" w:hAnsi="Times New Roman" w:cs="Times New Roman"/>
          <w:color w:val="000000"/>
          <w:spacing w:val="0"/>
          <w:w w:val="100"/>
          <w:position w:val="0"/>
        </w:rPr>
        <w:t>OHSAS18001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职业健康安全管理体系；积极发挥工会的作用，维护员工个人 合法权益；建立员工培训和持续教育制度，注重员工素质的培养和提高，建立人才成长通道；重视企业文化建设，构建企业 与员工共同发展的环境。</w:t>
      </w:r>
    </w:p>
    <w:p>
      <w:pPr>
        <w:pStyle w:val="Style29"/>
        <w:keepNext w:val="0"/>
        <w:keepLines w:val="0"/>
        <w:widowControl w:val="0"/>
        <w:numPr>
          <w:ilvl w:val="0"/>
          <w:numId w:val="11"/>
        </w:numPr>
        <w:shd w:val="clear" w:color="auto" w:fill="auto"/>
        <w:tabs>
          <w:tab w:pos="536" w:val="left"/>
        </w:tabs>
        <w:bidi w:val="0"/>
        <w:spacing w:before="0" w:after="0" w:line="315" w:lineRule="exact"/>
        <w:ind w:left="0" w:right="0" w:firstLine="0"/>
        <w:jc w:val="left"/>
      </w:pPr>
      <w:bookmarkStart w:id="389" w:name="bookmark389"/>
      <w:bookmarkEnd w:id="389"/>
      <w:r>
        <w:rPr>
          <w:color w:val="000000"/>
          <w:spacing w:val="0"/>
          <w:w w:val="100"/>
          <w:position w:val="0"/>
        </w:rPr>
        <w:t>保护债权人、消费者合法权益的责任：公司是江苏省</w:t>
      </w:r>
      <w:r>
        <w:rPr>
          <w:rFonts w:ascii="Times New Roman" w:eastAsia="Times New Roman" w:hAnsi="Times New Roman" w:cs="Times New Roman"/>
          <w:color w:val="000000"/>
          <w:spacing w:val="0"/>
          <w:w w:val="100"/>
          <w:position w:val="0"/>
        </w:rPr>
        <w:t>“</w:t>
      </w:r>
      <w:r>
        <w:rPr>
          <w:color w:val="000000"/>
          <w:spacing w:val="0"/>
          <w:w w:val="100"/>
          <w:position w:val="0"/>
        </w:rPr>
        <w:t>重合同守信用</w:t>
      </w:r>
      <w:r>
        <w:rPr>
          <w:rFonts w:ascii="Times New Roman" w:eastAsia="Times New Roman" w:hAnsi="Times New Roman" w:cs="Times New Roman"/>
          <w:color w:val="000000"/>
          <w:spacing w:val="0"/>
          <w:w w:val="100"/>
          <w:position w:val="0"/>
        </w:rPr>
        <w:t>”</w:t>
      </w:r>
      <w:r>
        <w:rPr>
          <w:color w:val="000000"/>
          <w:spacing w:val="0"/>
          <w:w w:val="100"/>
          <w:position w:val="0"/>
        </w:rPr>
        <w:t>单位，镇江市</w:t>
      </w:r>
      <w:r>
        <w:rPr>
          <w:rFonts w:ascii="Times New Roman" w:eastAsia="Times New Roman" w:hAnsi="Times New Roman" w:cs="Times New Roman"/>
          <w:color w:val="000000"/>
          <w:spacing w:val="0"/>
          <w:w w:val="100"/>
          <w:position w:val="0"/>
        </w:rPr>
        <w:t>“A</w:t>
      </w:r>
      <w:r>
        <w:rPr>
          <w:color w:val="000000"/>
          <w:spacing w:val="0"/>
          <w:w w:val="100"/>
          <w:position w:val="0"/>
        </w:rPr>
        <w:t>纳税信用等级</w:t>
      </w:r>
      <w:r>
        <w:rPr>
          <w:rFonts w:ascii="Times New Roman" w:eastAsia="Times New Roman" w:hAnsi="Times New Roman" w:cs="Times New Roman"/>
          <w:color w:val="000000"/>
          <w:spacing w:val="0"/>
          <w:w w:val="100"/>
          <w:position w:val="0"/>
        </w:rPr>
        <w:t>”</w:t>
      </w:r>
      <w:r>
        <w:rPr>
          <w:color w:val="000000"/>
          <w:spacing w:val="0"/>
          <w:w w:val="100"/>
          <w:position w:val="0"/>
        </w:rPr>
        <w:t>单位，</w:t>
      </w:r>
      <w:r>
        <w:rPr>
          <w:rFonts w:ascii="Times New Roman" w:eastAsia="Times New Roman" w:hAnsi="Times New Roman" w:cs="Times New Roman"/>
          <w:color w:val="000000"/>
          <w:spacing w:val="0"/>
          <w:w w:val="100"/>
          <w:position w:val="0"/>
        </w:rPr>
        <w:t>“AAA</w:t>
      </w:r>
      <w:r>
        <w:rPr>
          <w:color w:val="000000"/>
          <w:spacing w:val="0"/>
          <w:w w:val="100"/>
          <w:position w:val="0"/>
        </w:rPr>
        <w:t>资信 等级</w:t>
      </w:r>
      <w:r>
        <w:rPr>
          <w:rFonts w:ascii="Times New Roman" w:eastAsia="Times New Roman" w:hAnsi="Times New Roman" w:cs="Times New Roman"/>
          <w:color w:val="000000"/>
          <w:spacing w:val="0"/>
          <w:w w:val="100"/>
          <w:position w:val="0"/>
        </w:rPr>
        <w:t>”</w:t>
      </w:r>
      <w:r>
        <w:rPr>
          <w:color w:val="000000"/>
          <w:spacing w:val="0"/>
          <w:w w:val="100"/>
          <w:position w:val="0"/>
        </w:rPr>
        <w:t>单位，通过了</w:t>
      </w:r>
      <w:r>
        <w:rPr>
          <w:rFonts w:ascii="Times New Roman" w:eastAsia="Times New Roman" w:hAnsi="Times New Roman" w:cs="Times New Roman"/>
          <w:color w:val="000000"/>
          <w:spacing w:val="0"/>
          <w:w w:val="100"/>
          <w:position w:val="0"/>
        </w:rPr>
        <w:t>ISO9001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质量管理体系、</w:t>
      </w:r>
      <w:r>
        <w:rPr>
          <w:rFonts w:ascii="Times New Roman" w:eastAsia="Times New Roman" w:hAnsi="Times New Roman" w:cs="Times New Roman"/>
          <w:color w:val="000000"/>
          <w:spacing w:val="0"/>
          <w:w w:val="100"/>
          <w:position w:val="0"/>
        </w:rPr>
        <w:t>ISO14001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2004</w:t>
      </w:r>
      <w:r>
        <w:rPr>
          <w:color w:val="000000"/>
          <w:spacing w:val="0"/>
          <w:w w:val="100"/>
          <w:position w:val="0"/>
        </w:rPr>
        <w:t>环境管理体系，注重与供应商的交流和沟通，以互惠互 利、质量优先为前提，共同发展；重视产品质量的提高和服务的优化，保护消费者的合法权益。</w:t>
      </w:r>
    </w:p>
    <w:p>
      <w:pPr>
        <w:pStyle w:val="Style29"/>
        <w:keepNext w:val="0"/>
        <w:keepLines w:val="0"/>
        <w:widowControl w:val="0"/>
        <w:numPr>
          <w:ilvl w:val="0"/>
          <w:numId w:val="11"/>
        </w:numPr>
        <w:shd w:val="clear" w:color="auto" w:fill="auto"/>
        <w:tabs>
          <w:tab w:pos="546" w:val="left"/>
        </w:tabs>
        <w:bidi w:val="0"/>
        <w:spacing w:before="0" w:after="0" w:line="315" w:lineRule="exact"/>
        <w:ind w:left="0" w:right="0" w:firstLine="0"/>
        <w:jc w:val="left"/>
      </w:pPr>
      <w:bookmarkStart w:id="390" w:name="bookmark390"/>
      <w:bookmarkEnd w:id="390"/>
      <w:r>
        <w:rPr>
          <w:color w:val="000000"/>
          <w:spacing w:val="0"/>
          <w:w w:val="100"/>
          <w:position w:val="0"/>
        </w:rPr>
        <w:t>保护环境的社会责任：公司是高新企业，提供高端智能卡及解决方案，无</w:t>
      </w:r>
      <w:r>
        <w:rPr>
          <w:rFonts w:ascii="Times New Roman" w:eastAsia="Times New Roman" w:hAnsi="Times New Roman" w:cs="Times New Roman"/>
          <w:color w:val="000000"/>
          <w:spacing w:val="0"/>
          <w:w w:val="100"/>
          <w:position w:val="0"/>
        </w:rPr>
        <w:t>“</w:t>
      </w:r>
      <w:r>
        <w:rPr>
          <w:color w:val="000000"/>
          <w:spacing w:val="0"/>
          <w:w w:val="100"/>
          <w:position w:val="0"/>
        </w:rPr>
        <w:t>三废</w:t>
      </w:r>
      <w:r>
        <w:rPr>
          <w:rFonts w:ascii="Times New Roman" w:eastAsia="Times New Roman" w:hAnsi="Times New Roman" w:cs="Times New Roman"/>
          <w:color w:val="000000"/>
          <w:spacing w:val="0"/>
          <w:w w:val="100"/>
          <w:position w:val="0"/>
        </w:rPr>
        <w:t>”</w:t>
      </w:r>
      <w:r>
        <w:rPr>
          <w:color w:val="000000"/>
          <w:spacing w:val="0"/>
          <w:w w:val="100"/>
          <w:position w:val="0"/>
        </w:rPr>
        <w:t>污染；厂区实施园林式建设和规划， 环境优美。</w:t>
      </w:r>
    </w:p>
    <w:p>
      <w:pPr>
        <w:pStyle w:val="Style29"/>
        <w:keepNext w:val="0"/>
        <w:keepLines w:val="0"/>
        <w:widowControl w:val="0"/>
        <w:numPr>
          <w:ilvl w:val="0"/>
          <w:numId w:val="11"/>
        </w:numPr>
        <w:shd w:val="clear" w:color="auto" w:fill="auto"/>
        <w:tabs>
          <w:tab w:pos="445" w:val="left"/>
        </w:tabs>
        <w:bidi w:val="0"/>
        <w:spacing w:before="0" w:after="260" w:line="315" w:lineRule="exact"/>
        <w:ind w:left="0" w:right="0" w:firstLine="0"/>
        <w:jc w:val="left"/>
      </w:pPr>
      <w:bookmarkStart w:id="391" w:name="bookmark391"/>
      <w:bookmarkEnd w:id="391"/>
      <w:r>
        <w:rPr>
          <w:color w:val="000000"/>
          <w:spacing w:val="0"/>
          <w:w w:val="100"/>
          <w:position w:val="0"/>
        </w:rPr>
        <w:t>其他社会责任：注重社区社会责任，每年为社区内的学校、敬老院等提供资助和服务，构建和谐的社区文化。</w:t>
      </w:r>
    </w:p>
    <w:p>
      <w:pPr>
        <w:pStyle w:val="Style48"/>
        <w:keepNext w:val="0"/>
        <w:keepLines w:val="0"/>
        <w:widowControl w:val="0"/>
        <w:shd w:val="clear" w:color="auto" w:fill="auto"/>
        <w:bidi w:val="0"/>
        <w:spacing w:before="0" w:line="240" w:lineRule="auto"/>
        <w:ind w:left="0" w:right="0" w:firstLine="0"/>
        <w:jc w:val="left"/>
      </w:pPr>
      <w:bookmarkStart w:id="392" w:name="bookmark392"/>
      <w:r>
        <w:rPr>
          <w:rFonts w:ascii="Times New Roman" w:eastAsia="Times New Roman" w:hAnsi="Times New Roman" w:cs="Times New Roman"/>
          <w:color w:val="000000"/>
          <w:spacing w:val="0"/>
          <w:w w:val="100"/>
          <w:position w:val="0"/>
        </w:rPr>
        <w:t>2</w:t>
      </w:r>
      <w:bookmarkEnd w:id="392"/>
      <w:r>
        <w:rPr>
          <w:color w:val="000000"/>
          <w:spacing w:val="0"/>
          <w:w w:val="100"/>
          <w:position w:val="0"/>
        </w:rPr>
        <w:t>、履行精准扶贫社会责任情况</w:t>
      </w:r>
    </w:p>
    <w:p>
      <w:pPr>
        <w:pStyle w:val="Style48"/>
        <w:keepNext w:val="0"/>
        <w:keepLines w:val="0"/>
        <w:widowControl w:val="0"/>
        <w:shd w:val="clear" w:color="auto" w:fill="auto"/>
        <w:tabs>
          <w:tab w:pos="628" w:val="left"/>
        </w:tabs>
        <w:bidi w:val="0"/>
        <w:spacing w:before="0" w:line="240" w:lineRule="auto"/>
        <w:ind w:left="0" w:right="0" w:firstLine="140"/>
        <w:jc w:val="left"/>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p>
    <w:p>
      <w:pPr>
        <w:pStyle w:val="Style48"/>
        <w:keepNext w:val="0"/>
        <w:keepLines w:val="0"/>
        <w:widowControl w:val="0"/>
        <w:shd w:val="clear" w:color="auto" w:fill="auto"/>
        <w:tabs>
          <w:tab w:pos="628" w:val="left"/>
        </w:tabs>
        <w:bidi w:val="0"/>
        <w:spacing w:before="0" w:line="240" w:lineRule="auto"/>
        <w:ind w:left="0" w:right="0" w:firstLine="14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p>
    <w:p>
      <w:pPr>
        <w:pStyle w:val="Style48"/>
        <w:keepNext w:val="0"/>
        <w:keepLines w:val="0"/>
        <w:widowControl w:val="0"/>
        <w:shd w:val="clear" w:color="auto" w:fill="auto"/>
        <w:tabs>
          <w:tab w:pos="628" w:val="left"/>
        </w:tabs>
        <w:bidi w:val="0"/>
        <w:spacing w:before="0" w:line="240" w:lineRule="auto"/>
        <w:ind w:left="0" w:right="0" w:firstLine="140"/>
        <w:jc w:val="left"/>
      </w:pPr>
      <w:bookmarkStart w:id="395" w:name="bookmark395"/>
      <w:r>
        <w:rPr>
          <w:rFonts w:ascii="Times New Roman" w:eastAsia="Times New Roman" w:hAnsi="Times New Roman" w:cs="Times New Roman"/>
          <w:color w:val="000000"/>
          <w:spacing w:val="0"/>
          <w:w w:val="100"/>
          <w:position w:val="0"/>
        </w:rPr>
        <w:t>（</w:t>
      </w:r>
      <w:bookmarkEnd w:id="395"/>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19" w:line="1" w:lineRule="exact"/>
      </w:pPr>
    </w:p>
    <w:p>
      <w:pPr>
        <w:pStyle w:val="Style48"/>
        <w:keepNext w:val="0"/>
        <w:keepLines w:val="0"/>
        <w:widowControl w:val="0"/>
        <w:shd w:val="clear" w:color="auto" w:fill="auto"/>
        <w:bidi w:val="0"/>
        <w:spacing w:before="0" w:line="240" w:lineRule="auto"/>
        <w:ind w:left="0" w:right="0" w:firstLine="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p>
    <w:p>
      <w:pPr>
        <w:pStyle w:val="Style48"/>
        <w:keepNext w:val="0"/>
        <w:keepLines w:val="0"/>
        <w:widowControl w:val="0"/>
        <w:shd w:val="clear" w:color="auto" w:fill="auto"/>
        <w:bidi w:val="0"/>
        <w:spacing w:before="0" w:after="260" w:line="240" w:lineRule="auto"/>
        <w:ind w:left="0" w:right="0" w:firstLine="0"/>
        <w:jc w:val="left"/>
      </w:pPr>
      <w:bookmarkStart w:id="397" w:name="bookmark397"/>
      <w:r>
        <w:rPr>
          <w:rFonts w:ascii="Times New Roman" w:eastAsia="Times New Roman" w:hAnsi="Times New Roman" w:cs="Times New Roman"/>
          <w:color w:val="000000"/>
          <w:spacing w:val="0"/>
          <w:w w:val="100"/>
          <w:position w:val="0"/>
        </w:rPr>
        <w:t>3</w:t>
      </w:r>
      <w:bookmarkEnd w:id="397"/>
      <w:r>
        <w:rPr>
          <w:color w:val="000000"/>
          <w:spacing w:val="0"/>
          <w:w w:val="100"/>
          <w:position w:val="0"/>
        </w:rPr>
        <w:t>、环境保护相关的情况</w:t>
      </w:r>
    </w:p>
    <w:p>
      <w:pPr>
        <w:pStyle w:val="Style29"/>
        <w:keepNext w:val="0"/>
        <w:keepLines w:val="0"/>
        <w:widowControl w:val="0"/>
        <w:shd w:val="clear" w:color="auto" w:fill="auto"/>
        <w:bidi w:val="0"/>
        <w:spacing w:before="0" w:line="302"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line="302"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29"/>
        <w:keepNext w:val="0"/>
        <w:keepLines w:val="0"/>
        <w:widowControl w:val="0"/>
        <w:shd w:val="clear" w:color="auto" w:fill="auto"/>
        <w:bidi w:val="0"/>
        <w:spacing w:before="0" w:line="302"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700" w:line="302" w:lineRule="exact"/>
        <w:ind w:left="0" w:right="0" w:firstLine="0"/>
        <w:jc w:val="left"/>
      </w:pPr>
      <w:r>
        <w:rPr>
          <w:color w:val="000000"/>
          <w:spacing w:val="0"/>
          <w:w w:val="100"/>
          <w:position w:val="0"/>
        </w:rPr>
        <w:t>本公司严格按照有关环保法规及相应标准对废水、固废进行有效综合治理，积极践行企业环保责任。公司建立了</w:t>
      </w:r>
      <w:r>
        <w:rPr>
          <w:color w:val="000000"/>
          <w:spacing w:val="0"/>
          <w:w w:val="100"/>
          <w:position w:val="0"/>
          <w:sz w:val="18"/>
          <w:szCs w:val="18"/>
        </w:rPr>
        <w:t>IS014001</w:t>
      </w:r>
      <w:r>
        <w:rPr>
          <w:color w:val="000000"/>
          <w:spacing w:val="0"/>
          <w:w w:val="100"/>
          <w:position w:val="0"/>
        </w:rPr>
        <w:t>环 境管理体系，将环境保护、节能减排工作纳入重要工作管理。</w:t>
      </w:r>
    </w:p>
    <w:p>
      <w:pPr>
        <w:pStyle w:val="Style25"/>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十九、其他重大事项的说明</w:t>
      </w:r>
      <w:bookmarkEnd w:id="398"/>
      <w:bookmarkEnd w:id="399"/>
      <w:bookmarkEnd w:id="400"/>
    </w:p>
    <w:p>
      <w:pPr>
        <w:pStyle w:val="Style29"/>
        <w:keepNext w:val="0"/>
        <w:keepLines w:val="0"/>
        <w:widowControl w:val="0"/>
        <w:shd w:val="clear" w:color="auto" w:fill="auto"/>
        <w:bidi w:val="0"/>
        <w:spacing w:before="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302"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二十、公司子公司重大事项</w:t>
      </w:r>
      <w:bookmarkEnd w:id="401"/>
      <w:bookmarkEnd w:id="402"/>
      <w:bookmarkEnd w:id="403"/>
    </w:p>
    <w:p>
      <w:pPr>
        <w:pStyle w:val="Style29"/>
        <w:keepNext w:val="0"/>
        <w:keepLines w:val="0"/>
        <w:widowControl w:val="0"/>
        <w:shd w:val="clear" w:color="auto" w:fill="auto"/>
        <w:bidi w:val="0"/>
        <w:spacing w:before="0" w:line="312" w:lineRule="exact"/>
        <w:ind w:left="0" w:right="0" w:firstLine="0"/>
        <w:jc w:val="left"/>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日召开第七届董事会第十二次临时会议、第七届监事会第九次临时会议审议通过了《关于深圳一卡 易股份科技股份有限公司不再纳入公司合并报表范围的议案》，一卡易股份自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日开始不再纳入公司</w:t>
      </w:r>
      <w:r>
        <w:rPr>
          <w:rFonts w:ascii="Times New Roman" w:eastAsia="Times New Roman" w:hAnsi="Times New Roman" w:cs="Times New Roman"/>
          <w:color w:val="000000"/>
          <w:spacing w:val="0"/>
          <w:w w:val="100"/>
          <w:position w:val="0"/>
        </w:rPr>
        <w:t>2021</w:t>
      </w:r>
      <w:r>
        <w:rPr>
          <w:color w:val="000000"/>
          <w:spacing w:val="0"/>
          <w:w w:val="100"/>
          <w:position w:val="0"/>
        </w:rPr>
        <w:t>年合并报 表范围，详见公司于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日在《上海证券报》、《中国证券报》、《证券时报》及巨潮资讯网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上刊登的《恒宝股份第七届董事会第十二次临时会议决议公告》（公告编号：</w:t>
      </w:r>
      <w:r>
        <w:rPr>
          <w:rFonts w:ascii="Times New Roman" w:eastAsia="Times New Roman" w:hAnsi="Times New Roman" w:cs="Times New Roman"/>
          <w:color w:val="000000"/>
          <w:spacing w:val="0"/>
          <w:w w:val="100"/>
          <w:position w:val="0"/>
        </w:rPr>
        <w:t>2021-022</w:t>
      </w:r>
      <w:r>
        <w:rPr>
          <w:color w:val="000000"/>
          <w:spacing w:val="0"/>
          <w:w w:val="100"/>
          <w:position w:val="0"/>
        </w:rPr>
        <w:t>）、《恒宝股份第七届监事会第九次临 时会议决议公告》（公告编号：</w:t>
      </w:r>
      <w:r>
        <w:rPr>
          <w:rFonts w:ascii="Times New Roman" w:eastAsia="Times New Roman" w:hAnsi="Times New Roman" w:cs="Times New Roman"/>
          <w:color w:val="000000"/>
          <w:spacing w:val="0"/>
          <w:w w:val="100"/>
          <w:position w:val="0"/>
        </w:rPr>
        <w:t>2021-023</w:t>
      </w:r>
      <w:r>
        <w:rPr>
          <w:color w:val="000000"/>
          <w:spacing w:val="0"/>
          <w:w w:val="100"/>
          <w:position w:val="0"/>
        </w:rPr>
        <w:t>）、《关于深圳一卡易科技股份有限公司不再纳入公司合并报表范围的公告》（公告编 号：</w:t>
      </w:r>
      <w:r>
        <w:rPr>
          <w:rFonts w:ascii="Times New Roman" w:eastAsia="Times New Roman" w:hAnsi="Times New Roman" w:cs="Times New Roman"/>
          <w:color w:val="000000"/>
          <w:spacing w:val="0"/>
          <w:w w:val="100"/>
          <w:position w:val="0"/>
        </w:rPr>
        <w:t>2021-024</w:t>
      </w:r>
      <w:r>
        <w:rPr>
          <w:color w:val="000000"/>
          <w:spacing w:val="0"/>
          <w:w w:val="100"/>
          <w:position w:val="0"/>
        </w:rPr>
        <w:t>）</w:t>
      </w:r>
      <w:r>
        <w:rPr>
          <w:color w:val="000000"/>
          <w:spacing w:val="0"/>
          <w:w w:val="100"/>
          <w:position w:val="0"/>
        </w:rPr>
        <w:t>、《关于对深圳—易科技股份有限公司失去控制的公告》（公告编号：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r>
        <w:br w:type="page"/>
      </w:r>
    </w:p>
    <w:p>
      <w:pPr>
        <w:pStyle w:val="Style14"/>
        <w:keepNext/>
        <w:keepLines/>
        <w:widowControl w:val="0"/>
        <w:shd w:val="clear" w:color="auto" w:fill="auto"/>
        <w:bidi w:val="0"/>
        <w:spacing w:before="0" w:line="240" w:lineRule="auto"/>
        <w:ind w:left="0" w:right="0" w:firstLine="0"/>
        <w:jc w:val="center"/>
      </w:pPr>
      <w:bookmarkStart w:id="404" w:name="bookmark404"/>
      <w:bookmarkStart w:id="405" w:name="bookmark405"/>
      <w:bookmarkStart w:id="406" w:name="bookmark406"/>
      <w:r>
        <w:rPr>
          <w:color w:val="000000"/>
          <w:spacing w:val="0"/>
          <w:w w:val="100"/>
          <w:position w:val="0"/>
        </w:rPr>
        <w:t>第六节股份变动及股东情况</w:t>
      </w:r>
      <w:bookmarkEnd w:id="404"/>
      <w:bookmarkEnd w:id="405"/>
      <w:bookmarkEnd w:id="406"/>
    </w:p>
    <w:p>
      <w:pPr>
        <w:pStyle w:val="Style25"/>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sz w:val="24"/>
          <w:szCs w:val="24"/>
        </w:rPr>
        <w:t>一</w:t>
      </w:r>
      <w:bookmarkEnd w:id="409"/>
      <w:r>
        <w:rPr>
          <w:color w:val="000000"/>
          <w:spacing w:val="0"/>
          <w:w w:val="100"/>
          <w:position w:val="0"/>
          <w:sz w:val="24"/>
          <w:szCs w:val="24"/>
        </w:rPr>
        <w:t>、股份变动情况</w:t>
      </w:r>
      <w:bookmarkEnd w:id="407"/>
      <w:bookmarkEnd w:id="408"/>
      <w:bookmarkEnd w:id="410"/>
    </w:p>
    <w:p>
      <w:pPr>
        <w:pStyle w:val="Style32"/>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、股份变动情况</w:t>
      </w:r>
      <w:bookmarkEnd w:id="411"/>
      <w:bookmarkEnd w:id="412"/>
      <w:bookmarkEnd w:id="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108,881</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108,80</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108,881</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108,80</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108,881</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108,80</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588,039</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588,11</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588,039</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588,11</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696,921</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696,92</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numPr>
          <w:ilvl w:val="0"/>
          <w:numId w:val="13"/>
        </w:numPr>
        <w:shd w:val="clear" w:color="auto" w:fill="auto"/>
        <w:tabs>
          <w:tab w:pos="301" w:val="left"/>
        </w:tabs>
        <w:bidi w:val="0"/>
        <w:spacing w:before="0" w:after="80" w:line="240" w:lineRule="auto"/>
        <w:ind w:left="0" w:right="0" w:firstLine="0"/>
        <w:jc w:val="left"/>
      </w:pPr>
      <w:bookmarkStart w:id="415" w:name="bookmark415"/>
      <w:bookmarkEnd w:id="415"/>
      <w:r>
        <w:rPr>
          <w:color w:val="000000"/>
          <w:spacing w:val="0"/>
          <w:w w:val="100"/>
          <w:position w:val="0"/>
        </w:rPr>
        <w:t>报告期内公司董监高限售股解禁变动;</w:t>
      </w:r>
    </w:p>
    <w:p>
      <w:pPr>
        <w:pStyle w:val="Style29"/>
        <w:keepNext w:val="0"/>
        <w:keepLines w:val="0"/>
        <w:widowControl w:val="0"/>
        <w:numPr>
          <w:ilvl w:val="0"/>
          <w:numId w:val="13"/>
        </w:numPr>
        <w:shd w:val="clear" w:color="auto" w:fill="auto"/>
        <w:tabs>
          <w:tab w:pos="320" w:val="left"/>
        </w:tabs>
        <w:bidi w:val="0"/>
        <w:spacing w:before="0" w:after="120" w:line="240" w:lineRule="auto"/>
        <w:ind w:left="0" w:right="0" w:firstLine="0"/>
        <w:jc w:val="left"/>
      </w:pPr>
      <w:bookmarkStart w:id="416" w:name="bookmark416"/>
      <w:bookmarkEnd w:id="416"/>
      <w:r>
        <w:rPr>
          <w:color w:val="000000"/>
          <w:spacing w:val="0"/>
          <w:w w:val="100"/>
          <w:position w:val="0"/>
        </w:rPr>
        <w:t>报告期内公司高管股份锁定。</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、限售股份变动情况</w:t>
      </w:r>
      <w:bookmarkEnd w:id="417"/>
      <w:bookmarkEnd w:id="418"/>
      <w:bookmarkEnd w:id="42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赵长健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高管锁定股每 年年初按上年 末持股数的 </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231,000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二</w:t>
      </w:r>
      <w:bookmarkEnd w:id="423"/>
      <w:r>
        <w:rPr>
          <w:color w:val="000000"/>
          <w:spacing w:val="0"/>
          <w:w w:val="100"/>
          <w:position w:val="0"/>
          <w:sz w:val="24"/>
          <w:szCs w:val="24"/>
        </w:rPr>
        <w:t>、证券发行与上市情况</w:t>
      </w:r>
      <w:bookmarkEnd w:id="421"/>
      <w:bookmarkEnd w:id="422"/>
      <w:bookmarkEnd w:id="424"/>
    </w:p>
    <w:p>
      <w:pPr>
        <w:pStyle w:val="Style32"/>
        <w:keepNext/>
        <w:keepLines/>
        <w:widowControl w:val="0"/>
        <w:shd w:val="clear" w:color="auto" w:fill="auto"/>
        <w:tabs>
          <w:tab w:pos="368" w:val="left"/>
        </w:tabs>
        <w:bidi w:val="0"/>
        <w:spacing w:before="0" w:after="3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报告期内证券发行（不含优先股）情况</w:t>
      </w:r>
      <w:bookmarkEnd w:id="425"/>
      <w:bookmarkEnd w:id="426"/>
      <w:bookmarkEnd w:id="42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公司股份总数及股东结构的变动、公司资产和负债结构的变动情况说明</w:t>
      </w:r>
      <w:bookmarkEnd w:id="429"/>
      <w:bookmarkEnd w:id="430"/>
      <w:bookmarkEnd w:id="43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现存的内部职工股情况</w:t>
      </w:r>
      <w:bookmarkEnd w:id="433"/>
      <w:bookmarkEnd w:id="434"/>
      <w:bookmarkEnd w:id="4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sz w:val="24"/>
          <w:szCs w:val="24"/>
        </w:rPr>
        <w:t>三</w:t>
      </w:r>
      <w:bookmarkEnd w:id="439"/>
      <w:r>
        <w:rPr>
          <w:color w:val="000000"/>
          <w:spacing w:val="0"/>
          <w:w w:val="100"/>
          <w:position w:val="0"/>
          <w:sz w:val="24"/>
          <w:szCs w:val="24"/>
        </w:rPr>
        <w:t>、股东和实际控制人情况</w:t>
      </w:r>
      <w:bookmarkEnd w:id="437"/>
      <w:bookmarkEnd w:id="438"/>
      <w:bookmarkEnd w:id="440"/>
    </w:p>
    <w:p>
      <w:pPr>
        <w:pStyle w:val="Style32"/>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、公司股东数量及持股情况</w:t>
      </w:r>
      <w:bookmarkEnd w:id="441"/>
      <w:bookmarkEnd w:id="442"/>
      <w:bookmarkEnd w:id="4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797"/>
        <w:gridCol w:w="778"/>
        <w:gridCol w:w="336"/>
        <w:gridCol w:w="456"/>
        <w:gridCol w:w="787"/>
        <w:gridCol w:w="216"/>
        <w:gridCol w:w="624"/>
        <w:gridCol w:w="442"/>
        <w:gridCol w:w="907"/>
        <w:gridCol w:w="422"/>
        <w:gridCol w:w="931"/>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70,924</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72,714</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报告期末表决 权恢复的优先 股股东总数（如 有）（参见注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 日前上一月末 表决权恢复的 优先股股东总 数（如有）（参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143,92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107,94</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35,981,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71,199,996</w:t>
            </w:r>
          </w:p>
        </w:tc>
      </w:tr>
      <w:tr>
        <w:trPr>
          <w:trHeight w:val="227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易方达基金一 中央汇金资产 管理有限责任 公司一易方达 基金一汇金资 管单一资产管 理计划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14,048,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蔡晓</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3,044,3</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3,044,3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全学哲</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2,438,9</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2,438,9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2,438,9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蒋丽娜</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2,350,0</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2,350,0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薛大鹏</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2,245,1</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2,245,1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2,245,1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2,025,0</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-115,00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2,025,0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马晓兰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2,021,7</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-6,071,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090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2,021,7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孙瑞军</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1,795,2</w:t>
            </w:r>
          </w:p>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1,795,2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朱翼翀</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1,693,6</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1,693,6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3994"/>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410" w:val="left"/>
              </w:tabs>
              <w:bidi w:val="0"/>
              <w:spacing w:before="0" w:after="0" w:line="240" w:lineRule="auto"/>
              <w:ind w:left="0" w:right="0" w:firstLine="0"/>
              <w:jc w:val="right"/>
            </w:pPr>
            <w:r>
              <w:rPr>
                <w:color w:val="000000"/>
                <w:spacing w:val="0"/>
                <w:w w:val="100"/>
                <w:position w:val="0"/>
              </w:rPr>
              <w:t>00 00</w:t>
              <w:tab/>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公司第一大股东钱京与其他股东不存在关联关系或《上市公司股东持股变动信息披 露管理办法》中规定的一致行动人的情况；公司未知其他股东之间是否存在关联关 系或《上市公司股东持股变动信息披露管理办法》中规定的一致行动人的情况。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35,981,287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35,981,287</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0" w:lineRule="exact"/>
              <w:ind w:left="0" w:right="0" w:firstLine="0"/>
              <w:jc w:val="left"/>
            </w:pPr>
            <w:r>
              <w:rPr>
                <w:rFonts w:ascii="SimSun" w:eastAsia="SimSun" w:hAnsi="SimSun" w:cs="SimSun"/>
                <w:color w:val="000000"/>
                <w:spacing w:val="0"/>
                <w:w w:val="100"/>
                <w:position w:val="0"/>
              </w:rPr>
              <w:t>易方达基金一中央汇金资产管理 有限责任公司一易方达基金一汇 金资管单一资产管理计划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14,048,600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3,044,375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3,044,375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全学哲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2,438,900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2,438,900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蒋丽娜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薛大鹏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2,245,140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2,245,140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2,025,000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马晓兰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2,021,710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2,021,710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孙瑞军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1,795,200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1,795,200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朱翼翀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1,693,600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1,693,600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公司第一大股东钱京与其他股东不存在关联关系或《上市公司股东持股变动信息披 露管理办法》中规定的一致行动人的情况；公司未知其他股东之间是否存在关联关 系或《上市公司股东持股变动信息披露管理办法》中规定的一致行动人的情况。</w:t>
            </w:r>
          </w:p>
        </w:tc>
      </w:tr>
      <w:tr>
        <w:trPr>
          <w:trHeight w:val="259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 业务情况说明（如有）（参见注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前十大股东中，蔡晓通过国泰君安证券股份有限公司客户信用交易担保证券账户持 有公司股票</w:t>
            </w:r>
            <w:r>
              <w:rPr>
                <w:color w:val="000000"/>
                <w:spacing w:val="0"/>
                <w:w w:val="100"/>
                <w:position w:val="0"/>
              </w:rPr>
              <w:t>3,044,375</w:t>
            </w:r>
            <w:r>
              <w:rPr>
                <w:rFonts w:ascii="SimSun" w:eastAsia="SimSun" w:hAnsi="SimSun" w:cs="SimSun"/>
                <w:color w:val="000000"/>
                <w:spacing w:val="0"/>
                <w:w w:val="100"/>
                <w:position w:val="0"/>
              </w:rPr>
              <w:t>股；叶强通过国泰君安证券股份有限公司客户信用交易担保 证券账户持有公司股票</w:t>
            </w:r>
            <w:r>
              <w:rPr>
                <w:color w:val="000000"/>
                <w:spacing w:val="0"/>
                <w:w w:val="100"/>
                <w:position w:val="0"/>
              </w:rPr>
              <w:t>2,025,000</w:t>
            </w:r>
            <w:r>
              <w:rPr>
                <w:rFonts w:ascii="SimSun" w:eastAsia="SimSun" w:hAnsi="SimSun" w:cs="SimSun"/>
                <w:color w:val="000000"/>
                <w:spacing w:val="0"/>
                <w:w w:val="100"/>
                <w:position w:val="0"/>
              </w:rPr>
              <w:t>股；马晓兰通过平安证券股份有限公司客户信用 交易担保证券账户持有公司股票</w:t>
            </w:r>
            <w:r>
              <w:rPr>
                <w:color w:val="000000"/>
                <w:spacing w:val="0"/>
                <w:w w:val="100"/>
                <w:position w:val="0"/>
              </w:rPr>
              <w:t>803,700</w:t>
            </w:r>
            <w:r>
              <w:rPr>
                <w:rFonts w:ascii="SimSun" w:eastAsia="SimSun" w:hAnsi="SimSun" w:cs="SimSun"/>
                <w:color w:val="000000"/>
                <w:spacing w:val="0"/>
                <w:w w:val="100"/>
                <w:position w:val="0"/>
              </w:rPr>
              <w:t>股，通过普通账户持有公司股票</w:t>
            </w:r>
            <w:r>
              <w:rPr>
                <w:color w:val="000000"/>
                <w:spacing w:val="0"/>
                <w:w w:val="100"/>
                <w:position w:val="0"/>
              </w:rPr>
              <w:t xml:space="preserve">1,218,010 </w:t>
            </w:r>
            <w:r>
              <w:rPr>
                <w:rFonts w:ascii="SimSun" w:eastAsia="SimSun" w:hAnsi="SimSun" w:cs="SimSun"/>
                <w:color w:val="000000"/>
                <w:spacing w:val="0"/>
                <w:w w:val="100"/>
                <w:position w:val="0"/>
              </w:rPr>
              <w:t xml:space="preserve">股；孙瑞军通过中泰证券股份有限公司客户信用交易担保证券账户持有公司股票 </w:t>
            </w:r>
            <w:r>
              <w:rPr>
                <w:color w:val="000000"/>
                <w:spacing w:val="0"/>
                <w:w w:val="100"/>
                <w:position w:val="0"/>
              </w:rPr>
              <w:t>1,647,800</w:t>
            </w:r>
            <w:r>
              <w:rPr>
                <w:rFonts w:ascii="SimSun" w:eastAsia="SimSun" w:hAnsi="SimSun" w:cs="SimSun"/>
                <w:color w:val="000000"/>
                <w:spacing w:val="0"/>
                <w:w w:val="100"/>
                <w:position w:val="0"/>
              </w:rPr>
              <w:t>股，通过普通账户持有公司股票</w:t>
            </w:r>
            <w:r>
              <w:rPr>
                <w:color w:val="000000"/>
                <w:spacing w:val="0"/>
                <w:w w:val="100"/>
                <w:position w:val="0"/>
              </w:rPr>
              <w:t>147,400</w:t>
            </w:r>
            <w:r>
              <w:rPr>
                <w:rFonts w:ascii="SimSun" w:eastAsia="SimSun" w:hAnsi="SimSun" w:cs="SimSun"/>
                <w:color w:val="000000"/>
                <w:spacing w:val="0"/>
                <w:w w:val="100"/>
                <w:position w:val="0"/>
              </w:rPr>
              <w:t>股；朱翼翀通过招商证券股份有 限公司客户信用交易担保证券账户持有公司股票</w:t>
            </w:r>
            <w:r>
              <w:rPr>
                <w:color w:val="000000"/>
                <w:spacing w:val="0"/>
                <w:w w:val="100"/>
                <w:position w:val="0"/>
              </w:rPr>
              <w:t>1,570,900</w:t>
            </w:r>
            <w:r>
              <w:rPr>
                <w:rFonts w:ascii="SimSun" w:eastAsia="SimSun" w:hAnsi="SimSun" w:cs="SimSun"/>
                <w:color w:val="000000"/>
                <w:spacing w:val="0"/>
                <w:w w:val="100"/>
                <w:position w:val="0"/>
              </w:rPr>
              <w:t>股，通过普通账户持有 公司股票</w:t>
            </w:r>
            <w:r>
              <w:rPr>
                <w:color w:val="000000"/>
                <w:spacing w:val="0"/>
                <w:w w:val="100"/>
                <w:position w:val="0"/>
              </w:rPr>
              <w:t>122,700</w:t>
            </w:r>
            <w:r>
              <w:rPr>
                <w:rFonts w:ascii="SimSun" w:eastAsia="SimSun" w:hAnsi="SimSun" w:cs="SimSun"/>
                <w:color w:val="000000"/>
                <w:spacing w:val="0"/>
                <w:w w:val="100"/>
                <w:position w:val="0"/>
              </w:rPr>
              <w:t>股。</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口 是 </w:t>
      </w:r>
      <w:r>
        <w:rPr>
          <w:color w:val="000000"/>
          <w:spacing w:val="0"/>
          <w:w w:val="100"/>
          <w:position w:val="0"/>
          <w:sz w:val="18"/>
          <w:szCs w:val="18"/>
        </w:rPr>
        <w:t xml:space="preserve">J </w:t>
      </w:r>
      <w:r>
        <w:rPr>
          <w:color w:val="000000"/>
          <w:spacing w:val="0"/>
          <w:w w:val="100"/>
          <w:position w:val="0"/>
        </w:rPr>
        <w:t>否</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32"/>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、公司控股股东情况</w:t>
      </w:r>
      <w:bookmarkEnd w:id="445"/>
      <w:bookmarkEnd w:id="446"/>
      <w:bookmarkEnd w:id="44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月起进入公司，先后担任公司企业管理部总经理、副总裁及董事 会秘书。报告期间担任公司董事长、总裁，现任公司董事长。</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、公司实际控制人及其一致行动人</w:t>
      </w:r>
      <w:bookmarkEnd w:id="449"/>
      <w:bookmarkEnd w:id="450"/>
      <w:bookmarkEnd w:id="45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月起进入公司，先后担任公司企业管理部总经理、副总裁及董事会秘书。报告 期间担任公司董事长、总裁，现任公司董事长。</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602480" cy="242633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4602480" cy="2426335"/>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5" w:val="left"/>
        </w:tabs>
        <w:bidi w:val="0"/>
        <w:spacing w:before="0" w:after="3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3"/>
      <w:bookmarkEnd w:id="454"/>
      <w:bookmarkEnd w:id="45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5"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w:t>
        <w:tab/>
        <w:t>控股股东、实际控制人、重组方及其他承诺主体股份限制减持情况</w:t>
      </w:r>
      <w:bookmarkEnd w:id="457"/>
      <w:bookmarkEnd w:id="458"/>
      <w:bookmarkEnd w:id="460"/>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4" w:right="1066" w:bottom="1408" w:left="105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651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20" name="Shape 20"/>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第七节优先股相关情况</w:t>
                            </w:r>
                            <w:bookmarkEnd w:id="461"/>
                            <w:bookmarkEnd w:id="462"/>
                            <w:bookmarkEnd w:id="463"/>
                          </w:p>
                        </w:txbxContent>
                      </wps:txbx>
                      <wps:bodyPr wrap="none" lIns="0" tIns="0" rIns="0" bIns="0">
                        <a:noAutoFit/>
                      </wps:bodyPr>
                    </wps:wsp>
                  </a:graphicData>
                </a:graphic>
              </wp:anchor>
            </w:drawing>
          </mc:Choice>
          <mc:Fallback>
            <w:pict>
              <v:shape id="_x0000_s1046" type="#_x0000_t202" style="position:absolute;margin-left:212.30000000000001pt;margin-top:0;width:170.40000000000001pt;height:19.199999999999999pt;z-index:-125829375;mso-wrap-distance-left:0;mso-wrap-distance-right:0;mso-wrap-distance-bottom:13.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第七节优先股相关情况</w:t>
                      </w:r>
                      <w:bookmarkEnd w:id="461"/>
                      <w:bookmarkEnd w:id="462"/>
                      <w:bookmarkEnd w:id="463"/>
                    </w:p>
                  </w:txbxContent>
                </v:textbox>
                <w10:wrap type="topAndBottom" anchorx="page"/>
              </v:shape>
            </w:pict>
          </mc:Fallback>
        </mc:AlternateContent>
      </w:r>
    </w:p>
    <w:p>
      <w:pPr>
        <w:pStyle w:val="Style29"/>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4"/>
        <w:keepNext/>
        <w:keepLines/>
        <w:widowControl w:val="0"/>
        <w:shd w:val="clear" w:color="auto" w:fill="auto"/>
        <w:bidi w:val="0"/>
        <w:spacing w:before="480" w:line="240" w:lineRule="auto"/>
        <w:ind w:left="0" w:right="0" w:firstLine="0"/>
        <w:jc w:val="center"/>
      </w:pPr>
      <w:bookmarkStart w:id="464" w:name="bookmark464"/>
      <w:bookmarkStart w:id="465" w:name="bookmark465"/>
      <w:bookmarkStart w:id="466" w:name="bookmark466"/>
      <w:r>
        <w:rPr>
          <w:color w:val="000000"/>
          <w:spacing w:val="0"/>
          <w:w w:val="100"/>
          <w:position w:val="0"/>
        </w:rPr>
        <w:t>第八节可转换公司债券相关情况</w:t>
      </w:r>
      <w:bookmarkEnd w:id="464"/>
      <w:bookmarkEnd w:id="465"/>
      <w:bookmarkEnd w:id="4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467" w:name="bookmark467"/>
      <w:bookmarkStart w:id="468" w:name="bookmark468"/>
      <w:bookmarkStart w:id="469" w:name="bookmark469"/>
      <w:r>
        <w:rPr>
          <w:color w:val="000000"/>
          <w:spacing w:val="0"/>
          <w:w w:val="100"/>
          <w:position w:val="0"/>
        </w:rPr>
        <w:t>第九节董事、监事、高级管理人员和员工情况</w:t>
      </w:r>
      <w:bookmarkEnd w:id="467"/>
      <w:bookmarkEnd w:id="468"/>
      <w:bookmarkEnd w:id="469"/>
    </w:p>
    <w:p>
      <w:pPr>
        <w:pStyle w:val="Style25"/>
        <w:keepNext/>
        <w:keepLines/>
        <w:widowControl w:val="0"/>
        <w:shd w:val="clear" w:color="auto" w:fill="auto"/>
        <w:bidi w:val="0"/>
        <w:spacing w:before="0" w:line="240" w:lineRule="auto"/>
        <w:ind w:left="0" w:right="0" w:firstLine="240"/>
        <w:jc w:val="left"/>
      </w:pPr>
      <w:bookmarkStart w:id="470" w:name="bookmark470"/>
      <w:bookmarkStart w:id="471" w:name="bookmark471"/>
      <w:bookmarkStart w:id="472" w:name="bookmark472"/>
      <w:r>
        <w:rPr>
          <w:color w:val="000000"/>
          <w:spacing w:val="0"/>
          <w:w w:val="100"/>
          <w:position w:val="0"/>
          <w:sz w:val="24"/>
          <w:szCs w:val="24"/>
        </w:rPr>
        <w:t>、董事、监事和高级管理人员持股变动</w:t>
      </w:r>
      <w:bookmarkEnd w:id="470"/>
      <w:bookmarkEnd w:id="471"/>
      <w:bookmarkEnd w:id="472"/>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任期起 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任期终 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rPr>
              <w:t>其他增 减变动</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 股数 （股）</w:t>
            </w: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143,92</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胡兆凤</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640,00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徐霄凌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陆道如</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蔡正华</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陈雪娇</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丁虹</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蒋小平</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朱锦善</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1,687</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董事会 秘书，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07</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钟迎九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198,00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198,00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144,76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144,76</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4,834</w:t>
            </w:r>
          </w:p>
        </w:tc>
      </w:tr>
    </w:tbl>
    <w:p>
      <w:pPr>
        <w:widowControl w:val="0"/>
        <w:spacing w:after="279" w:line="1" w:lineRule="exact"/>
      </w:pPr>
    </w:p>
    <w:p>
      <w:pPr>
        <w:pStyle w:val="Style25"/>
        <w:keepNext/>
        <w:keepLines/>
        <w:widowControl w:val="0"/>
        <w:shd w:val="clear" w:color="auto" w:fill="auto"/>
        <w:bidi w:val="0"/>
        <w:spacing w:before="0" w:after="34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、公司董事、监事、高级管理人员变动情况</w:t>
      </w:r>
      <w:bookmarkEnd w:id="473"/>
      <w:bookmarkEnd w:id="474"/>
      <w:bookmarkEnd w:id="476"/>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钟迎九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因工作调整，钟迎九先生辞去公司第七届董事会董 事职务。</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三</w:t>
      </w:r>
      <w:bookmarkEnd w:id="479"/>
      <w:r>
        <w:rPr>
          <w:color w:val="000000"/>
          <w:spacing w:val="0"/>
          <w:w w:val="100"/>
          <w:position w:val="0"/>
          <w:sz w:val="24"/>
          <w:szCs w:val="24"/>
        </w:rPr>
        <w:t>、任职情况</w:t>
      </w:r>
      <w:bookmarkEnd w:id="477"/>
      <w:bookmarkEnd w:id="478"/>
      <w:bookmarkEnd w:id="480"/>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钱京先生：</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月出生，拥有英国利物浦大学</w:t>
      </w:r>
      <w:r>
        <w:rPr>
          <w:color w:val="000000"/>
          <w:spacing w:val="0"/>
          <w:w w:val="100"/>
          <w:position w:val="0"/>
        </w:rPr>
        <w:t>(</w:t>
      </w:r>
      <w:r>
        <w:rPr>
          <w:rFonts w:ascii="Times New Roman" w:eastAsia="Times New Roman" w:hAnsi="Times New Roman" w:cs="Times New Roman"/>
          <w:color w:val="000000"/>
          <w:spacing w:val="0"/>
          <w:w w:val="100"/>
          <w:position w:val="0"/>
        </w:rPr>
        <w:t>UniversityofLiverpool</w:t>
      </w:r>
      <w:r>
        <w:rPr>
          <w:color w:val="000000"/>
          <w:spacing w:val="0"/>
          <w:w w:val="100"/>
          <w:position w:val="0"/>
        </w:rPr>
        <w:t>)</w:t>
      </w:r>
      <w:r>
        <w:rPr>
          <w:color w:val="000000"/>
          <w:spacing w:val="0"/>
          <w:w w:val="100"/>
          <w:position w:val="0"/>
        </w:rPr>
        <w:t>法律硕士学位和英国华威大学</w:t>
      </w:r>
      <w:r>
        <w:rPr>
          <w:color w:val="000000"/>
          <w:spacing w:val="0"/>
          <w:w w:val="100"/>
          <w:position w:val="0"/>
        </w:rPr>
        <w:t>(</w:t>
      </w:r>
      <w:r>
        <w:rPr>
          <w:rFonts w:ascii="Times New Roman" w:eastAsia="Times New Roman" w:hAnsi="Times New Roman" w:cs="Times New Roman"/>
          <w:color w:val="000000"/>
          <w:spacing w:val="0"/>
          <w:w w:val="100"/>
          <w:position w:val="0"/>
        </w:rPr>
        <w:t>Universityof Warwick</w:t>
      </w:r>
      <w:r>
        <w:rPr>
          <w:color w:val="000000"/>
          <w:spacing w:val="0"/>
          <w:w w:val="100"/>
          <w:position w:val="0"/>
        </w:rPr>
        <w:t>)</w:t>
      </w:r>
      <w:r>
        <w:rPr>
          <w:color w:val="000000"/>
          <w:spacing w:val="0"/>
          <w:w w:val="100"/>
          <w:position w:val="0"/>
        </w:rPr>
        <w:t>会计与金融荣誉学士学位。</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月在普华永道会计师事务所任税务顾问；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月在上海亚洲商务咨询有限公司任高级经理；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月在江苏恒神股份有限公司任董事长；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月起进入 公司，先后担任公司企业管理部总经理、副总裁、总裁、董事会秘书。现任公司董事长。</w:t>
      </w:r>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高强先生：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月出生，大专学历，历任江苏赛博电子有限公司营销公司副总经理、市场部副部长；</w:t>
      </w:r>
      <w:r>
        <w:rPr>
          <w:rFonts w:ascii="Times New Roman" w:eastAsia="Times New Roman" w:hAnsi="Times New Roman" w:cs="Times New Roman"/>
          <w:color w:val="000000"/>
          <w:spacing w:val="0"/>
          <w:w w:val="100"/>
          <w:position w:val="0"/>
        </w:rPr>
        <w:t>2003</w:t>
      </w:r>
      <w:r>
        <w:rPr>
          <w:color w:val="000000"/>
          <w:spacing w:val="0"/>
          <w:w w:val="100"/>
          <w:position w:val="0"/>
        </w:rPr>
        <w:t>年进入恒宝股 份，先后担任公司营销中心总经理、通信事业部总经理、金融事业部总经理、销售总监。现任公司董事、副总裁。</w:t>
      </w:r>
    </w:p>
    <w:p>
      <w:pPr>
        <w:pStyle w:val="Style29"/>
        <w:keepNext w:val="0"/>
        <w:keepLines w:val="0"/>
        <w:widowControl w:val="0"/>
        <w:shd w:val="clear" w:color="auto" w:fill="auto"/>
        <w:bidi w:val="0"/>
        <w:spacing w:before="0" w:after="280" w:line="315" w:lineRule="exact"/>
        <w:ind w:left="0" w:right="0" w:firstLine="0"/>
        <w:jc w:val="left"/>
      </w:pPr>
      <w:r>
        <w:rPr>
          <w:color w:val="000000"/>
          <w:spacing w:val="0"/>
          <w:w w:val="100"/>
          <w:position w:val="0"/>
        </w:rPr>
        <w:t xml:space="preserve">徐霄凌女士： </w:t>
      </w:r>
      <w:r>
        <w:rPr>
          <w:color w:val="000000"/>
          <w:spacing w:val="0"/>
          <w:w w:val="100"/>
          <w:position w:val="0"/>
          <w:sz w:val="18"/>
          <w:szCs w:val="18"/>
        </w:rPr>
        <w:t>1978</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月出生，无境外永久居留权，毕业于英国南安普顿大学，硕士学历。</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月在普华永 道会计师事务所担任高级审计师；</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月，在英格索兰(中国)投资有限公司先后担任亚太区合规经理和亚 太区财务经理；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月，在安朗杰安防技术(中国)有限公司先后担任亚太区合规经理、中国区财务总监 和监事会监事。现任公司董事、副总裁兼财务总监。</w:t>
      </w:r>
    </w:p>
    <w:p>
      <w:pPr>
        <w:pStyle w:val="Style29"/>
        <w:keepNext w:val="0"/>
        <w:keepLines w:val="0"/>
        <w:widowControl w:val="0"/>
        <w:shd w:val="clear" w:color="auto" w:fill="auto"/>
        <w:bidi w:val="0"/>
        <w:spacing w:before="0" w:after="280" w:line="326" w:lineRule="exact"/>
        <w:ind w:left="0" w:right="0" w:firstLine="0"/>
        <w:jc w:val="left"/>
      </w:pPr>
      <w:r>
        <w:rPr>
          <w:color w:val="000000"/>
          <w:spacing w:val="0"/>
          <w:w w:val="100"/>
          <w:position w:val="0"/>
        </w:rPr>
        <w:t xml:space="preserve">陈妹妹女士： </w:t>
      </w: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月出生，硕士研究生。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月起就职本公司，先后担任公司证券事务并购部证券事务代表、流程和 持续改进部高级经理。现任公司董事会秘书、副总裁。</w:t>
      </w:r>
    </w:p>
    <w:p>
      <w:pPr>
        <w:pStyle w:val="Style29"/>
        <w:keepNext w:val="0"/>
        <w:keepLines w:val="0"/>
        <w:widowControl w:val="0"/>
        <w:shd w:val="clear" w:color="auto" w:fill="auto"/>
        <w:bidi w:val="0"/>
        <w:spacing w:before="0" w:after="280" w:line="314" w:lineRule="exact"/>
        <w:ind w:left="0" w:right="0" w:firstLine="0"/>
        <w:jc w:val="left"/>
      </w:pPr>
      <w:r>
        <w:rPr>
          <w:color w:val="000000"/>
          <w:spacing w:val="0"/>
          <w:w w:val="100"/>
          <w:position w:val="0"/>
        </w:rPr>
        <w:t>陆道如先生：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月出生，毕业于北京大学，本科学历，</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月任中国原子能科学院助理研究员；</w:t>
      </w:r>
      <w:r>
        <w:rPr>
          <w:rFonts w:ascii="Times New Roman" w:eastAsia="Times New Roman" w:hAnsi="Times New Roman" w:cs="Times New Roman"/>
          <w:color w:val="000000"/>
          <w:spacing w:val="0"/>
          <w:w w:val="100"/>
          <w:position w:val="0"/>
        </w:rPr>
        <w:t xml:space="preserve">1994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月，任北京华海科技有限责任公司工程师；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月，任安徽慧宁有限责任公司研发经理； </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月，任华旭金卡有限公司高级工程师；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月，任法国金普斯</w:t>
      </w:r>
      <w:r>
        <w:rPr>
          <w:rFonts w:ascii="Times New Roman" w:eastAsia="Times New Roman" w:hAnsi="Times New Roman" w:cs="Times New Roman"/>
          <w:color w:val="000000"/>
          <w:spacing w:val="0"/>
          <w:w w:val="100"/>
          <w:position w:val="0"/>
        </w:rPr>
        <w:t>/</w:t>
      </w:r>
      <w:r>
        <w:rPr>
          <w:color w:val="000000"/>
          <w:spacing w:val="0"/>
          <w:w w:val="100"/>
          <w:position w:val="0"/>
        </w:rPr>
        <w:t>金雅拓有限责任公司技 术专家、团队经理；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月就职本公司，担任公司研发部部长，现任公司董事。</w:t>
      </w:r>
    </w:p>
    <w:p>
      <w:pPr>
        <w:pStyle w:val="Style29"/>
        <w:keepNext w:val="0"/>
        <w:keepLines w:val="0"/>
        <w:widowControl w:val="0"/>
        <w:shd w:val="clear" w:color="auto" w:fill="auto"/>
        <w:bidi w:val="0"/>
        <w:spacing w:before="0" w:after="300" w:line="319" w:lineRule="exact"/>
        <w:ind w:left="0" w:right="0" w:firstLine="0"/>
        <w:jc w:val="both"/>
      </w:pPr>
      <w:r>
        <w:rPr>
          <w:color w:val="000000"/>
          <w:spacing w:val="0"/>
          <w:w w:val="100"/>
          <w:position w:val="0"/>
        </w:rPr>
        <w:t xml:space="preserve">胡兆凤女士： </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月出生，毕业于江苏省镇江市第一中学，</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月为镇江汝山长江大队第四生产队下放 知识青年；</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月为镇江前进印刷厂员工；</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月为镇江新世纪商场员工；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月退休。 现任公司董事、总裁。</w:t>
      </w:r>
    </w:p>
    <w:p>
      <w:pPr>
        <w:pStyle w:val="Style29"/>
        <w:keepNext w:val="0"/>
        <w:keepLines w:val="0"/>
        <w:widowControl w:val="0"/>
        <w:shd w:val="clear" w:color="auto" w:fill="auto"/>
        <w:bidi w:val="0"/>
        <w:spacing w:before="0" w:after="300" w:line="322" w:lineRule="exact"/>
        <w:ind w:left="0" w:right="0" w:firstLine="0"/>
        <w:jc w:val="both"/>
      </w:pPr>
      <w:r>
        <w:rPr>
          <w:color w:val="000000"/>
          <w:spacing w:val="0"/>
          <w:w w:val="100"/>
          <w:position w:val="0"/>
        </w:rPr>
        <w:t>蒋小平先生：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日出生，大专学历，助理工程师职称。曾任江苏丹棉集团有限公司党政办副主任兼纪委干事。历 任公司综合事务部经理兼人力资源丹阳分部经理，现任监事会主席。</w:t>
      </w:r>
    </w:p>
    <w:p>
      <w:pPr>
        <w:pStyle w:val="Style29"/>
        <w:keepNext w:val="0"/>
        <w:keepLines w:val="0"/>
        <w:widowControl w:val="0"/>
        <w:shd w:val="clear" w:color="auto" w:fill="auto"/>
        <w:bidi w:val="0"/>
        <w:spacing w:before="0" w:after="300" w:line="322" w:lineRule="exact"/>
        <w:ind w:left="0" w:right="0" w:firstLine="0"/>
        <w:jc w:val="both"/>
      </w:pPr>
      <w:r>
        <w:rPr>
          <w:color w:val="000000"/>
          <w:spacing w:val="0"/>
          <w:w w:val="100"/>
          <w:position w:val="0"/>
        </w:rPr>
        <w:t>朱锦善先生：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日出生，大专学历，中共党员，助理政工师职称。</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月就职于镇江金河纸业有 限公司，曾任党委办公室副主任。现任公司监事。</w:t>
      </w:r>
    </w:p>
    <w:p>
      <w:pPr>
        <w:pStyle w:val="Style29"/>
        <w:keepNext w:val="0"/>
        <w:keepLines w:val="0"/>
        <w:widowControl w:val="0"/>
        <w:shd w:val="clear" w:color="auto" w:fill="auto"/>
        <w:bidi w:val="0"/>
        <w:spacing w:before="0" w:after="300" w:line="319" w:lineRule="exact"/>
        <w:ind w:left="0" w:right="0" w:firstLine="0"/>
        <w:jc w:val="both"/>
      </w:pPr>
      <w:r>
        <w:rPr>
          <w:color w:val="000000"/>
          <w:spacing w:val="0"/>
          <w:w w:val="100"/>
          <w:position w:val="0"/>
        </w:rPr>
        <w:t xml:space="preserve">干玲女士： </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月出生，中专学历。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月起就职本公司，担任公司接待主管一职。现任公司职工代表监事。</w:t>
      </w:r>
    </w:p>
    <w:p>
      <w:pPr>
        <w:pStyle w:val="Style2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蔡正华先生：</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月出生，华东政法大学法学学士和硕士学位，律师。历任上海博和律师事务所、北京大成（上海）律 师事务所、上海市太平洋律师事务所等上海知名律师事务所，</w:t>
      </w:r>
      <w:r>
        <w:rPr>
          <w:rFonts w:ascii="Times New Roman" w:eastAsia="Times New Roman" w:hAnsi="Times New Roman" w:cs="Times New Roman"/>
          <w:color w:val="000000"/>
          <w:spacing w:val="0"/>
          <w:w w:val="100"/>
          <w:position w:val="0"/>
        </w:rPr>
        <w:t>2017</w:t>
      </w:r>
      <w:r>
        <w:rPr>
          <w:color w:val="000000"/>
          <w:spacing w:val="0"/>
          <w:w w:val="100"/>
          <w:position w:val="0"/>
        </w:rPr>
        <w:t>年加盟北京盈科（上海）律师事务所，现为北京盈科（上 海）律师事务所高级合伙人，刑民交叉部主任。现任公司独立董事。</w:t>
      </w:r>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 xml:space="preserve">陈雪娇女士： </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月出生，本科学历，律师。历任江苏石塔律师事务所律师助理、江苏王江南律师事务所律师。现任公 司独立董事。</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 xml:space="preserve">丁虹女士： </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月出生，无境外永久居留权，拥有复旦大学世界经济学学士学位和上海交通大学-法国马赛商学院工商管 理硕士学位，注册会计师。历任德勤会计师事务所高级审计师、上海新康电子有限公司高级财务分析与成本经理、英格索兰 工业技术有限公司财务与业务流程经理、上海新康电子有限公司财务经理。现任威世电子上海区财务总监。现任公司独立董 事。</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在其他单位任职情况</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80" w:line="31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sz w:val="24"/>
          <w:szCs w:val="24"/>
        </w:rPr>
        <w:t>四</w:t>
      </w:r>
      <w:bookmarkEnd w:id="483"/>
      <w:r>
        <w:rPr>
          <w:color w:val="000000"/>
          <w:spacing w:val="0"/>
          <w:w w:val="100"/>
          <w:position w:val="0"/>
          <w:sz w:val="24"/>
          <w:szCs w:val="24"/>
        </w:rPr>
        <w:t>、董事、监事、高级管理人员报酬情况</w:t>
      </w:r>
      <w:bookmarkEnd w:id="481"/>
      <w:bookmarkEnd w:id="482"/>
      <w:bookmarkEnd w:id="484"/>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435" w:val="left"/>
        </w:tabs>
        <w:bidi w:val="0"/>
        <w:spacing w:before="0" w:after="0" w:line="319" w:lineRule="exact"/>
        <w:ind w:left="0" w:right="0" w:firstLine="0"/>
        <w:jc w:val="both"/>
      </w:pPr>
      <w:bookmarkStart w:id="485" w:name="bookmark485"/>
      <w:r>
        <w:rPr>
          <w:rFonts w:ascii="Times New Roman" w:eastAsia="Times New Roman" w:hAnsi="Times New Roman" w:cs="Times New Roman"/>
          <w:color w:val="000000"/>
          <w:spacing w:val="0"/>
          <w:w w:val="100"/>
          <w:position w:val="0"/>
        </w:rPr>
        <w:t>1</w:t>
      </w:r>
      <w:bookmarkEnd w:id="485"/>
      <w:r>
        <w:rPr>
          <w:color w:val="000000"/>
          <w:spacing w:val="0"/>
          <w:w w:val="100"/>
          <w:position w:val="0"/>
        </w:rPr>
        <w:t>、</w:t>
        <w:tab/>
        <w:t>董事、监事、高级管理人员报酬的决策程序：公司独立董事津贴发放标准由董事会提出，股东大会审议通过后实施；高 级管理人员薪酬方案由董事会薪酬与考核委员会提出，董事会审议通过后实施。</w:t>
      </w:r>
    </w:p>
    <w:p>
      <w:pPr>
        <w:pStyle w:val="Style29"/>
        <w:keepNext w:val="0"/>
        <w:keepLines w:val="0"/>
        <w:widowControl w:val="0"/>
        <w:shd w:val="clear" w:color="auto" w:fill="auto"/>
        <w:tabs>
          <w:tab w:pos="430" w:val="left"/>
        </w:tabs>
        <w:bidi w:val="0"/>
        <w:spacing w:before="0" w:after="0" w:line="319" w:lineRule="exact"/>
        <w:ind w:left="0" w:right="0" w:firstLine="0"/>
        <w:jc w:val="both"/>
      </w:pPr>
      <w:bookmarkStart w:id="486" w:name="bookmark486"/>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董事、监事、高级管理人员报酬确定依据：董事会按照工作绩效、职责履行、业务能力以及公司经营业绩确定总裁、副 总裁、财务总监和董事会秘书的薪酬标准。</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100" w:line="319"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从公司获得的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是否在公司关</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胡兆凤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徐霄凌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董事会秘书，</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陆道如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蔡正华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陈雪娇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朱锦善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钟迎九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五</w:t>
      </w:r>
      <w:bookmarkEnd w:id="489"/>
      <w:r>
        <w:rPr>
          <w:color w:val="000000"/>
          <w:spacing w:val="0"/>
          <w:w w:val="100"/>
          <w:position w:val="0"/>
          <w:sz w:val="24"/>
          <w:szCs w:val="24"/>
        </w:rPr>
        <w:t>、公司员工情况</w:t>
      </w:r>
      <w:bookmarkEnd w:id="487"/>
      <w:bookmarkEnd w:id="488"/>
      <w:bookmarkEnd w:id="490"/>
    </w:p>
    <w:p>
      <w:pPr>
        <w:pStyle w:val="Style32"/>
        <w:keepNext/>
        <w:keepLines/>
        <w:widowControl w:val="0"/>
        <w:shd w:val="clear" w:color="auto" w:fill="auto"/>
        <w:bidi w:val="0"/>
        <w:spacing w:before="0" w:after="32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、员工数量、专业构成及教育程度</w:t>
      </w:r>
      <w:bookmarkEnd w:id="491"/>
      <w:bookmarkEnd w:id="492"/>
      <w:bookmarkEnd w:id="49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1,143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1,325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1,325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116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1,325</w:t>
            </w:r>
          </w:p>
        </w:tc>
      </w:tr>
    </w:tbl>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354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635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w:t>
        <w:tab/>
        <w:t>薪酬政策</w:t>
      </w:r>
      <w:bookmarkEnd w:id="495"/>
      <w:bookmarkEnd w:id="496"/>
      <w:bookmarkEnd w:id="498"/>
    </w:p>
    <w:p>
      <w:pPr>
        <w:pStyle w:val="Style29"/>
        <w:keepNext w:val="0"/>
        <w:keepLines w:val="0"/>
        <w:widowControl w:val="0"/>
        <w:shd w:val="clear" w:color="auto" w:fill="auto"/>
        <w:bidi w:val="0"/>
        <w:spacing w:before="0" w:after="680" w:line="307" w:lineRule="exact"/>
        <w:ind w:left="0" w:right="0" w:firstLine="0"/>
        <w:jc w:val="left"/>
      </w:pPr>
      <w:r>
        <w:rPr>
          <w:color w:val="000000"/>
          <w:spacing w:val="0"/>
          <w:w w:val="100"/>
          <w:position w:val="0"/>
        </w:rPr>
        <w:t>公司持续履行了</w:t>
      </w:r>
      <w:r>
        <w:rPr>
          <w:rFonts w:ascii="Times New Roman" w:eastAsia="Times New Roman" w:hAnsi="Times New Roman" w:cs="Times New Roman"/>
          <w:color w:val="000000"/>
          <w:spacing w:val="0"/>
          <w:w w:val="100"/>
          <w:position w:val="0"/>
        </w:rPr>
        <w:t>“</w:t>
      </w:r>
      <w:r>
        <w:rPr>
          <w:color w:val="000000"/>
          <w:spacing w:val="0"/>
          <w:w w:val="100"/>
          <w:position w:val="0"/>
        </w:rPr>
        <w:t>对内具有公平性，对外具有竞争力</w:t>
      </w:r>
      <w:r>
        <w:rPr>
          <w:rFonts w:ascii="Times New Roman" w:eastAsia="Times New Roman" w:hAnsi="Times New Roman" w:cs="Times New Roman"/>
          <w:color w:val="000000"/>
          <w:spacing w:val="0"/>
          <w:w w:val="100"/>
          <w:position w:val="0"/>
        </w:rPr>
        <w:t>”</w:t>
      </w:r>
      <w:r>
        <w:rPr>
          <w:color w:val="000000"/>
          <w:spacing w:val="0"/>
          <w:w w:val="100"/>
          <w:position w:val="0"/>
        </w:rPr>
        <w:t>的薪酬体系，遵循</w:t>
      </w:r>
      <w:r>
        <w:rPr>
          <w:rFonts w:ascii="Times New Roman" w:eastAsia="Times New Roman" w:hAnsi="Times New Roman" w:cs="Times New Roman"/>
          <w:color w:val="000000"/>
          <w:spacing w:val="0"/>
          <w:w w:val="100"/>
          <w:position w:val="0"/>
        </w:rPr>
        <w:t>“</w:t>
      </w:r>
      <w:r>
        <w:rPr>
          <w:color w:val="000000"/>
          <w:spacing w:val="0"/>
          <w:w w:val="100"/>
          <w:position w:val="0"/>
        </w:rPr>
        <w:t>按劳分配、效率优先、兼顾公平及可持续发展</w:t>
      </w:r>
      <w:r>
        <w:rPr>
          <w:rFonts w:ascii="Times New Roman" w:eastAsia="Times New Roman" w:hAnsi="Times New Roman" w:cs="Times New Roman"/>
          <w:color w:val="000000"/>
          <w:spacing w:val="0"/>
          <w:w w:val="100"/>
          <w:position w:val="0"/>
        </w:rPr>
        <w:t>”</w:t>
      </w:r>
      <w:r>
        <w:rPr>
          <w:color w:val="000000"/>
          <w:spacing w:val="0"/>
          <w:w w:val="100"/>
          <w:position w:val="0"/>
        </w:rPr>
        <w:t>的分 配原则，采取</w:t>
      </w:r>
      <w:r>
        <w:rPr>
          <w:rFonts w:ascii="Times New Roman" w:eastAsia="Times New Roman" w:hAnsi="Times New Roman" w:cs="Times New Roman"/>
          <w:color w:val="000000"/>
          <w:spacing w:val="0"/>
          <w:w w:val="100"/>
          <w:position w:val="0"/>
        </w:rPr>
        <w:t>“</w:t>
      </w:r>
      <w:r>
        <w:rPr>
          <w:color w:val="000000"/>
          <w:spacing w:val="0"/>
          <w:w w:val="100"/>
          <w:position w:val="0"/>
        </w:rPr>
        <w:t>以能定级、以岗定薪、以绩定奖</w:t>
      </w:r>
      <w:r>
        <w:rPr>
          <w:rFonts w:ascii="Times New Roman" w:eastAsia="Times New Roman" w:hAnsi="Times New Roman" w:cs="Times New Roman"/>
          <w:color w:val="000000"/>
          <w:spacing w:val="0"/>
          <w:w w:val="100"/>
          <w:position w:val="0"/>
        </w:rPr>
        <w:t>”</w:t>
      </w:r>
      <w:r>
        <w:rPr>
          <w:color w:val="000000"/>
          <w:spacing w:val="0"/>
          <w:w w:val="100"/>
          <w:position w:val="0"/>
        </w:rPr>
        <w:t>的分配形式，合理拉开收入差距。</w:t>
      </w:r>
    </w:p>
    <w:p>
      <w:pPr>
        <w:pStyle w:val="Style32"/>
        <w:keepNext/>
        <w:keepLines/>
        <w:widowControl w:val="0"/>
        <w:shd w:val="clear" w:color="auto" w:fill="auto"/>
        <w:tabs>
          <w:tab w:pos="378" w:val="left"/>
        </w:tabs>
        <w:bidi w:val="0"/>
        <w:spacing w:before="0" w:after="2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w:t>
        <w:tab/>
        <w:t>培训计划</w:t>
      </w:r>
      <w:bookmarkEnd w:id="499"/>
      <w:bookmarkEnd w:id="500"/>
      <w:bookmarkEnd w:id="502"/>
    </w:p>
    <w:p>
      <w:pPr>
        <w:pStyle w:val="Style29"/>
        <w:keepNext w:val="0"/>
        <w:keepLines w:val="0"/>
        <w:widowControl w:val="0"/>
        <w:shd w:val="clear" w:color="auto" w:fill="auto"/>
        <w:bidi w:val="0"/>
        <w:spacing w:before="0" w:line="30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年，疫情当下，公司停工不停学，复工正常学，展开多种形式的培训，进行全员充电，以提高全员战斗力。</w:t>
      </w:r>
    </w:p>
    <w:p>
      <w:pPr>
        <w:pStyle w:val="Style29"/>
        <w:keepNext w:val="0"/>
        <w:keepLines w:val="0"/>
        <w:widowControl w:val="0"/>
        <w:shd w:val="clear" w:color="auto" w:fill="auto"/>
        <w:tabs>
          <w:tab w:pos="334" w:val="left"/>
        </w:tabs>
        <w:bidi w:val="0"/>
        <w:spacing w:before="0" w:line="307" w:lineRule="exact"/>
        <w:ind w:left="0" w:right="0" w:firstLine="0"/>
        <w:jc w:val="left"/>
      </w:pPr>
      <w:bookmarkStart w:id="503" w:name="bookmark503"/>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为打造韧性供应链，</w:t>
      </w:r>
      <w:r>
        <w:rPr>
          <w:rFonts w:ascii="Times New Roman" w:eastAsia="Times New Roman" w:hAnsi="Times New Roman" w:cs="Times New Roman"/>
          <w:color w:val="000000"/>
          <w:spacing w:val="0"/>
          <w:w w:val="100"/>
          <w:position w:val="0"/>
        </w:rPr>
        <w:t>2020</w:t>
      </w:r>
      <w:r>
        <w:rPr>
          <w:color w:val="000000"/>
          <w:spacing w:val="0"/>
          <w:w w:val="100"/>
          <w:position w:val="0"/>
        </w:rPr>
        <w:t>年，公司聘请培训顾问单位举办系列相关工作坊活动及培训。</w:t>
      </w:r>
    </w:p>
    <w:p>
      <w:pPr>
        <w:pStyle w:val="Style29"/>
        <w:keepNext w:val="0"/>
        <w:keepLines w:val="0"/>
        <w:widowControl w:val="0"/>
        <w:shd w:val="clear" w:color="auto" w:fill="auto"/>
        <w:tabs>
          <w:tab w:pos="354" w:val="left"/>
        </w:tabs>
        <w:bidi w:val="0"/>
        <w:spacing w:before="0" w:line="307" w:lineRule="exact"/>
        <w:ind w:left="0" w:right="0" w:firstLine="0"/>
        <w:jc w:val="left"/>
      </w:pPr>
      <w:bookmarkStart w:id="504" w:name="bookmark504"/>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组织供应链相关人员进行为期一月的制造业供应链基础课线上培训。</w:t>
      </w:r>
    </w:p>
    <w:p>
      <w:pPr>
        <w:pStyle w:val="Style29"/>
        <w:keepNext w:val="0"/>
        <w:keepLines w:val="0"/>
        <w:widowControl w:val="0"/>
        <w:shd w:val="clear" w:color="auto" w:fill="auto"/>
        <w:tabs>
          <w:tab w:pos="354" w:val="left"/>
        </w:tabs>
        <w:bidi w:val="0"/>
        <w:spacing w:before="0" w:line="307" w:lineRule="exact"/>
        <w:ind w:left="0" w:right="0" w:firstLine="0"/>
        <w:jc w:val="left"/>
      </w:pPr>
      <w:bookmarkStart w:id="505" w:name="bookmark505"/>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为打造产品力，应对新挑战，公司积极培养内部培训讲师，并持续开展产品管理体系系列培训。</w:t>
      </w:r>
    </w:p>
    <w:p>
      <w:pPr>
        <w:pStyle w:val="Style29"/>
        <w:keepNext w:val="0"/>
        <w:keepLines w:val="0"/>
        <w:widowControl w:val="0"/>
        <w:shd w:val="clear" w:color="auto" w:fill="auto"/>
        <w:tabs>
          <w:tab w:pos="354" w:val="left"/>
        </w:tabs>
        <w:bidi w:val="0"/>
        <w:spacing w:before="0" w:after="360" w:line="307" w:lineRule="exact"/>
        <w:ind w:left="0" w:right="0" w:firstLine="0"/>
        <w:jc w:val="left"/>
      </w:pPr>
      <w:bookmarkStart w:id="506" w:name="bookmark506"/>
      <w:r>
        <w:rPr>
          <w:rFonts w:ascii="Times New Roman" w:eastAsia="Times New Roman" w:hAnsi="Times New Roman" w:cs="Times New Roman"/>
          <w:color w:val="000000"/>
          <w:spacing w:val="0"/>
          <w:w w:val="100"/>
          <w:position w:val="0"/>
        </w:rPr>
        <w:t>4</w:t>
      </w:r>
      <w:bookmarkEnd w:id="506"/>
      <w:r>
        <w:rPr>
          <w:color w:val="000000"/>
          <w:spacing w:val="0"/>
          <w:w w:val="100"/>
          <w:position w:val="0"/>
        </w:rPr>
        <w:t>、</w:t>
        <w:tab/>
        <w:t>针对生产岗位，持续开展技能提升类培训及思维创新类培训。</w:t>
      </w:r>
    </w:p>
    <w:p>
      <w:pPr>
        <w:pStyle w:val="Style32"/>
        <w:keepNext/>
        <w:keepLines/>
        <w:widowControl w:val="0"/>
        <w:shd w:val="clear" w:color="auto" w:fill="auto"/>
        <w:bidi w:val="0"/>
        <w:spacing w:before="0" w:after="2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、劳务外包情况</w:t>
      </w:r>
      <w:bookmarkEnd w:id="507"/>
      <w:bookmarkEnd w:id="508"/>
      <w:bookmarkEnd w:id="510"/>
    </w:p>
    <w:p>
      <w:pPr>
        <w:pStyle w:val="Style29"/>
        <w:keepNext w:val="0"/>
        <w:keepLines w:val="0"/>
        <w:widowControl w:val="0"/>
        <w:shd w:val="clear" w:color="auto" w:fill="auto"/>
        <w:bidi w:val="0"/>
        <w:spacing w:before="0" w:after="280" w:line="307" w:lineRule="exact"/>
        <w:ind w:left="0" w:right="0" w:firstLine="0"/>
        <w:jc w:val="left"/>
        <w:sectPr>
          <w:footnotePr>
            <w:pos w:val="pageBottom"/>
            <w:numFmt w:val="decimal"/>
            <w:numRestart w:val="continuous"/>
          </w:footnotePr>
          <w:pgSz w:w="11900" w:h="16840"/>
          <w:pgMar w:top="1441" w:right="1070" w:bottom="1599" w:left="105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511" w:name="bookmark511"/>
      <w:bookmarkStart w:id="512" w:name="bookmark512"/>
      <w:bookmarkStart w:id="513" w:name="bookmark513"/>
      <w:r>
        <w:rPr>
          <w:color w:val="000000"/>
          <w:spacing w:val="0"/>
          <w:w w:val="100"/>
          <w:position w:val="0"/>
        </w:rPr>
        <w:t>第十节公司治理</w:t>
      </w:r>
      <w:bookmarkEnd w:id="511"/>
      <w:bookmarkEnd w:id="512"/>
      <w:bookmarkEnd w:id="513"/>
    </w:p>
    <w:p>
      <w:pPr>
        <w:pStyle w:val="Style25"/>
        <w:keepNext/>
        <w:keepLines/>
        <w:widowControl w:val="0"/>
        <w:shd w:val="clear" w:color="auto" w:fill="auto"/>
        <w:bidi w:val="0"/>
        <w:spacing w:before="0" w:after="2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一</w:t>
      </w:r>
      <w:bookmarkEnd w:id="516"/>
      <w:r>
        <w:rPr>
          <w:color w:val="000000"/>
          <w:spacing w:val="0"/>
          <w:w w:val="100"/>
          <w:position w:val="0"/>
          <w:sz w:val="24"/>
          <w:szCs w:val="24"/>
        </w:rPr>
        <w:t>、公司治理的基本状况</w:t>
      </w:r>
      <w:bookmarkEnd w:id="514"/>
      <w:bookmarkEnd w:id="515"/>
      <w:bookmarkEnd w:id="517"/>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报告期内，公司严格按照《公司法》、《证券法》、《上市公司治理准则》、《深圳证券交易所股票上市规则》和中国证监 会有关法律法规的要求，不断完善公司法人治理结构，建立健全公司内部控制制度，积极开展投资者关系管理活动，规范公 司运作，进一步提高了公司治理水平。</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截至报告期末，公司整体运行规范，公司治理实际情况基本符合中国证监会发布的有关上市公司治理的规范性文件的 要求。</w:t>
      </w:r>
    </w:p>
    <w:p>
      <w:pPr>
        <w:pStyle w:val="Style29"/>
        <w:keepNext w:val="0"/>
        <w:keepLines w:val="0"/>
        <w:widowControl w:val="0"/>
        <w:shd w:val="clear" w:color="auto" w:fill="auto"/>
        <w:tabs>
          <w:tab w:pos="1031" w:val="left"/>
        </w:tabs>
        <w:bidi w:val="0"/>
        <w:spacing w:before="0" w:after="0" w:line="313" w:lineRule="exact"/>
        <w:ind w:left="0" w:right="0" w:firstLine="500"/>
        <w:jc w:val="both"/>
      </w:pPr>
      <w:bookmarkStart w:id="518" w:name="bookmark518"/>
      <w:r>
        <w:rPr>
          <w:color w:val="000000"/>
          <w:spacing w:val="0"/>
          <w:w w:val="100"/>
          <w:position w:val="0"/>
        </w:rPr>
        <w:t>（</w:t>
      </w:r>
      <w:bookmarkEnd w:id="518"/>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公司严格按照《上市公司股东大会规则》和《公司章程》的规定和要求，规范股东大会的召集、召开及议事程序，能 够确保全体股东特别是中小股东享有平等地位，充分行使自己的权力。</w:t>
      </w:r>
    </w:p>
    <w:p>
      <w:pPr>
        <w:pStyle w:val="Style29"/>
        <w:keepNext w:val="0"/>
        <w:keepLines w:val="0"/>
        <w:widowControl w:val="0"/>
        <w:shd w:val="clear" w:color="auto" w:fill="auto"/>
        <w:tabs>
          <w:tab w:pos="1031" w:val="left"/>
        </w:tabs>
        <w:bidi w:val="0"/>
        <w:spacing w:before="0" w:after="0" w:line="313" w:lineRule="exact"/>
        <w:ind w:left="0" w:right="0" w:firstLine="500"/>
        <w:jc w:val="both"/>
      </w:pPr>
      <w:bookmarkStart w:id="519" w:name="bookmark519"/>
      <w:r>
        <w:rPr>
          <w:color w:val="000000"/>
          <w:spacing w:val="0"/>
          <w:w w:val="100"/>
          <w:position w:val="0"/>
        </w:rPr>
        <w:t>（</w:t>
      </w:r>
      <w:bookmarkEnd w:id="519"/>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公司控股股东能严格规范自己的行为，没有超越公司股东大会直接或间接干预公司的决策和经营活动的行为。</w:t>
      </w:r>
    </w:p>
    <w:p>
      <w:pPr>
        <w:pStyle w:val="Style29"/>
        <w:keepNext w:val="0"/>
        <w:keepLines w:val="0"/>
        <w:widowControl w:val="0"/>
        <w:shd w:val="clear" w:color="auto" w:fill="auto"/>
        <w:tabs>
          <w:tab w:pos="1031" w:val="left"/>
        </w:tabs>
        <w:bidi w:val="0"/>
        <w:spacing w:before="0" w:after="0" w:line="313" w:lineRule="exact"/>
        <w:ind w:left="0" w:right="0" w:firstLine="500"/>
        <w:jc w:val="both"/>
      </w:pPr>
      <w:bookmarkStart w:id="520" w:name="bookmark520"/>
      <w:r>
        <w:rPr>
          <w:color w:val="000000"/>
          <w:spacing w:val="0"/>
          <w:w w:val="100"/>
          <w:position w:val="0"/>
        </w:rPr>
        <w:t>（</w:t>
      </w:r>
      <w:bookmarkEnd w:id="520"/>
      <w:r>
        <w:rPr>
          <w:color w:val="000000"/>
          <w:spacing w:val="0"/>
          <w:w w:val="100"/>
          <w:position w:val="0"/>
        </w:rPr>
        <w:t>三）</w:t>
        <w:tab/>
        <w:t>关于董事与董事会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公司严格按照《公司章程》规定的选聘程序选举董事，公司目前有独立董事三名，占全体董事的三分之一，董事会人 数和人员构成符合法律、法规和《公司章程》的要求。全体董事能够依据《董事会议事规则》、《深圳证券交易所中小企业板 块上市公司董事行为指引》等制度开展工作，勤勉尽责履行义务。</w:t>
      </w:r>
    </w:p>
    <w:p>
      <w:pPr>
        <w:pStyle w:val="Style29"/>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年公司董事会认真履行《公司法》和《公司章程》等法律法规赋予的职责，严格执行股东大会决议，积极推进公 司治理和内部控制活动，较大地发挥了董事会的作用，推动了公司治理水平的提升，促进了公司各项业务的发展。公司全体 董事在</w:t>
      </w:r>
      <w:r>
        <w:rPr>
          <w:rFonts w:ascii="Times New Roman" w:eastAsia="Times New Roman" w:hAnsi="Times New Roman" w:cs="Times New Roman"/>
          <w:color w:val="000000"/>
          <w:spacing w:val="0"/>
          <w:w w:val="100"/>
          <w:position w:val="0"/>
        </w:rPr>
        <w:t>2020</w:t>
      </w:r>
      <w:r>
        <w:rPr>
          <w:color w:val="000000"/>
          <w:spacing w:val="0"/>
          <w:w w:val="100"/>
          <w:position w:val="0"/>
        </w:rPr>
        <w:t>年里，认真负责，勤勉尽职，为公司的决策和董事会的规范运作献计献策。</w:t>
      </w:r>
    </w:p>
    <w:p>
      <w:pPr>
        <w:pStyle w:val="Style29"/>
        <w:keepNext w:val="0"/>
        <w:keepLines w:val="0"/>
        <w:widowControl w:val="0"/>
        <w:shd w:val="clear" w:color="auto" w:fill="auto"/>
        <w:tabs>
          <w:tab w:pos="892" w:val="left"/>
        </w:tabs>
        <w:bidi w:val="0"/>
        <w:spacing w:before="0" w:after="0" w:line="313" w:lineRule="exact"/>
        <w:ind w:left="0" w:right="0" w:firstLine="500"/>
        <w:jc w:val="both"/>
      </w:pPr>
      <w:bookmarkStart w:id="521" w:name="bookmark521"/>
      <w:r>
        <w:rPr>
          <w:color w:val="000000"/>
          <w:spacing w:val="0"/>
          <w:w w:val="100"/>
          <w:position w:val="0"/>
          <w:sz w:val="18"/>
          <w:szCs w:val="18"/>
        </w:rPr>
        <w:t>1</w:t>
      </w:r>
      <w:bookmarkEnd w:id="521"/>
      <w:r>
        <w:rPr>
          <w:color w:val="000000"/>
          <w:spacing w:val="0"/>
          <w:w w:val="100"/>
          <w:position w:val="0"/>
        </w:rPr>
        <w:t>、</w:t>
        <w:tab/>
        <w:t>董事会日常工作情况</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2020</w:t>
      </w:r>
      <w:r>
        <w:rPr>
          <w:color w:val="000000"/>
          <w:spacing w:val="0"/>
          <w:w w:val="100"/>
          <w:position w:val="0"/>
        </w:rPr>
        <w:t>年度公司共召开了七次董事会会议，具体如下：</w:t>
      </w:r>
    </w:p>
    <w:p>
      <w:pPr>
        <w:pStyle w:val="Style29"/>
        <w:keepNext w:val="0"/>
        <w:keepLines w:val="0"/>
        <w:widowControl w:val="0"/>
        <w:shd w:val="clear" w:color="auto" w:fill="auto"/>
        <w:tabs>
          <w:tab w:pos="940" w:val="left"/>
        </w:tabs>
        <w:bidi w:val="0"/>
        <w:spacing w:before="0" w:after="0" w:line="313" w:lineRule="exact"/>
        <w:ind w:left="0" w:right="0" w:firstLine="500"/>
        <w:jc w:val="left"/>
      </w:pPr>
      <w:bookmarkStart w:id="522" w:name="bookmark522"/>
      <w:r>
        <w:rPr>
          <w:color w:val="000000"/>
          <w:spacing w:val="0"/>
          <w:w w:val="100"/>
          <w:position w:val="0"/>
          <w:sz w:val="18"/>
          <w:szCs w:val="18"/>
        </w:rPr>
        <w:t>（</w:t>
      </w:r>
      <w:bookmarkEnd w:id="522"/>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日召开了第七届董事会第无次临时会议，审议《关于聘任公司总裁的议案》；</w:t>
      </w:r>
    </w:p>
    <w:p>
      <w:pPr>
        <w:pStyle w:val="Style29"/>
        <w:keepNext w:val="0"/>
        <w:keepLines w:val="0"/>
        <w:widowControl w:val="0"/>
        <w:shd w:val="clear" w:color="auto" w:fill="auto"/>
        <w:tabs>
          <w:tab w:pos="1016" w:val="left"/>
        </w:tabs>
        <w:bidi w:val="0"/>
        <w:spacing w:before="0" w:after="0" w:line="313" w:lineRule="exact"/>
        <w:ind w:left="0" w:right="0" w:firstLine="500"/>
        <w:jc w:val="both"/>
      </w:pPr>
      <w:bookmarkStart w:id="523" w:name="bookmark523"/>
      <w:r>
        <w:rPr>
          <w:color w:val="000000"/>
          <w:spacing w:val="0"/>
          <w:w w:val="100"/>
          <w:position w:val="0"/>
          <w:sz w:val="18"/>
          <w:szCs w:val="18"/>
        </w:rPr>
        <w:t>（</w:t>
      </w:r>
      <w:bookmarkEnd w:id="523"/>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日召开了第七届董事会第六次临时会议，审议《关于使用闲置自有资金进行现金管理的议案》、《关 于使用闲置自有资金进行证券投资的议案》、《关于对外投资设立全资子公司的议案》、《关于修订〈风险投资管理制度〉的议 案》、《关于召开</w:t>
      </w:r>
      <w:r>
        <w:rPr>
          <w:color w:val="000000"/>
          <w:spacing w:val="0"/>
          <w:w w:val="100"/>
          <w:position w:val="0"/>
          <w:sz w:val="18"/>
          <w:szCs w:val="18"/>
        </w:rPr>
        <w:t>2020</w:t>
      </w:r>
      <w:r>
        <w:rPr>
          <w:color w:val="000000"/>
          <w:spacing w:val="0"/>
          <w:w w:val="100"/>
          <w:position w:val="0"/>
        </w:rPr>
        <w:t>年第一次临时股东大会的议案》；</w:t>
      </w:r>
    </w:p>
    <w:p>
      <w:pPr>
        <w:pStyle w:val="Style29"/>
        <w:keepNext w:val="0"/>
        <w:keepLines w:val="0"/>
        <w:widowControl w:val="0"/>
        <w:shd w:val="clear" w:color="auto" w:fill="auto"/>
        <w:tabs>
          <w:tab w:pos="925" w:val="left"/>
        </w:tabs>
        <w:bidi w:val="0"/>
        <w:spacing w:before="0" w:after="0" w:line="313" w:lineRule="exact"/>
        <w:ind w:left="0" w:right="0" w:firstLine="500"/>
        <w:jc w:val="both"/>
      </w:pPr>
      <w:bookmarkStart w:id="524" w:name="bookmark524"/>
      <w:r>
        <w:rPr>
          <w:color w:val="000000"/>
          <w:spacing w:val="0"/>
          <w:w w:val="100"/>
          <w:position w:val="0"/>
          <w:sz w:val="18"/>
          <w:szCs w:val="18"/>
        </w:rPr>
        <w:t>（</w:t>
      </w:r>
      <w:bookmarkEnd w:id="524"/>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日召开了第七届董事会第二次会议，审议《</w:t>
      </w:r>
      <w:r>
        <w:rPr>
          <w:color w:val="000000"/>
          <w:spacing w:val="0"/>
          <w:w w:val="100"/>
          <w:position w:val="0"/>
          <w:sz w:val="18"/>
          <w:szCs w:val="18"/>
        </w:rPr>
        <w:t>2019</w:t>
      </w:r>
      <w:r>
        <w:rPr>
          <w:color w:val="000000"/>
          <w:spacing w:val="0"/>
          <w:w w:val="100"/>
          <w:position w:val="0"/>
        </w:rPr>
        <w:t>年度总裁工作报告》、《</w:t>
      </w:r>
      <w:r>
        <w:rPr>
          <w:color w:val="000000"/>
          <w:spacing w:val="0"/>
          <w:w w:val="100"/>
          <w:position w:val="0"/>
          <w:sz w:val="18"/>
          <w:szCs w:val="18"/>
        </w:rPr>
        <w:t>2019</w:t>
      </w:r>
      <w:r>
        <w:rPr>
          <w:color w:val="000000"/>
          <w:spacing w:val="0"/>
          <w:w w:val="100"/>
          <w:position w:val="0"/>
        </w:rPr>
        <w:t>年度董事会工作报告》、 《</w:t>
      </w:r>
      <w:r>
        <w:rPr>
          <w:color w:val="000000"/>
          <w:spacing w:val="0"/>
          <w:w w:val="100"/>
          <w:position w:val="0"/>
          <w:sz w:val="18"/>
          <w:szCs w:val="18"/>
        </w:rPr>
        <w:t>2019</w:t>
      </w:r>
      <w:r>
        <w:rPr>
          <w:color w:val="000000"/>
          <w:spacing w:val="0"/>
          <w:w w:val="100"/>
          <w:position w:val="0"/>
        </w:rPr>
        <w:t>年年度报告及摘要》、《</w:t>
      </w:r>
      <w:r>
        <w:rPr>
          <w:color w:val="000000"/>
          <w:spacing w:val="0"/>
          <w:w w:val="100"/>
          <w:position w:val="0"/>
          <w:sz w:val="18"/>
          <w:szCs w:val="18"/>
        </w:rPr>
        <w:t>2019</w:t>
      </w:r>
      <w:r>
        <w:rPr>
          <w:color w:val="000000"/>
          <w:spacing w:val="0"/>
          <w:w w:val="100"/>
          <w:position w:val="0"/>
        </w:rPr>
        <w:t>年度财务决算报告》、《</w:t>
      </w:r>
      <w:r>
        <w:rPr>
          <w:color w:val="000000"/>
          <w:spacing w:val="0"/>
          <w:w w:val="100"/>
          <w:position w:val="0"/>
          <w:sz w:val="18"/>
          <w:szCs w:val="18"/>
        </w:rPr>
        <w:t>2020</w:t>
      </w:r>
      <w:r>
        <w:rPr>
          <w:color w:val="000000"/>
          <w:spacing w:val="0"/>
          <w:w w:val="100"/>
          <w:position w:val="0"/>
        </w:rPr>
        <w:t>年度财务预算方案》、《</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年度利润分配方案》、《关于续聘上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会会计师事务所为公司</w:t>
      </w:r>
      <w:r>
        <w:rPr>
          <w:color w:val="000000"/>
          <w:spacing w:val="0"/>
          <w:w w:val="100"/>
          <w:position w:val="0"/>
          <w:sz w:val="18"/>
          <w:szCs w:val="18"/>
        </w:rPr>
        <w:t>2020</w:t>
      </w:r>
      <w:r>
        <w:rPr>
          <w:color w:val="000000"/>
          <w:spacing w:val="0"/>
          <w:w w:val="100"/>
          <w:position w:val="0"/>
        </w:rPr>
        <w:t>年度审计机构的议案》、《关于</w:t>
      </w:r>
      <w:r>
        <w:rPr>
          <w:color w:val="000000"/>
          <w:spacing w:val="0"/>
          <w:w w:val="100"/>
          <w:position w:val="0"/>
          <w:sz w:val="18"/>
          <w:szCs w:val="18"/>
        </w:rPr>
        <w:t>2019</w:t>
      </w:r>
      <w:r>
        <w:rPr>
          <w:color w:val="000000"/>
          <w:spacing w:val="0"/>
          <w:w w:val="100"/>
          <w:position w:val="0"/>
        </w:rPr>
        <w:t>年度内部控制的自我评价报告》、《关于申请银行综合授信额度 的议案》、《</w:t>
      </w:r>
      <w:r>
        <w:rPr>
          <w:color w:val="000000"/>
          <w:spacing w:val="0"/>
          <w:w w:val="100"/>
          <w:position w:val="0"/>
          <w:sz w:val="18"/>
          <w:szCs w:val="18"/>
        </w:rPr>
        <w:t>2020</w:t>
      </w:r>
      <w:r>
        <w:rPr>
          <w:color w:val="000000"/>
          <w:spacing w:val="0"/>
          <w:w w:val="100"/>
          <w:position w:val="0"/>
        </w:rPr>
        <w:t>年一季度报告》、《关于召开</w:t>
      </w:r>
      <w:r>
        <w:rPr>
          <w:color w:val="000000"/>
          <w:spacing w:val="0"/>
          <w:w w:val="100"/>
          <w:position w:val="0"/>
          <w:sz w:val="18"/>
          <w:szCs w:val="18"/>
        </w:rPr>
        <w:t>2019</w:t>
      </w:r>
      <w:r>
        <w:rPr>
          <w:color w:val="000000"/>
          <w:spacing w:val="0"/>
          <w:w w:val="100"/>
          <w:position w:val="0"/>
        </w:rPr>
        <w:t>年度股东大会的议案》；</w:t>
      </w:r>
    </w:p>
    <w:p>
      <w:pPr>
        <w:pStyle w:val="Style29"/>
        <w:keepNext w:val="0"/>
        <w:keepLines w:val="0"/>
        <w:widowControl w:val="0"/>
        <w:shd w:val="clear" w:color="auto" w:fill="auto"/>
        <w:tabs>
          <w:tab w:pos="1016" w:val="left"/>
        </w:tabs>
        <w:bidi w:val="0"/>
        <w:spacing w:before="0" w:after="0" w:line="313" w:lineRule="exact"/>
        <w:ind w:left="0" w:right="0" w:firstLine="500"/>
        <w:jc w:val="both"/>
      </w:pPr>
      <w:bookmarkStart w:id="525" w:name="bookmark525"/>
      <w:r>
        <w:rPr>
          <w:color w:val="000000"/>
          <w:spacing w:val="0"/>
          <w:w w:val="100"/>
          <w:position w:val="0"/>
          <w:sz w:val="18"/>
          <w:szCs w:val="18"/>
        </w:rPr>
        <w:t>（</w:t>
      </w:r>
      <w:bookmarkEnd w:id="525"/>
      <w:r>
        <w:rPr>
          <w:color w:val="000000"/>
          <w:spacing w:val="0"/>
          <w:w w:val="100"/>
          <w:position w:val="0"/>
          <w:sz w:val="18"/>
          <w:szCs w:val="18"/>
        </w:rPr>
        <w:t>4）</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日召开了第七届董事会第七次临时会议，审议《关于拟购买房产的议案》、《关于对全资子公司增资 和变更经营范围的议案》；</w:t>
      </w:r>
    </w:p>
    <w:p>
      <w:pPr>
        <w:pStyle w:val="Style29"/>
        <w:keepNext w:val="0"/>
        <w:keepLines w:val="0"/>
        <w:widowControl w:val="0"/>
        <w:shd w:val="clear" w:color="auto" w:fill="auto"/>
        <w:tabs>
          <w:tab w:pos="1021" w:val="left"/>
        </w:tabs>
        <w:bidi w:val="0"/>
        <w:spacing w:before="0" w:after="0" w:line="322" w:lineRule="exact"/>
        <w:ind w:left="0" w:right="0" w:firstLine="500"/>
        <w:jc w:val="both"/>
      </w:pPr>
      <w:bookmarkStart w:id="526" w:name="bookmark526"/>
      <w:r>
        <w:rPr>
          <w:color w:val="000000"/>
          <w:spacing w:val="0"/>
          <w:w w:val="100"/>
          <w:position w:val="0"/>
          <w:sz w:val="18"/>
          <w:szCs w:val="18"/>
        </w:rPr>
        <w:t>（</w:t>
      </w:r>
      <w:bookmarkEnd w:id="526"/>
      <w:r>
        <w:rPr>
          <w:color w:val="000000"/>
          <w:spacing w:val="0"/>
          <w:w w:val="100"/>
          <w:position w:val="0"/>
          <w:sz w:val="18"/>
          <w:szCs w:val="18"/>
        </w:rPr>
        <w:t>5）</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日召开了第七届董事会第八次临时会议，审议《关于提高使用闲置自有资金进行现金管理额度的议 案》、《关于召开</w:t>
      </w:r>
      <w:r>
        <w:rPr>
          <w:color w:val="000000"/>
          <w:spacing w:val="0"/>
          <w:w w:val="100"/>
          <w:position w:val="0"/>
          <w:sz w:val="18"/>
          <w:szCs w:val="18"/>
        </w:rPr>
        <w:t>2020</w:t>
      </w:r>
      <w:r>
        <w:rPr>
          <w:color w:val="000000"/>
          <w:spacing w:val="0"/>
          <w:w w:val="100"/>
          <w:position w:val="0"/>
        </w:rPr>
        <w:t>年第二次临时股东大会的议案》、《关于拟为全资子公司提供担保的议案》；</w:t>
      </w:r>
    </w:p>
    <w:p>
      <w:pPr>
        <w:pStyle w:val="Style29"/>
        <w:keepNext w:val="0"/>
        <w:keepLines w:val="0"/>
        <w:widowControl w:val="0"/>
        <w:shd w:val="clear" w:color="auto" w:fill="auto"/>
        <w:tabs>
          <w:tab w:pos="1016" w:val="left"/>
        </w:tabs>
        <w:bidi w:val="0"/>
        <w:spacing w:before="0" w:after="0" w:line="322" w:lineRule="exact"/>
        <w:ind w:left="0" w:right="0" w:firstLine="500"/>
        <w:jc w:val="both"/>
      </w:pPr>
      <w:bookmarkStart w:id="527" w:name="bookmark527"/>
      <w:r>
        <w:rPr>
          <w:color w:val="000000"/>
          <w:spacing w:val="0"/>
          <w:w w:val="100"/>
          <w:position w:val="0"/>
          <w:sz w:val="18"/>
          <w:szCs w:val="18"/>
        </w:rPr>
        <w:t>（</w:t>
      </w:r>
      <w:bookmarkEnd w:id="527"/>
      <w:r>
        <w:rPr>
          <w:color w:val="000000"/>
          <w:spacing w:val="0"/>
          <w:w w:val="100"/>
          <w:position w:val="0"/>
          <w:sz w:val="18"/>
          <w:szCs w:val="18"/>
        </w:rPr>
        <w:t>6）</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日召开了第七届董事会第三次会议，审议《</w:t>
      </w:r>
      <w:r>
        <w:rPr>
          <w:color w:val="000000"/>
          <w:spacing w:val="0"/>
          <w:w w:val="100"/>
          <w:position w:val="0"/>
          <w:sz w:val="18"/>
          <w:szCs w:val="18"/>
        </w:rPr>
        <w:t>2020</w:t>
      </w:r>
      <w:r>
        <w:rPr>
          <w:color w:val="000000"/>
          <w:spacing w:val="0"/>
          <w:w w:val="100"/>
          <w:position w:val="0"/>
        </w:rPr>
        <w:t>年半年度报告及摘要》、《关于公司会计政策变更的 议案》；</w:t>
      </w:r>
    </w:p>
    <w:p>
      <w:pPr>
        <w:pStyle w:val="Style29"/>
        <w:keepNext w:val="0"/>
        <w:keepLines w:val="0"/>
        <w:widowControl w:val="0"/>
        <w:shd w:val="clear" w:color="auto" w:fill="auto"/>
        <w:tabs>
          <w:tab w:pos="1021" w:val="left"/>
        </w:tabs>
        <w:bidi w:val="0"/>
        <w:spacing w:before="0" w:after="0" w:line="322" w:lineRule="exact"/>
        <w:ind w:left="0" w:right="0" w:firstLine="500"/>
        <w:jc w:val="both"/>
      </w:pPr>
      <w:bookmarkStart w:id="528" w:name="bookmark528"/>
      <w:r>
        <w:rPr>
          <w:color w:val="000000"/>
          <w:spacing w:val="0"/>
          <w:w w:val="100"/>
          <w:position w:val="0"/>
          <w:sz w:val="18"/>
          <w:szCs w:val="18"/>
        </w:rPr>
        <w:t>（</w:t>
      </w:r>
      <w:bookmarkEnd w:id="528"/>
      <w:r>
        <w:rPr>
          <w:color w:val="000000"/>
          <w:spacing w:val="0"/>
          <w:w w:val="100"/>
          <w:position w:val="0"/>
          <w:sz w:val="18"/>
          <w:szCs w:val="18"/>
        </w:rPr>
        <w:t>7）</w:t>
        <w:tab/>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日召开了第七届董事会第九次临时会议，审议《</w:t>
      </w:r>
      <w:r>
        <w:rPr>
          <w:color w:val="000000"/>
          <w:spacing w:val="0"/>
          <w:w w:val="100"/>
          <w:position w:val="0"/>
          <w:sz w:val="18"/>
          <w:szCs w:val="18"/>
        </w:rPr>
        <w:t>2020</w:t>
      </w:r>
      <w:r>
        <w:rPr>
          <w:color w:val="000000"/>
          <w:spacing w:val="0"/>
          <w:w w:val="100"/>
          <w:position w:val="0"/>
        </w:rPr>
        <w:t>年第三季度报告及摘要》、《关于变更会计师 事务所的议案》、《关于召开</w:t>
      </w:r>
      <w:r>
        <w:rPr>
          <w:color w:val="000000"/>
          <w:spacing w:val="0"/>
          <w:w w:val="100"/>
          <w:position w:val="0"/>
          <w:sz w:val="18"/>
          <w:szCs w:val="18"/>
        </w:rPr>
        <w:t>2020</w:t>
      </w:r>
      <w:r>
        <w:rPr>
          <w:color w:val="000000"/>
          <w:spacing w:val="0"/>
          <w:w w:val="100"/>
          <w:position w:val="0"/>
        </w:rPr>
        <w:t>年第三次临时股东大会的议案》；</w:t>
      </w:r>
    </w:p>
    <w:p>
      <w:pPr>
        <w:pStyle w:val="Style29"/>
        <w:keepNext w:val="0"/>
        <w:keepLines w:val="0"/>
        <w:widowControl w:val="0"/>
        <w:shd w:val="clear" w:color="auto" w:fill="auto"/>
        <w:tabs>
          <w:tab w:pos="892" w:val="left"/>
        </w:tabs>
        <w:bidi w:val="0"/>
        <w:spacing w:before="0" w:after="0" w:line="322" w:lineRule="exact"/>
        <w:ind w:left="0" w:right="0" w:firstLine="500"/>
        <w:jc w:val="both"/>
      </w:pPr>
      <w:bookmarkStart w:id="529" w:name="bookmark529"/>
      <w:r>
        <w:rPr>
          <w:color w:val="000000"/>
          <w:spacing w:val="0"/>
          <w:w w:val="100"/>
          <w:position w:val="0"/>
          <w:sz w:val="18"/>
          <w:szCs w:val="18"/>
        </w:rPr>
        <w:t>2</w:t>
      </w:r>
      <w:bookmarkEnd w:id="529"/>
      <w:r>
        <w:rPr>
          <w:color w:val="000000"/>
          <w:spacing w:val="0"/>
          <w:w w:val="100"/>
          <w:position w:val="0"/>
        </w:rPr>
        <w:t>、</w:t>
        <w:tab/>
        <w:t>董事会执行股东大会决议的情况</w:t>
      </w:r>
    </w:p>
    <w:p>
      <w:pPr>
        <w:pStyle w:val="Style29"/>
        <w:keepNext w:val="0"/>
        <w:keepLines w:val="0"/>
        <w:widowControl w:val="0"/>
        <w:shd w:val="clear" w:color="auto" w:fill="auto"/>
        <w:bidi w:val="0"/>
        <w:spacing w:before="0" w:after="0" w:line="322" w:lineRule="exact"/>
        <w:ind w:left="0" w:right="0" w:firstLine="500"/>
        <w:jc w:val="both"/>
      </w:pPr>
      <w:r>
        <w:rPr>
          <w:color w:val="000000"/>
          <w:spacing w:val="0"/>
          <w:w w:val="100"/>
          <w:position w:val="0"/>
        </w:rPr>
        <w:t xml:space="preserve">报告期内，公司董事会根据《公司法》、《证券法》等有关法律法规和《公司章程的要求》，严格按照股东大会各项决 </w:t>
      </w:r>
      <w:r>
        <w:rPr>
          <w:color w:val="000000"/>
          <w:spacing w:val="0"/>
          <w:w w:val="100"/>
          <w:position w:val="0"/>
        </w:rPr>
        <w:t>议和授权，认真执行了股东大会通过的相关决议。</w:t>
      </w:r>
    </w:p>
    <w:p>
      <w:pPr>
        <w:pStyle w:val="Style29"/>
        <w:keepNext w:val="0"/>
        <w:keepLines w:val="0"/>
        <w:widowControl w:val="0"/>
        <w:shd w:val="clear" w:color="auto" w:fill="auto"/>
        <w:tabs>
          <w:tab w:pos="842" w:val="left"/>
        </w:tabs>
        <w:bidi w:val="0"/>
        <w:spacing w:before="0" w:after="0" w:line="316" w:lineRule="exact"/>
        <w:ind w:left="0" w:right="0" w:firstLine="500"/>
        <w:jc w:val="both"/>
      </w:pPr>
      <w:bookmarkStart w:id="530" w:name="bookmark530"/>
      <w:r>
        <w:rPr>
          <w:color w:val="000000"/>
          <w:spacing w:val="0"/>
          <w:w w:val="100"/>
          <w:position w:val="0"/>
          <w:sz w:val="18"/>
          <w:szCs w:val="18"/>
        </w:rPr>
        <w:t>3</w:t>
      </w:r>
      <w:bookmarkEnd w:id="530"/>
      <w:r>
        <w:rPr>
          <w:color w:val="000000"/>
          <w:spacing w:val="0"/>
          <w:w w:val="100"/>
          <w:position w:val="0"/>
        </w:rPr>
        <w:t>、</w:t>
        <w:tab/>
        <w:t>信息披露管理情况</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公司董事会依照《公司法》、《证券法》和《公司章程》等法律、法规等规范性文件，认真自觉履行信息披露义务，严 把信息披露关，切实提高公司规范运作水平和透明度。报告期内，公司信息披露真实、准确、及时、完整，无虚假记载，误 导性陈述或重大遗漏，确保了披露信息的准确性、可靠性和有效性。</w:t>
      </w:r>
    </w:p>
    <w:p>
      <w:pPr>
        <w:pStyle w:val="Style29"/>
        <w:keepNext w:val="0"/>
        <w:keepLines w:val="0"/>
        <w:widowControl w:val="0"/>
        <w:shd w:val="clear" w:color="auto" w:fill="auto"/>
        <w:tabs>
          <w:tab w:pos="847" w:val="left"/>
        </w:tabs>
        <w:bidi w:val="0"/>
        <w:spacing w:before="0" w:after="0" w:line="316" w:lineRule="exact"/>
        <w:ind w:left="0" w:right="0" w:firstLine="500"/>
        <w:jc w:val="both"/>
      </w:pPr>
      <w:bookmarkStart w:id="531" w:name="bookmark531"/>
      <w:r>
        <w:rPr>
          <w:color w:val="000000"/>
          <w:spacing w:val="0"/>
          <w:w w:val="100"/>
          <w:position w:val="0"/>
          <w:sz w:val="18"/>
          <w:szCs w:val="18"/>
        </w:rPr>
        <w:t>4</w:t>
      </w:r>
      <w:bookmarkEnd w:id="531"/>
      <w:r>
        <w:rPr>
          <w:color w:val="000000"/>
          <w:spacing w:val="0"/>
          <w:w w:val="100"/>
          <w:position w:val="0"/>
        </w:rPr>
        <w:t>、</w:t>
        <w:tab/>
        <w:t>投资者关系管理情况</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报告期内，公司通过网络互动、专线电话等多种渠道主动加强与投资者，特别是中小投资者的联系和沟通；公司积极 采用现场会议和网络投票相结合的方式召开股东大会，便于广大投资者对公司经营活动的积极参与。</w:t>
      </w:r>
    </w:p>
    <w:p>
      <w:pPr>
        <w:pStyle w:val="Style29"/>
        <w:keepNext w:val="0"/>
        <w:keepLines w:val="0"/>
        <w:widowControl w:val="0"/>
        <w:shd w:val="clear" w:color="auto" w:fill="auto"/>
        <w:tabs>
          <w:tab w:pos="847" w:val="left"/>
        </w:tabs>
        <w:bidi w:val="0"/>
        <w:spacing w:before="0" w:after="0" w:line="316" w:lineRule="exact"/>
        <w:ind w:left="0" w:right="0" w:firstLine="500"/>
        <w:jc w:val="both"/>
      </w:pPr>
      <w:bookmarkStart w:id="532" w:name="bookmark532"/>
      <w:r>
        <w:rPr>
          <w:color w:val="000000"/>
          <w:spacing w:val="0"/>
          <w:w w:val="100"/>
          <w:position w:val="0"/>
          <w:sz w:val="18"/>
          <w:szCs w:val="18"/>
        </w:rPr>
        <w:t>5</w:t>
      </w:r>
      <w:bookmarkEnd w:id="532"/>
      <w:r>
        <w:rPr>
          <w:color w:val="000000"/>
          <w:spacing w:val="0"/>
          <w:w w:val="100"/>
          <w:position w:val="0"/>
        </w:rPr>
        <w:t>、</w:t>
        <w:tab/>
        <w:t>董事会及各专门委员会履职及运作情况</w:t>
      </w:r>
    </w:p>
    <w:p>
      <w:pPr>
        <w:pStyle w:val="Style29"/>
        <w:keepNext w:val="0"/>
        <w:keepLines w:val="0"/>
        <w:widowControl w:val="0"/>
        <w:shd w:val="clear" w:color="auto" w:fill="auto"/>
        <w:bidi w:val="0"/>
        <w:spacing w:before="0" w:after="0" w:line="316" w:lineRule="exact"/>
        <w:ind w:left="0" w:right="0" w:firstLine="500"/>
        <w:jc w:val="left"/>
      </w:pPr>
      <w:r>
        <w:rPr>
          <w:color w:val="000000"/>
          <w:spacing w:val="0"/>
          <w:w w:val="100"/>
          <w:position w:val="0"/>
        </w:rPr>
        <w:t>详见本报告第十节第六点</w:t>
      </w:r>
      <w:r>
        <w:rPr>
          <w:rFonts w:ascii="Times New Roman" w:eastAsia="Times New Roman" w:hAnsi="Times New Roman" w:cs="Times New Roman"/>
          <w:color w:val="000000"/>
          <w:spacing w:val="0"/>
          <w:w w:val="100"/>
          <w:position w:val="0"/>
        </w:rPr>
        <w:t>“</w:t>
      </w:r>
      <w:r>
        <w:rPr>
          <w:color w:val="000000"/>
          <w:spacing w:val="0"/>
          <w:w w:val="100"/>
          <w:position w:val="0"/>
        </w:rPr>
        <w:t>董事会下设专门委员会在报告期内履行职责情况</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316" w:lineRule="exact"/>
        <w:ind w:left="0" w:right="0" w:firstLine="500"/>
        <w:jc w:val="both"/>
      </w:pPr>
      <w:bookmarkStart w:id="533" w:name="bookmark533"/>
      <w:r>
        <w:rPr>
          <w:color w:val="000000"/>
          <w:spacing w:val="0"/>
          <w:w w:val="100"/>
          <w:position w:val="0"/>
        </w:rPr>
        <w:t>（</w:t>
      </w:r>
      <w:bookmarkEnd w:id="533"/>
      <w:r>
        <w:rPr>
          <w:color w:val="000000"/>
          <w:spacing w:val="0"/>
          <w:w w:val="100"/>
          <w:position w:val="0"/>
        </w:rPr>
        <w:t>四）关于监事与监事会</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公司严格按照《公司法》、《公司章程》的有关规定选聘监事，监事会的人数及构成符合法律、法规的要求。公司目前 有职工代表监事一名，占全体监事的三分之一，监事人数和人员构成符合法律、法规的要求。公司监事能够按照《监事会议 事规则》等的要求，认真履行职责，对公司重大事项、财务状况、公司董事、经理和其他高级管理人员履行职责的合法合规 性等进行监督，切实维护公司及股东的权益。</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18"/>
          <w:szCs w:val="18"/>
        </w:rPr>
        <w:t>2020</w:t>
      </w:r>
      <w:r>
        <w:rPr>
          <w:color w:val="000000"/>
          <w:spacing w:val="0"/>
          <w:w w:val="100"/>
          <w:position w:val="0"/>
        </w:rPr>
        <w:t>年度，公司监事会根据《公司法》、《证券法》、《公司章程》等的有关规定，本着对全体股东负责的精神，恪尽职 守，认真履行各项职责和义务，充分行使对公司董事及高级管理人员的监督职能，为公司的规范运作和发展起到了积极作用。</w:t>
      </w:r>
    </w:p>
    <w:p>
      <w:pPr>
        <w:pStyle w:val="Style29"/>
        <w:keepNext w:val="0"/>
        <w:keepLines w:val="0"/>
        <w:widowControl w:val="0"/>
        <w:shd w:val="clear" w:color="auto" w:fill="auto"/>
        <w:tabs>
          <w:tab w:pos="840" w:val="left"/>
        </w:tabs>
        <w:bidi w:val="0"/>
        <w:spacing w:before="0" w:after="0" w:line="316" w:lineRule="exact"/>
        <w:ind w:left="0" w:right="0" w:firstLine="500"/>
        <w:jc w:val="both"/>
      </w:pPr>
      <w:bookmarkStart w:id="534" w:name="bookmark534"/>
      <w:r>
        <w:rPr>
          <w:color w:val="000000"/>
          <w:spacing w:val="0"/>
          <w:w w:val="100"/>
          <w:position w:val="0"/>
          <w:sz w:val="18"/>
          <w:szCs w:val="18"/>
        </w:rPr>
        <w:t>1</w:t>
      </w:r>
      <w:bookmarkEnd w:id="534"/>
      <w:r>
        <w:rPr>
          <w:color w:val="000000"/>
          <w:spacing w:val="0"/>
          <w:w w:val="100"/>
          <w:position w:val="0"/>
        </w:rPr>
        <w:t>、</w:t>
        <w:tab/>
        <w:t>监事会工作情况</w:t>
      </w:r>
    </w:p>
    <w:p>
      <w:pPr>
        <w:pStyle w:val="Style29"/>
        <w:keepNext w:val="0"/>
        <w:keepLines w:val="0"/>
        <w:widowControl w:val="0"/>
        <w:shd w:val="clear" w:color="auto" w:fill="auto"/>
        <w:tabs>
          <w:tab w:pos="1000" w:val="left"/>
        </w:tabs>
        <w:bidi w:val="0"/>
        <w:spacing w:before="0" w:after="0" w:line="316" w:lineRule="exact"/>
        <w:ind w:left="0" w:right="0" w:firstLine="500"/>
        <w:jc w:val="both"/>
      </w:pPr>
      <w:bookmarkStart w:id="535" w:name="bookmark535"/>
      <w:r>
        <w:rPr>
          <w:color w:val="000000"/>
          <w:spacing w:val="0"/>
          <w:w w:val="100"/>
          <w:position w:val="0"/>
          <w:sz w:val="18"/>
          <w:szCs w:val="18"/>
        </w:rPr>
        <w:t>（</w:t>
      </w:r>
      <w:bookmarkEnd w:id="535"/>
      <w:r>
        <w:rPr>
          <w:color w:val="000000"/>
          <w:spacing w:val="0"/>
          <w:w w:val="100"/>
          <w:position w:val="0"/>
          <w:sz w:val="18"/>
          <w:szCs w:val="18"/>
        </w:rPr>
        <w:t>1）</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日召开了第七届监事会第四次临时会议，审议通过了《关于使用闲置自有资金进行现金管理 的议案》。</w:t>
      </w:r>
    </w:p>
    <w:p>
      <w:pPr>
        <w:pStyle w:val="Style29"/>
        <w:keepNext w:val="0"/>
        <w:keepLines w:val="0"/>
        <w:widowControl w:val="0"/>
        <w:shd w:val="clear" w:color="auto" w:fill="auto"/>
        <w:tabs>
          <w:tab w:pos="1014" w:val="left"/>
        </w:tabs>
        <w:bidi w:val="0"/>
        <w:spacing w:before="0" w:after="0" w:line="316" w:lineRule="exact"/>
        <w:ind w:left="0" w:right="0" w:firstLine="500"/>
        <w:jc w:val="both"/>
      </w:pPr>
      <w:bookmarkStart w:id="536" w:name="bookmark536"/>
      <w:r>
        <w:rPr>
          <w:color w:val="000000"/>
          <w:spacing w:val="0"/>
          <w:w w:val="100"/>
          <w:position w:val="0"/>
          <w:sz w:val="18"/>
          <w:szCs w:val="18"/>
        </w:rPr>
        <w:t>（</w:t>
      </w:r>
      <w:bookmarkEnd w:id="536"/>
      <w:r>
        <w:rPr>
          <w:color w:val="000000"/>
          <w:spacing w:val="0"/>
          <w:w w:val="100"/>
          <w:position w:val="0"/>
          <w:sz w:val="18"/>
          <w:szCs w:val="18"/>
        </w:rPr>
        <w:t>2）</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日召开了第七届监事会第二次会议，审议通过了《</w:t>
      </w:r>
      <w:r>
        <w:rPr>
          <w:color w:val="000000"/>
          <w:spacing w:val="0"/>
          <w:w w:val="100"/>
          <w:position w:val="0"/>
          <w:sz w:val="18"/>
          <w:szCs w:val="18"/>
        </w:rPr>
        <w:t>2019</w:t>
      </w:r>
      <w:r>
        <w:rPr>
          <w:color w:val="000000"/>
          <w:spacing w:val="0"/>
          <w:w w:val="100"/>
          <w:position w:val="0"/>
        </w:rPr>
        <w:t>年度监事会工作报告》、《</w:t>
      </w:r>
      <w:r>
        <w:rPr>
          <w:color w:val="000000"/>
          <w:spacing w:val="0"/>
          <w:w w:val="100"/>
          <w:position w:val="0"/>
          <w:sz w:val="18"/>
          <w:szCs w:val="18"/>
        </w:rPr>
        <w:t>2019</w:t>
      </w:r>
      <w:r>
        <w:rPr>
          <w:color w:val="000000"/>
          <w:spacing w:val="0"/>
          <w:w w:val="100"/>
          <w:position w:val="0"/>
        </w:rPr>
        <w:t>年年度 报告及摘要》、《</w:t>
      </w:r>
      <w:r>
        <w:rPr>
          <w:color w:val="000000"/>
          <w:spacing w:val="0"/>
          <w:w w:val="100"/>
          <w:position w:val="0"/>
          <w:sz w:val="18"/>
          <w:szCs w:val="18"/>
        </w:rPr>
        <w:t>2019</w:t>
      </w:r>
      <w:r>
        <w:rPr>
          <w:color w:val="000000"/>
          <w:spacing w:val="0"/>
          <w:w w:val="100"/>
          <w:position w:val="0"/>
        </w:rPr>
        <w:t>年度财务决算报告》、《</w:t>
      </w:r>
      <w:r>
        <w:rPr>
          <w:color w:val="000000"/>
          <w:spacing w:val="0"/>
          <w:w w:val="100"/>
          <w:position w:val="0"/>
          <w:sz w:val="18"/>
          <w:szCs w:val="18"/>
        </w:rPr>
        <w:t>2020</w:t>
      </w:r>
      <w:r>
        <w:rPr>
          <w:color w:val="000000"/>
          <w:spacing w:val="0"/>
          <w:w w:val="100"/>
          <w:position w:val="0"/>
        </w:rPr>
        <w:t>年度财务预算方案》、《</w:t>
      </w:r>
      <w:r>
        <w:rPr>
          <w:color w:val="000000"/>
          <w:spacing w:val="0"/>
          <w:w w:val="100"/>
          <w:position w:val="0"/>
          <w:sz w:val="18"/>
          <w:szCs w:val="18"/>
        </w:rPr>
        <w:t>2019</w:t>
      </w:r>
      <w:r>
        <w:rPr>
          <w:color w:val="000000"/>
          <w:spacing w:val="0"/>
          <w:w w:val="100"/>
          <w:position w:val="0"/>
        </w:rPr>
        <w:t>年度利润分配方案》、《关于续聘上会会计师事务 所为公司</w:t>
      </w:r>
      <w:r>
        <w:rPr>
          <w:color w:val="000000"/>
          <w:spacing w:val="0"/>
          <w:w w:val="100"/>
          <w:position w:val="0"/>
          <w:sz w:val="18"/>
          <w:szCs w:val="18"/>
        </w:rPr>
        <w:t>2020</w:t>
      </w:r>
      <w:r>
        <w:rPr>
          <w:color w:val="000000"/>
          <w:spacing w:val="0"/>
          <w:w w:val="100"/>
          <w:position w:val="0"/>
        </w:rPr>
        <w:t>年度审计机构的议案》、《关于</w:t>
      </w:r>
      <w:r>
        <w:rPr>
          <w:color w:val="000000"/>
          <w:spacing w:val="0"/>
          <w:w w:val="100"/>
          <w:position w:val="0"/>
          <w:sz w:val="18"/>
          <w:szCs w:val="18"/>
        </w:rPr>
        <w:t>2019</w:t>
      </w:r>
      <w:r>
        <w:rPr>
          <w:color w:val="000000"/>
          <w:spacing w:val="0"/>
          <w:w w:val="100"/>
          <w:position w:val="0"/>
        </w:rPr>
        <w:t>年度内部控制的自我评价报告》和《</w:t>
      </w:r>
      <w:r>
        <w:rPr>
          <w:color w:val="000000"/>
          <w:spacing w:val="0"/>
          <w:w w:val="100"/>
          <w:position w:val="0"/>
          <w:sz w:val="18"/>
          <w:szCs w:val="18"/>
        </w:rPr>
        <w:t>2020</w:t>
      </w:r>
      <w:r>
        <w:rPr>
          <w:color w:val="000000"/>
          <w:spacing w:val="0"/>
          <w:w w:val="100"/>
          <w:position w:val="0"/>
        </w:rPr>
        <w:t>年一季度报告》。</w:t>
      </w:r>
    </w:p>
    <w:p>
      <w:pPr>
        <w:pStyle w:val="Style29"/>
        <w:keepNext w:val="0"/>
        <w:keepLines w:val="0"/>
        <w:widowControl w:val="0"/>
        <w:shd w:val="clear" w:color="auto" w:fill="auto"/>
        <w:tabs>
          <w:tab w:pos="1014" w:val="left"/>
        </w:tabs>
        <w:bidi w:val="0"/>
        <w:spacing w:before="0" w:after="0" w:line="316" w:lineRule="exact"/>
        <w:ind w:left="0" w:right="0" w:firstLine="500"/>
        <w:jc w:val="both"/>
      </w:pPr>
      <w:bookmarkStart w:id="537" w:name="bookmark537"/>
      <w:r>
        <w:rPr>
          <w:color w:val="000000"/>
          <w:spacing w:val="0"/>
          <w:w w:val="100"/>
          <w:position w:val="0"/>
          <w:sz w:val="18"/>
          <w:szCs w:val="18"/>
        </w:rPr>
        <w:t>（</w:t>
      </w:r>
      <w:bookmarkEnd w:id="537"/>
      <w:r>
        <w:rPr>
          <w:color w:val="000000"/>
          <w:spacing w:val="0"/>
          <w:w w:val="100"/>
          <w:position w:val="0"/>
          <w:sz w:val="18"/>
          <w:szCs w:val="18"/>
        </w:rPr>
        <w:t>3）</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日召开了第七届监事会第五次临时会议，审议通过了《关于提高使用闲置自有资金进行现金 管理额度的议案》。</w:t>
      </w:r>
    </w:p>
    <w:p>
      <w:pPr>
        <w:pStyle w:val="Style29"/>
        <w:keepNext w:val="0"/>
        <w:keepLines w:val="0"/>
        <w:widowControl w:val="0"/>
        <w:shd w:val="clear" w:color="auto" w:fill="auto"/>
        <w:tabs>
          <w:tab w:pos="1024" w:val="left"/>
        </w:tabs>
        <w:bidi w:val="0"/>
        <w:spacing w:before="0" w:after="0" w:line="331" w:lineRule="exact"/>
        <w:ind w:left="0" w:right="0" w:firstLine="500"/>
        <w:jc w:val="both"/>
      </w:pPr>
      <w:bookmarkStart w:id="538" w:name="bookmark538"/>
      <w:r>
        <w:rPr>
          <w:color w:val="000000"/>
          <w:spacing w:val="0"/>
          <w:w w:val="100"/>
          <w:position w:val="0"/>
          <w:sz w:val="18"/>
          <w:szCs w:val="18"/>
        </w:rPr>
        <w:t>（</w:t>
      </w:r>
      <w:bookmarkEnd w:id="538"/>
      <w:r>
        <w:rPr>
          <w:color w:val="000000"/>
          <w:spacing w:val="0"/>
          <w:w w:val="100"/>
          <w:position w:val="0"/>
          <w:sz w:val="18"/>
          <w:szCs w:val="18"/>
        </w:rPr>
        <w:t>4）</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日召开了第七届监事会第三次会议，审议通过了《</w:t>
      </w:r>
      <w:r>
        <w:rPr>
          <w:color w:val="000000"/>
          <w:spacing w:val="0"/>
          <w:w w:val="100"/>
          <w:position w:val="0"/>
          <w:sz w:val="18"/>
          <w:szCs w:val="18"/>
        </w:rPr>
        <w:t>2020</w:t>
      </w:r>
      <w:r>
        <w:rPr>
          <w:color w:val="000000"/>
          <w:spacing w:val="0"/>
          <w:w w:val="100"/>
          <w:position w:val="0"/>
        </w:rPr>
        <w:t>年半年度报告及摘要》和《关于公司 会计政策变更的议案》。</w:t>
      </w:r>
    </w:p>
    <w:p>
      <w:pPr>
        <w:pStyle w:val="Style29"/>
        <w:keepNext w:val="0"/>
        <w:keepLines w:val="0"/>
        <w:widowControl w:val="0"/>
        <w:shd w:val="clear" w:color="auto" w:fill="auto"/>
        <w:tabs>
          <w:tab w:pos="1019" w:val="left"/>
        </w:tabs>
        <w:bidi w:val="0"/>
        <w:spacing w:before="0" w:after="0" w:line="321" w:lineRule="exact"/>
        <w:ind w:left="0" w:right="0" w:firstLine="500"/>
        <w:jc w:val="both"/>
      </w:pPr>
      <w:bookmarkStart w:id="539" w:name="bookmark539"/>
      <w:r>
        <w:rPr>
          <w:color w:val="000000"/>
          <w:spacing w:val="0"/>
          <w:w w:val="100"/>
          <w:position w:val="0"/>
          <w:sz w:val="18"/>
          <w:szCs w:val="18"/>
        </w:rPr>
        <w:t>（</w:t>
      </w:r>
      <w:bookmarkEnd w:id="539"/>
      <w:r>
        <w:rPr>
          <w:color w:val="000000"/>
          <w:spacing w:val="0"/>
          <w:w w:val="100"/>
          <w:position w:val="0"/>
          <w:sz w:val="18"/>
          <w:szCs w:val="18"/>
        </w:rPr>
        <w:t>5）</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日召开了第七届监事会第六次临时会议，审议通过了《</w:t>
      </w:r>
      <w:r>
        <w:rPr>
          <w:color w:val="000000"/>
          <w:spacing w:val="0"/>
          <w:w w:val="100"/>
          <w:position w:val="0"/>
          <w:sz w:val="18"/>
          <w:szCs w:val="18"/>
        </w:rPr>
        <w:t>2020</w:t>
      </w:r>
      <w:r>
        <w:rPr>
          <w:color w:val="000000"/>
          <w:spacing w:val="0"/>
          <w:w w:val="100"/>
          <w:position w:val="0"/>
        </w:rPr>
        <w:t>年第三季度报告》和《关于变 更会计师事务所的议案》。</w:t>
      </w:r>
    </w:p>
    <w:p>
      <w:pPr>
        <w:pStyle w:val="Style29"/>
        <w:keepNext w:val="0"/>
        <w:keepLines w:val="0"/>
        <w:widowControl w:val="0"/>
        <w:shd w:val="clear" w:color="auto" w:fill="auto"/>
        <w:tabs>
          <w:tab w:pos="842" w:val="left"/>
        </w:tabs>
        <w:bidi w:val="0"/>
        <w:spacing w:before="0" w:after="0" w:line="321" w:lineRule="exact"/>
        <w:ind w:left="0" w:right="0" w:firstLine="500"/>
        <w:jc w:val="both"/>
      </w:pPr>
      <w:bookmarkStart w:id="540" w:name="bookmark540"/>
      <w:r>
        <w:rPr>
          <w:color w:val="000000"/>
          <w:spacing w:val="0"/>
          <w:w w:val="100"/>
          <w:position w:val="0"/>
          <w:sz w:val="18"/>
          <w:szCs w:val="18"/>
        </w:rPr>
        <w:t>2</w:t>
      </w:r>
      <w:bookmarkEnd w:id="540"/>
      <w:r>
        <w:rPr>
          <w:color w:val="000000"/>
          <w:spacing w:val="0"/>
          <w:w w:val="100"/>
          <w:position w:val="0"/>
        </w:rPr>
        <w:t>、</w:t>
        <w:tab/>
        <w:t>监事会对</w:t>
      </w:r>
      <w:r>
        <w:rPr>
          <w:color w:val="000000"/>
          <w:spacing w:val="0"/>
          <w:w w:val="100"/>
          <w:position w:val="0"/>
          <w:sz w:val="18"/>
          <w:szCs w:val="18"/>
        </w:rPr>
        <w:t>2020</w:t>
      </w:r>
      <w:r>
        <w:rPr>
          <w:color w:val="000000"/>
          <w:spacing w:val="0"/>
          <w:w w:val="100"/>
          <w:position w:val="0"/>
        </w:rPr>
        <w:t>年度公司有关事项的独立意见</w:t>
      </w:r>
    </w:p>
    <w:p>
      <w:pPr>
        <w:pStyle w:val="Style29"/>
        <w:keepNext w:val="0"/>
        <w:keepLines w:val="0"/>
        <w:widowControl w:val="0"/>
        <w:shd w:val="clear" w:color="auto" w:fill="auto"/>
        <w:tabs>
          <w:tab w:pos="938" w:val="left"/>
        </w:tabs>
        <w:bidi w:val="0"/>
        <w:spacing w:before="0" w:after="0" w:line="321" w:lineRule="exact"/>
        <w:ind w:left="0" w:right="0" w:firstLine="500"/>
        <w:jc w:val="both"/>
      </w:pPr>
      <w:bookmarkStart w:id="541" w:name="bookmark541"/>
      <w:r>
        <w:rPr>
          <w:color w:val="000000"/>
          <w:spacing w:val="0"/>
          <w:w w:val="100"/>
          <w:position w:val="0"/>
          <w:sz w:val="18"/>
          <w:szCs w:val="18"/>
        </w:rPr>
        <w:t>（</w:t>
      </w:r>
      <w:bookmarkEnd w:id="541"/>
      <w:r>
        <w:rPr>
          <w:color w:val="000000"/>
          <w:spacing w:val="0"/>
          <w:w w:val="100"/>
          <w:position w:val="0"/>
          <w:sz w:val="18"/>
          <w:szCs w:val="18"/>
        </w:rPr>
        <w:t>1）</w:t>
        <w:tab/>
      </w:r>
      <w:r>
        <w:rPr>
          <w:color w:val="000000"/>
          <w:spacing w:val="0"/>
          <w:w w:val="100"/>
          <w:position w:val="0"/>
        </w:rPr>
        <w:t>公司依法运作情况</w:t>
      </w:r>
    </w:p>
    <w:p>
      <w:pPr>
        <w:pStyle w:val="Style29"/>
        <w:keepNext w:val="0"/>
        <w:keepLines w:val="0"/>
        <w:widowControl w:val="0"/>
        <w:shd w:val="clear" w:color="auto" w:fill="auto"/>
        <w:bidi w:val="0"/>
        <w:spacing w:before="0" w:after="0" w:line="321" w:lineRule="exact"/>
        <w:ind w:left="0" w:right="0" w:firstLine="500"/>
        <w:jc w:val="both"/>
      </w:pPr>
      <w:r>
        <w:rPr>
          <w:color w:val="000000"/>
          <w:spacing w:val="0"/>
          <w:w w:val="100"/>
          <w:position w:val="0"/>
          <w:sz w:val="18"/>
          <w:szCs w:val="18"/>
        </w:rPr>
        <w:t>2020</w:t>
      </w:r>
      <w:r>
        <w:rPr>
          <w:color w:val="000000"/>
          <w:spacing w:val="0"/>
          <w:w w:val="100"/>
          <w:position w:val="0"/>
        </w:rPr>
        <w:t>年度公司董事会能严格按照《公司法》、《公司章程》等相关法律法规和规章的规定，依法管理、依法经营，决策 程序合法，建立并完善了各项内部管理和内部控制制度。公司董事、经理层执行职务时能够勤勉尽责，没有发现违反法律、 法规、公司章程或损害公司和股东利益的行为。公司董事会严格按照信息披露的要求，及时、准确、完整的进行对外信息的 披露，没有发现公司应披露而未披露的事项。</w:t>
      </w:r>
    </w:p>
    <w:p>
      <w:pPr>
        <w:pStyle w:val="Style29"/>
        <w:keepNext w:val="0"/>
        <w:keepLines w:val="0"/>
        <w:widowControl w:val="0"/>
        <w:shd w:val="clear" w:color="auto" w:fill="auto"/>
        <w:tabs>
          <w:tab w:pos="938" w:val="left"/>
        </w:tabs>
        <w:bidi w:val="0"/>
        <w:spacing w:before="0" w:after="0" w:line="321" w:lineRule="exact"/>
        <w:ind w:left="0" w:right="0" w:firstLine="500"/>
        <w:jc w:val="both"/>
      </w:pPr>
      <w:bookmarkStart w:id="542" w:name="bookmark542"/>
      <w:r>
        <w:rPr>
          <w:color w:val="000000"/>
          <w:spacing w:val="0"/>
          <w:w w:val="100"/>
          <w:position w:val="0"/>
          <w:sz w:val="18"/>
          <w:szCs w:val="18"/>
        </w:rPr>
        <w:t>（</w:t>
      </w:r>
      <w:bookmarkEnd w:id="542"/>
      <w:r>
        <w:rPr>
          <w:color w:val="000000"/>
          <w:spacing w:val="0"/>
          <w:w w:val="100"/>
          <w:position w:val="0"/>
          <w:sz w:val="18"/>
          <w:szCs w:val="18"/>
        </w:rPr>
        <w:t>2）</w:t>
        <w:tab/>
      </w:r>
      <w:r>
        <w:rPr>
          <w:color w:val="000000"/>
          <w:spacing w:val="0"/>
          <w:w w:val="100"/>
          <w:position w:val="0"/>
        </w:rPr>
        <w:t>检查公司财务的情况</w:t>
      </w:r>
    </w:p>
    <w:p>
      <w:pPr>
        <w:pStyle w:val="Style29"/>
        <w:keepNext w:val="0"/>
        <w:keepLines w:val="0"/>
        <w:widowControl w:val="0"/>
        <w:shd w:val="clear" w:color="auto" w:fill="auto"/>
        <w:bidi w:val="0"/>
        <w:spacing w:before="0" w:after="0" w:line="321" w:lineRule="exact"/>
        <w:ind w:left="0" w:right="0" w:firstLine="500"/>
        <w:jc w:val="both"/>
      </w:pPr>
      <w:r>
        <w:rPr>
          <w:color w:val="000000"/>
          <w:spacing w:val="0"/>
          <w:w w:val="100"/>
          <w:position w:val="0"/>
          <w:sz w:val="18"/>
          <w:szCs w:val="18"/>
        </w:rPr>
        <w:t>2020</w:t>
      </w:r>
      <w:r>
        <w:rPr>
          <w:color w:val="000000"/>
          <w:spacing w:val="0"/>
          <w:w w:val="100"/>
          <w:position w:val="0"/>
        </w:rPr>
        <w:t>年度公司监事会认真审阅了定期报告和相关财务报表，并对公司财务管理进行了细致的检查。监事会认为公司财 务制度健全、内部控制完善、财务运作规范、财务状况良好。公司</w:t>
      </w:r>
      <w:r>
        <w:rPr>
          <w:color w:val="000000"/>
          <w:spacing w:val="0"/>
          <w:w w:val="100"/>
          <w:position w:val="0"/>
          <w:sz w:val="18"/>
          <w:szCs w:val="18"/>
        </w:rPr>
        <w:t>2020</w:t>
      </w:r>
      <w:r>
        <w:rPr>
          <w:color w:val="000000"/>
          <w:spacing w:val="0"/>
          <w:w w:val="100"/>
          <w:position w:val="0"/>
        </w:rPr>
        <w:t>年度财务报告真实反映了公司的财务状况和经营成果。</w:t>
      </w:r>
    </w:p>
    <w:p>
      <w:pPr>
        <w:pStyle w:val="Style29"/>
        <w:keepNext w:val="0"/>
        <w:keepLines w:val="0"/>
        <w:widowControl w:val="0"/>
        <w:shd w:val="clear" w:color="auto" w:fill="auto"/>
        <w:tabs>
          <w:tab w:pos="938" w:val="left"/>
        </w:tabs>
        <w:bidi w:val="0"/>
        <w:spacing w:before="0" w:after="0" w:line="321" w:lineRule="exact"/>
        <w:ind w:left="0" w:right="0" w:firstLine="500"/>
        <w:jc w:val="left"/>
      </w:pPr>
      <w:bookmarkStart w:id="543" w:name="bookmark543"/>
      <w:r>
        <w:rPr>
          <w:color w:val="000000"/>
          <w:spacing w:val="0"/>
          <w:w w:val="100"/>
          <w:position w:val="0"/>
          <w:sz w:val="18"/>
          <w:szCs w:val="18"/>
        </w:rPr>
        <w:t>（</w:t>
      </w:r>
      <w:bookmarkEnd w:id="543"/>
      <w:r>
        <w:rPr>
          <w:color w:val="000000"/>
          <w:spacing w:val="0"/>
          <w:w w:val="100"/>
          <w:position w:val="0"/>
          <w:sz w:val="18"/>
          <w:szCs w:val="18"/>
        </w:rPr>
        <w:t>3）</w:t>
        <w:tab/>
      </w:r>
      <w:r>
        <w:rPr>
          <w:color w:val="000000"/>
          <w:spacing w:val="0"/>
          <w:w w:val="100"/>
          <w:position w:val="0"/>
        </w:rPr>
        <w:t>募集资金使用情况</w:t>
      </w:r>
    </w:p>
    <w:p>
      <w:pPr>
        <w:pStyle w:val="Style29"/>
        <w:keepNext w:val="0"/>
        <w:keepLines w:val="0"/>
        <w:widowControl w:val="0"/>
        <w:shd w:val="clear" w:color="auto" w:fill="auto"/>
        <w:bidi w:val="0"/>
        <w:spacing w:before="0" w:after="0" w:line="321" w:lineRule="exact"/>
        <w:ind w:left="0" w:right="0" w:firstLine="500"/>
        <w:jc w:val="left"/>
      </w:pPr>
      <w:r>
        <w:rPr>
          <w:color w:val="000000"/>
          <w:spacing w:val="0"/>
          <w:w w:val="100"/>
          <w:position w:val="0"/>
          <w:sz w:val="18"/>
          <w:szCs w:val="18"/>
        </w:rPr>
        <w:t>2020</w:t>
      </w:r>
      <w:r>
        <w:rPr>
          <w:color w:val="000000"/>
          <w:spacing w:val="0"/>
          <w:w w:val="100"/>
          <w:position w:val="0"/>
        </w:rPr>
        <w:t>年度公司没有募集资金使用情况。</w:t>
      </w:r>
    </w:p>
    <w:p>
      <w:pPr>
        <w:pStyle w:val="Style29"/>
        <w:keepNext w:val="0"/>
        <w:keepLines w:val="0"/>
        <w:widowControl w:val="0"/>
        <w:shd w:val="clear" w:color="auto" w:fill="auto"/>
        <w:tabs>
          <w:tab w:pos="938" w:val="left"/>
        </w:tabs>
        <w:bidi w:val="0"/>
        <w:spacing w:before="0" w:after="0" w:line="321" w:lineRule="exact"/>
        <w:ind w:left="0" w:right="0" w:firstLine="500"/>
        <w:jc w:val="left"/>
      </w:pPr>
      <w:bookmarkStart w:id="544" w:name="bookmark544"/>
      <w:r>
        <w:rPr>
          <w:color w:val="000000"/>
          <w:spacing w:val="0"/>
          <w:w w:val="100"/>
          <w:position w:val="0"/>
          <w:sz w:val="18"/>
          <w:szCs w:val="18"/>
        </w:rPr>
        <w:t>（</w:t>
      </w:r>
      <w:bookmarkEnd w:id="544"/>
      <w:r>
        <w:rPr>
          <w:color w:val="000000"/>
          <w:spacing w:val="0"/>
          <w:w w:val="100"/>
          <w:position w:val="0"/>
          <w:sz w:val="18"/>
          <w:szCs w:val="18"/>
        </w:rPr>
        <w:t>4）</w:t>
        <w:tab/>
      </w:r>
      <w:r>
        <w:rPr>
          <w:color w:val="000000"/>
          <w:spacing w:val="0"/>
          <w:w w:val="100"/>
          <w:position w:val="0"/>
        </w:rPr>
        <w:t>报告期公司收购、出售情况</w:t>
      </w:r>
    </w:p>
    <w:p>
      <w:pPr>
        <w:pStyle w:val="Style29"/>
        <w:keepNext w:val="0"/>
        <w:keepLines w:val="0"/>
        <w:widowControl w:val="0"/>
        <w:shd w:val="clear" w:color="auto" w:fill="auto"/>
        <w:bidi w:val="0"/>
        <w:spacing w:before="0" w:after="0" w:line="321" w:lineRule="exact"/>
        <w:ind w:left="0" w:right="0" w:firstLine="500"/>
        <w:jc w:val="left"/>
      </w:pPr>
      <w:r>
        <w:rPr>
          <w:color w:val="000000"/>
          <w:spacing w:val="0"/>
          <w:w w:val="100"/>
          <w:position w:val="0"/>
          <w:sz w:val="18"/>
          <w:szCs w:val="18"/>
        </w:rPr>
        <w:t>2020</w:t>
      </w:r>
      <w:r>
        <w:rPr>
          <w:color w:val="000000"/>
          <w:spacing w:val="0"/>
          <w:w w:val="100"/>
          <w:position w:val="0"/>
        </w:rPr>
        <w:t>年度公司没有收购、出售情况。</w:t>
      </w:r>
    </w:p>
    <w:p>
      <w:pPr>
        <w:pStyle w:val="Style29"/>
        <w:keepNext w:val="0"/>
        <w:keepLines w:val="0"/>
        <w:widowControl w:val="0"/>
        <w:shd w:val="clear" w:color="auto" w:fill="auto"/>
        <w:tabs>
          <w:tab w:pos="938" w:val="left"/>
        </w:tabs>
        <w:bidi w:val="0"/>
        <w:spacing w:before="0" w:after="0" w:line="321" w:lineRule="exact"/>
        <w:ind w:left="0" w:right="0" w:firstLine="500"/>
        <w:jc w:val="both"/>
      </w:pPr>
      <w:bookmarkStart w:id="545" w:name="bookmark545"/>
      <w:r>
        <w:rPr>
          <w:color w:val="000000"/>
          <w:spacing w:val="0"/>
          <w:w w:val="100"/>
          <w:position w:val="0"/>
          <w:sz w:val="18"/>
          <w:szCs w:val="18"/>
        </w:rPr>
        <w:t>（</w:t>
      </w:r>
      <w:bookmarkEnd w:id="545"/>
      <w:r>
        <w:rPr>
          <w:color w:val="000000"/>
          <w:spacing w:val="0"/>
          <w:w w:val="100"/>
          <w:position w:val="0"/>
          <w:sz w:val="18"/>
          <w:szCs w:val="18"/>
        </w:rPr>
        <w:t>5）</w:t>
        <w:tab/>
      </w:r>
      <w:r>
        <w:rPr>
          <w:color w:val="000000"/>
          <w:spacing w:val="0"/>
          <w:w w:val="100"/>
          <w:position w:val="0"/>
        </w:rPr>
        <w:t>关联交易情况</w:t>
      </w:r>
    </w:p>
    <w:p>
      <w:pPr>
        <w:pStyle w:val="Style29"/>
        <w:keepNext w:val="0"/>
        <w:keepLines w:val="0"/>
        <w:widowControl w:val="0"/>
        <w:shd w:val="clear" w:color="auto" w:fill="auto"/>
        <w:tabs>
          <w:tab w:pos="847" w:val="left"/>
        </w:tabs>
        <w:bidi w:val="0"/>
        <w:spacing w:before="0" w:after="0" w:line="321" w:lineRule="exact"/>
        <w:ind w:left="0" w:right="0" w:firstLine="500"/>
        <w:jc w:val="both"/>
      </w:pPr>
      <w:bookmarkStart w:id="546" w:name="bookmark546"/>
      <w:r>
        <w:rPr>
          <w:color w:val="000000"/>
          <w:spacing w:val="0"/>
          <w:w w:val="100"/>
          <w:position w:val="0"/>
          <w:sz w:val="18"/>
          <w:szCs w:val="18"/>
        </w:rPr>
        <w:t>1</w:t>
      </w:r>
      <w:bookmarkEnd w:id="546"/>
      <w:r>
        <w:rPr>
          <w:color w:val="000000"/>
          <w:spacing w:val="0"/>
          <w:w w:val="100"/>
          <w:position w:val="0"/>
          <w:sz w:val="18"/>
          <w:szCs w:val="18"/>
        </w:rPr>
        <w:t>）</w:t>
        <w:tab/>
      </w:r>
      <w:r>
        <w:rPr>
          <w:color w:val="000000"/>
          <w:spacing w:val="0"/>
          <w:w w:val="100"/>
          <w:position w:val="0"/>
        </w:rPr>
        <w:t>存在控制关系且已纳入本公司合并会计报表范围的子公司，其相互间交易及母子公司交易已作抵销。</w:t>
      </w:r>
    </w:p>
    <w:p>
      <w:pPr>
        <w:pStyle w:val="Style29"/>
        <w:keepNext w:val="0"/>
        <w:keepLines w:val="0"/>
        <w:widowControl w:val="0"/>
        <w:shd w:val="clear" w:color="auto" w:fill="auto"/>
        <w:tabs>
          <w:tab w:pos="857" w:val="left"/>
        </w:tabs>
        <w:bidi w:val="0"/>
        <w:spacing w:before="0" w:after="0" w:line="321" w:lineRule="exact"/>
        <w:ind w:left="0" w:right="0" w:firstLine="500"/>
        <w:jc w:val="both"/>
      </w:pPr>
      <w:bookmarkStart w:id="547" w:name="bookmark547"/>
      <w:r>
        <w:rPr>
          <w:color w:val="000000"/>
          <w:spacing w:val="0"/>
          <w:w w:val="100"/>
          <w:position w:val="0"/>
          <w:sz w:val="18"/>
          <w:szCs w:val="18"/>
        </w:rPr>
        <w:t>2</w:t>
      </w:r>
      <w:bookmarkEnd w:id="547"/>
      <w:r>
        <w:rPr>
          <w:color w:val="000000"/>
          <w:spacing w:val="0"/>
          <w:w w:val="100"/>
          <w:position w:val="0"/>
          <w:sz w:val="18"/>
          <w:szCs w:val="18"/>
        </w:rPr>
        <w:t>）</w:t>
        <w:tab/>
      </w:r>
      <w:r>
        <w:rPr>
          <w:color w:val="000000"/>
          <w:spacing w:val="0"/>
          <w:w w:val="100"/>
          <w:position w:val="0"/>
        </w:rPr>
        <w:t>本年度公司无需要披露的重大关联交易情况。</w:t>
      </w:r>
    </w:p>
    <w:p>
      <w:pPr>
        <w:pStyle w:val="Style29"/>
        <w:keepNext w:val="0"/>
        <w:keepLines w:val="0"/>
        <w:widowControl w:val="0"/>
        <w:shd w:val="clear" w:color="auto" w:fill="auto"/>
        <w:tabs>
          <w:tab w:pos="920" w:val="left"/>
        </w:tabs>
        <w:bidi w:val="0"/>
        <w:spacing w:before="0" w:after="0" w:line="310" w:lineRule="exact"/>
        <w:ind w:left="0" w:right="0" w:firstLine="480"/>
        <w:jc w:val="both"/>
      </w:pPr>
      <w:bookmarkStart w:id="548" w:name="bookmark548"/>
      <w:r>
        <w:rPr>
          <w:color w:val="000000"/>
          <w:spacing w:val="0"/>
          <w:w w:val="100"/>
          <w:position w:val="0"/>
          <w:sz w:val="18"/>
          <w:szCs w:val="18"/>
        </w:rPr>
        <w:t>（</w:t>
      </w:r>
      <w:bookmarkEnd w:id="548"/>
      <w:r>
        <w:rPr>
          <w:color w:val="000000"/>
          <w:spacing w:val="0"/>
          <w:w w:val="100"/>
          <w:position w:val="0"/>
          <w:sz w:val="18"/>
          <w:szCs w:val="18"/>
        </w:rPr>
        <w:t>6）</w:t>
        <w:tab/>
      </w:r>
      <w:r>
        <w:rPr>
          <w:color w:val="000000"/>
          <w:spacing w:val="0"/>
          <w:w w:val="100"/>
          <w:position w:val="0"/>
        </w:rPr>
        <w:t>财务审计报告</w:t>
      </w:r>
    </w:p>
    <w:p>
      <w:pPr>
        <w:pStyle w:val="Style29"/>
        <w:keepNext w:val="0"/>
        <w:keepLines w:val="0"/>
        <w:widowControl w:val="0"/>
        <w:shd w:val="clear" w:color="auto" w:fill="auto"/>
        <w:bidi w:val="0"/>
        <w:spacing w:before="0" w:after="0" w:line="310" w:lineRule="exact"/>
        <w:ind w:left="0" w:right="0" w:firstLine="560"/>
        <w:jc w:val="both"/>
      </w:pPr>
      <w:r>
        <w:rPr>
          <w:color w:val="000000"/>
          <w:spacing w:val="0"/>
          <w:w w:val="100"/>
          <w:position w:val="0"/>
        </w:rPr>
        <w:t>中兴华会计师事务所对公司</w:t>
      </w:r>
      <w:r>
        <w:rPr>
          <w:color w:val="000000"/>
          <w:spacing w:val="0"/>
          <w:w w:val="100"/>
          <w:position w:val="0"/>
          <w:sz w:val="18"/>
          <w:szCs w:val="18"/>
        </w:rPr>
        <w:t>2020</w:t>
      </w:r>
      <w:r>
        <w:rPr>
          <w:color w:val="000000"/>
          <w:spacing w:val="0"/>
          <w:w w:val="100"/>
          <w:position w:val="0"/>
        </w:rPr>
        <w:t>年度财务报告进行了审计，并出具了标准无保留的审计意见。</w:t>
      </w:r>
    </w:p>
    <w:p>
      <w:pPr>
        <w:pStyle w:val="Style29"/>
        <w:keepNext w:val="0"/>
        <w:keepLines w:val="0"/>
        <w:widowControl w:val="0"/>
        <w:shd w:val="clear" w:color="auto" w:fill="auto"/>
        <w:tabs>
          <w:tab w:pos="920" w:val="left"/>
        </w:tabs>
        <w:bidi w:val="0"/>
        <w:spacing w:before="0" w:after="0" w:line="310" w:lineRule="exact"/>
        <w:ind w:left="0" w:right="0" w:firstLine="480"/>
        <w:jc w:val="both"/>
      </w:pPr>
      <w:bookmarkStart w:id="549" w:name="bookmark549"/>
      <w:r>
        <w:rPr>
          <w:color w:val="000000"/>
          <w:spacing w:val="0"/>
          <w:w w:val="100"/>
          <w:position w:val="0"/>
          <w:sz w:val="18"/>
          <w:szCs w:val="18"/>
        </w:rPr>
        <w:t>（</w:t>
      </w:r>
      <w:bookmarkEnd w:id="549"/>
      <w:r>
        <w:rPr>
          <w:color w:val="000000"/>
          <w:spacing w:val="0"/>
          <w:w w:val="100"/>
          <w:position w:val="0"/>
          <w:sz w:val="18"/>
          <w:szCs w:val="18"/>
        </w:rPr>
        <w:t>7）</w:t>
        <w:tab/>
      </w:r>
      <w:r>
        <w:rPr>
          <w:color w:val="000000"/>
          <w:spacing w:val="0"/>
          <w:w w:val="100"/>
          <w:position w:val="0"/>
        </w:rPr>
        <w:t>对内部控制自我评价报告的意见</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监事会对公司</w:t>
      </w:r>
      <w:r>
        <w:rPr>
          <w:color w:val="000000"/>
          <w:spacing w:val="0"/>
          <w:w w:val="100"/>
          <w:position w:val="0"/>
          <w:sz w:val="18"/>
          <w:szCs w:val="18"/>
        </w:rPr>
        <w:t>2020</w:t>
      </w:r>
      <w:r>
        <w:rPr>
          <w:color w:val="000000"/>
          <w:spacing w:val="0"/>
          <w:w w:val="100"/>
          <w:position w:val="0"/>
        </w:rPr>
        <w:t>年度内部控制的自我评价报告发表如下审核意见：公司现已建立了较为完善的内部控制体系，符合国家相 关法律法规的要求以及公司生产经营管理实际需要，并能得到有效执行，该体系的建立对公司经营管理的各个环节起到了较 好的风险防范和控制作用，公司内部控制的自我评价报告真实、客观地反映了公司内部控制制度的建设及运行情况。</w:t>
      </w:r>
    </w:p>
    <w:p>
      <w:pPr>
        <w:pStyle w:val="Style29"/>
        <w:keepNext w:val="0"/>
        <w:keepLines w:val="0"/>
        <w:widowControl w:val="0"/>
        <w:shd w:val="clear" w:color="auto" w:fill="auto"/>
        <w:tabs>
          <w:tab w:pos="1011" w:val="left"/>
        </w:tabs>
        <w:bidi w:val="0"/>
        <w:spacing w:before="0" w:after="0" w:line="310" w:lineRule="exact"/>
        <w:ind w:left="0" w:right="0" w:firstLine="480"/>
        <w:jc w:val="both"/>
      </w:pPr>
      <w:bookmarkStart w:id="550" w:name="bookmark550"/>
      <w:r>
        <w:rPr>
          <w:color w:val="000000"/>
          <w:spacing w:val="0"/>
          <w:w w:val="100"/>
          <w:position w:val="0"/>
        </w:rPr>
        <w:t>（</w:t>
      </w:r>
      <w:bookmarkEnd w:id="550"/>
      <w:r>
        <w:rPr>
          <w:color w:val="000000"/>
          <w:spacing w:val="0"/>
          <w:w w:val="100"/>
          <w:position w:val="0"/>
        </w:rPr>
        <w:t>五）</w:t>
        <w:tab/>
        <w:t>关于绩效评价和激励约束机制</w:t>
      </w:r>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公司逐步完善董事、监事和经理人员的绩效评价标准和激励约束机制，公司经理人员的聘任严格按照《公司法》和《公 司章程》的规定进行，公开、透明，符合法律法规的规定。</w:t>
      </w:r>
    </w:p>
    <w:p>
      <w:pPr>
        <w:pStyle w:val="Style29"/>
        <w:keepNext w:val="0"/>
        <w:keepLines w:val="0"/>
        <w:widowControl w:val="0"/>
        <w:shd w:val="clear" w:color="auto" w:fill="auto"/>
        <w:tabs>
          <w:tab w:pos="1011" w:val="left"/>
        </w:tabs>
        <w:bidi w:val="0"/>
        <w:spacing w:before="0" w:after="0" w:line="310" w:lineRule="exact"/>
        <w:ind w:left="0" w:right="0" w:firstLine="480"/>
        <w:jc w:val="both"/>
      </w:pPr>
      <w:bookmarkStart w:id="551" w:name="bookmark551"/>
      <w:r>
        <w:rPr>
          <w:color w:val="000000"/>
          <w:spacing w:val="0"/>
          <w:w w:val="100"/>
          <w:position w:val="0"/>
        </w:rPr>
        <w:t>（</w:t>
      </w:r>
      <w:bookmarkEnd w:id="551"/>
      <w:r>
        <w:rPr>
          <w:color w:val="000000"/>
          <w:spacing w:val="0"/>
          <w:w w:val="100"/>
          <w:position w:val="0"/>
        </w:rPr>
        <w:t>六）</w:t>
        <w:tab/>
        <w:t>关于相关利益者</w:t>
      </w:r>
    </w:p>
    <w:p>
      <w:pPr>
        <w:pStyle w:val="Style29"/>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公司充分尊重和维护相关利益者的合法权益，实现社会、股东、公司、员工等各方利益的协调平衡，共同推动公司持 续、稳健发展。</w:t>
      </w:r>
    </w:p>
    <w:p>
      <w:pPr>
        <w:pStyle w:val="Style29"/>
        <w:keepNext w:val="0"/>
        <w:keepLines w:val="0"/>
        <w:widowControl w:val="0"/>
        <w:shd w:val="clear" w:color="auto" w:fill="auto"/>
        <w:tabs>
          <w:tab w:pos="1011" w:val="left"/>
        </w:tabs>
        <w:bidi w:val="0"/>
        <w:spacing w:before="0" w:after="0" w:line="310" w:lineRule="exact"/>
        <w:ind w:left="0" w:right="0" w:firstLine="480"/>
        <w:jc w:val="both"/>
      </w:pPr>
      <w:bookmarkStart w:id="552" w:name="bookmark552"/>
      <w:r>
        <w:rPr>
          <w:color w:val="000000"/>
          <w:spacing w:val="0"/>
          <w:w w:val="100"/>
          <w:position w:val="0"/>
        </w:rPr>
        <w:t>（</w:t>
      </w:r>
      <w:bookmarkEnd w:id="552"/>
      <w:r>
        <w:rPr>
          <w:color w:val="000000"/>
          <w:spacing w:val="0"/>
          <w:w w:val="100"/>
          <w:position w:val="0"/>
        </w:rPr>
        <w:t>七）</w:t>
        <w:tab/>
        <w:t>关于信息披露与透明度</w:t>
      </w:r>
    </w:p>
    <w:p>
      <w:pPr>
        <w:pStyle w:val="Style29"/>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公司已指定董事会秘书为公司的投资者关系管理负责人，负责公司信息披露和投资者关系管理，接待股东的来访和咨 询。公司指定《证券时报》、《中国证券报》、《上海证券报》和巨潮网为公司信息披露的报纸和网站，严格按照有关法律法规 的规定和公司制定的《信息披露事务管理制度》真实、准确、完整、及时地披露信息，确保所有股东有公平的机会获得信息。</w:t>
      </w:r>
    </w:p>
    <w:p>
      <w:pPr>
        <w:pStyle w:val="Style27"/>
        <w:keepNext w:val="0"/>
        <w:keepLines w:val="0"/>
        <w:widowControl w:val="0"/>
        <w:shd w:val="clear" w:color="auto" w:fill="auto"/>
        <w:tabs>
          <w:tab w:pos="926" w:val="left"/>
        </w:tabs>
        <w:bidi w:val="0"/>
        <w:spacing w:before="0" w:after="0" w:line="310" w:lineRule="exact"/>
        <w:ind w:left="0" w:right="0" w:firstLine="0"/>
        <w:jc w:val="left"/>
      </w:pPr>
      <w:r>
        <w:rPr>
          <w:color w:val="000000"/>
          <w:spacing w:val="0"/>
          <w:w w:val="100"/>
          <w:position w:val="0"/>
        </w:rPr>
        <w:t>（八）</w:t>
        <w:tab/>
        <w:t>报告期内，公司建立和修订的制度文件</w:t>
      </w:r>
    </w:p>
    <w:tbl>
      <w:tblPr>
        <w:tblOverlap w:val="never"/>
        <w:jc w:val="center"/>
        <w:tblLayout w:type="fixed"/>
      </w:tblPr>
      <w:tblGrid>
        <w:gridCol w:w="1013"/>
        <w:gridCol w:w="1819"/>
        <w:gridCol w:w="2486"/>
        <w:gridCol w:w="1771"/>
        <w:gridCol w:w="1781"/>
      </w:tblGrid>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披露时间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信息披露载体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新建</w:t>
            </w:r>
            <w:r>
              <w:rPr>
                <w:color w:val="000000"/>
                <w:spacing w:val="0"/>
                <w:w w:val="100"/>
                <w:position w:val="0"/>
                <w:sz w:val="20"/>
                <w:szCs w:val="20"/>
              </w:rPr>
              <w:t>/</w:t>
            </w:r>
            <w:r>
              <w:rPr>
                <w:rFonts w:ascii="SimSun" w:eastAsia="SimSun" w:hAnsi="SimSun" w:cs="SimSun"/>
                <w:color w:val="000000"/>
                <w:spacing w:val="0"/>
                <w:w w:val="100"/>
                <w:position w:val="0"/>
                <w:sz w:val="20"/>
                <w:szCs w:val="20"/>
              </w:rPr>
              <w:t>修订</w:t>
            </w:r>
          </w:p>
        </w:tc>
      </w:tr>
      <w:tr>
        <w:trPr>
          <w:trHeight w:val="35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风险投资管理制度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15</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巨潮资讯网</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修订</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公司治理的实际状况与中国证监会发布的有关上市公司治理的规范性文件是否存在重大差异 口是"否</w:t>
      </w:r>
    </w:p>
    <w:p>
      <w:pPr>
        <w:pStyle w:val="Style2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二</w:t>
      </w:r>
      <w:bookmarkEnd w:id="555"/>
      <w:r>
        <w:rPr>
          <w:color w:val="000000"/>
          <w:spacing w:val="0"/>
          <w:w w:val="100"/>
          <w:position w:val="0"/>
          <w:sz w:val="24"/>
          <w:szCs w:val="24"/>
        </w:rPr>
        <w:t>、公司相对于控股股东在业务、人员、资产、机构、财务等方面的独立情况</w:t>
      </w:r>
      <w:bookmarkEnd w:id="553"/>
      <w:bookmarkEnd w:id="554"/>
      <w:bookmarkEnd w:id="556"/>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公司在业务、人员、资产、机构、财务等方面与控股股东相互独立，公司具有独立完整的业务及自主经营能力。</w:t>
      </w:r>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557" w:name="bookmark557"/>
      <w:r>
        <w:rPr>
          <w:color w:val="000000"/>
          <w:spacing w:val="0"/>
          <w:w w:val="100"/>
          <w:position w:val="0"/>
        </w:rPr>
        <w:t>（</w:t>
      </w:r>
      <w:bookmarkEnd w:id="557"/>
      <w:r>
        <w:rPr>
          <w:color w:val="000000"/>
          <w:spacing w:val="0"/>
          <w:w w:val="100"/>
          <w:position w:val="0"/>
        </w:rPr>
        <w:t>一）</w:t>
        <w:tab/>
        <w:t>业务</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公司拥有独立完整的供应、生产和销售系统，独立开展业务，不依赖于股东或其它任何关联方。公司控股股东为自然人，在 业务上与公司之间不存在竞争关系。</w:t>
      </w:r>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558" w:name="bookmark558"/>
      <w:r>
        <w:rPr>
          <w:color w:val="000000"/>
          <w:spacing w:val="0"/>
          <w:w w:val="100"/>
          <w:position w:val="0"/>
        </w:rPr>
        <w:t>（</w:t>
      </w:r>
      <w:bookmarkEnd w:id="558"/>
      <w:r>
        <w:rPr>
          <w:color w:val="000000"/>
          <w:spacing w:val="0"/>
          <w:w w:val="100"/>
          <w:position w:val="0"/>
        </w:rPr>
        <w:t>二）</w:t>
        <w:tab/>
        <w:t>人员</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公司劳动、人事及工资管理完全独立。公司总裁、副总裁、董事会秘书、财务负责人等高级管理人员均在公司工作并领取薪 酬。</w:t>
      </w:r>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559" w:name="bookmark559"/>
      <w:r>
        <w:rPr>
          <w:color w:val="000000"/>
          <w:spacing w:val="0"/>
          <w:w w:val="100"/>
          <w:position w:val="0"/>
        </w:rPr>
        <w:t>（</w:t>
      </w:r>
      <w:bookmarkEnd w:id="559"/>
      <w:r>
        <w:rPr>
          <w:color w:val="000000"/>
          <w:spacing w:val="0"/>
          <w:w w:val="100"/>
          <w:position w:val="0"/>
        </w:rPr>
        <w:t>三）</w:t>
        <w:tab/>
        <w:t>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公司拥有独立于控股股东的生产经营场所，拥有独立完整的资产结构，拥有独立的生产系统、辅助生产系统和配套设施，拥 有独立的土地使用权、房屋产权，拥有独立的采购和销售系统。公司没有以资产、权益或信誉为控股股东的债务提供过担保, 不存在资产、资金被控股股东占用而损害公司其他股东利益的情况。</w:t>
      </w:r>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560" w:name="bookmark560"/>
      <w:r>
        <w:rPr>
          <w:color w:val="000000"/>
          <w:spacing w:val="0"/>
          <w:w w:val="100"/>
          <w:position w:val="0"/>
        </w:rPr>
        <w:t>（</w:t>
      </w:r>
      <w:bookmarkEnd w:id="560"/>
      <w:r>
        <w:rPr>
          <w:color w:val="000000"/>
          <w:spacing w:val="0"/>
          <w:w w:val="100"/>
          <w:position w:val="0"/>
        </w:rPr>
        <w:t>四）</w:t>
        <w:tab/>
        <w:t>机构</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公司设立了健全的组织机构体系，股东大会、董事会、监事会及生产经营管理部门独立运作，并制定了相应的内部管理和控 制制度，与控股股东或其职能部门之间不存在从属关系。</w:t>
      </w:r>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561" w:name="bookmark561"/>
      <w:r>
        <w:rPr>
          <w:color w:val="000000"/>
          <w:spacing w:val="0"/>
          <w:w w:val="100"/>
          <w:position w:val="0"/>
        </w:rPr>
        <w:t>（</w:t>
      </w:r>
      <w:bookmarkEnd w:id="561"/>
      <w:r>
        <w:rPr>
          <w:color w:val="000000"/>
          <w:spacing w:val="0"/>
          <w:w w:val="100"/>
          <w:position w:val="0"/>
        </w:rPr>
        <w:t>五）</w:t>
        <w:tab/>
        <w:t>财务</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公司设立有独立的财务部门，配备了充足的专职财务会计人员，建立了独立的会计核算体系和财务管理制度，开设了独立的 银行账户，独立纳税，独立进行财务决策，不存在控股股东干预本公司资金使用的情况。</w:t>
      </w:r>
      <w:r>
        <w:br w:type="page"/>
      </w:r>
    </w:p>
    <w:p>
      <w:pPr>
        <w:pStyle w:val="Style25"/>
        <w:keepNext/>
        <w:keepLines/>
        <w:widowControl w:val="0"/>
        <w:shd w:val="clear" w:color="auto" w:fill="auto"/>
        <w:bidi w:val="0"/>
        <w:spacing w:before="0" w:after="34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三</w:t>
      </w:r>
      <w:bookmarkEnd w:id="564"/>
      <w:r>
        <w:rPr>
          <w:color w:val="000000"/>
          <w:spacing w:val="0"/>
          <w:w w:val="100"/>
          <w:position w:val="0"/>
          <w:sz w:val="24"/>
          <w:szCs w:val="24"/>
        </w:rPr>
        <w:t>、同业竞争情况</w:t>
      </w:r>
      <w:bookmarkEnd w:id="562"/>
      <w:bookmarkEnd w:id="563"/>
      <w:bookmarkEnd w:id="56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四</w:t>
      </w:r>
      <w:bookmarkEnd w:id="568"/>
      <w:r>
        <w:rPr>
          <w:color w:val="000000"/>
          <w:spacing w:val="0"/>
          <w:w w:val="100"/>
          <w:position w:val="0"/>
          <w:sz w:val="24"/>
          <w:szCs w:val="24"/>
        </w:rPr>
        <w:t>、报告期内召开的年度股东大会和临时股东大会的有关情况</w:t>
      </w:r>
      <w:bookmarkEnd w:id="566"/>
      <w:bookmarkEnd w:id="567"/>
      <w:bookmarkEnd w:id="569"/>
    </w:p>
    <w:p>
      <w:pPr>
        <w:pStyle w:val="Style32"/>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、本报告期股东大会情况</w:t>
      </w:r>
      <w:bookmarkEnd w:id="570"/>
      <w:bookmarkEnd w:id="571"/>
      <w:bookmarkEnd w:id="573"/>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 时股东大会决议 公告</w:t>
            </w:r>
            <w:r>
              <w:rPr>
                <w:rFonts w:ascii="SimSun" w:eastAsia="SimSun" w:hAnsi="SimSun" w:cs="SimSun"/>
                <w:color w:val="000000"/>
                <w:spacing w:val="0"/>
                <w:w w:val="100"/>
                <w:position w:val="0"/>
              </w:rPr>
              <w:t>(</w:t>
            </w:r>
            <w:r>
              <w:rPr>
                <w:color w:val="000000"/>
                <w:spacing w:val="0"/>
                <w:w w:val="100"/>
                <w:position w:val="0"/>
              </w:rPr>
              <w:t>2020-021</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 会决议公告</w:t>
            </w:r>
          </w:p>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2020-025</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 时股东大会决议 公告</w:t>
            </w:r>
            <w:r>
              <w:rPr>
                <w:rFonts w:ascii="SimSun" w:eastAsia="SimSun" w:hAnsi="SimSun" w:cs="SimSun"/>
                <w:color w:val="000000"/>
                <w:spacing w:val="0"/>
                <w:w w:val="100"/>
                <w:position w:val="0"/>
              </w:rPr>
              <w:t>(</w:t>
            </w:r>
            <w:r>
              <w:rPr>
                <w:color w:val="000000"/>
                <w:spacing w:val="0"/>
                <w:w w:val="100"/>
                <w:position w:val="0"/>
              </w:rPr>
              <w:t>2020-040</w:t>
            </w:r>
            <w:r>
              <w:rPr>
                <w:rFonts w:ascii="SimSun" w:eastAsia="SimSun" w:hAnsi="SimSun" w:cs="SimSun"/>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 时股东大会决议 公告</w:t>
            </w:r>
            <w:r>
              <w:rPr>
                <w:rFonts w:ascii="SimSun" w:eastAsia="SimSun" w:hAnsi="SimSun" w:cs="SimSun"/>
                <w:color w:val="000000"/>
                <w:spacing w:val="0"/>
                <w:w w:val="100"/>
                <w:position w:val="0"/>
              </w:rPr>
              <w:t>(</w:t>
            </w:r>
            <w:r>
              <w:rPr>
                <w:color w:val="000000"/>
                <w:spacing w:val="0"/>
                <w:w w:val="100"/>
                <w:position w:val="0"/>
              </w:rPr>
              <w:t>2020-053</w:t>
            </w:r>
            <w:r>
              <w:rPr>
                <w:rFonts w:ascii="SimSun" w:eastAsia="SimSun" w:hAnsi="SimSun" w:cs="SimSu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、表决权恢复的优先股股东请求召开临时股东大会</w:t>
      </w:r>
      <w:bookmarkEnd w:id="574"/>
      <w:bookmarkEnd w:id="575"/>
      <w:bookmarkEnd w:id="57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五</w:t>
      </w:r>
      <w:bookmarkEnd w:id="580"/>
      <w:r>
        <w:rPr>
          <w:color w:val="000000"/>
          <w:spacing w:val="0"/>
          <w:w w:val="100"/>
          <w:position w:val="0"/>
          <w:sz w:val="24"/>
          <w:szCs w:val="24"/>
        </w:rPr>
        <w:t>、报告期内独立董事履行职责的情况</w:t>
      </w:r>
      <w:bookmarkEnd w:id="578"/>
      <w:bookmarkEnd w:id="579"/>
      <w:bookmarkEnd w:id="581"/>
    </w:p>
    <w:p>
      <w:pPr>
        <w:pStyle w:val="Style32"/>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、独立董事出席董事会及股东大会的情况</w:t>
      </w:r>
      <w:bookmarkEnd w:id="582"/>
      <w:bookmarkEnd w:id="583"/>
      <w:bookmarkEnd w:id="585"/>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参加董事会</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出席股东大</w:t>
            </w:r>
          </w:p>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蔡正华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陈雪娇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独立董事对公司有关事项提出异议的情况</w:t>
      </w:r>
      <w:bookmarkEnd w:id="586"/>
      <w:bookmarkEnd w:id="587"/>
      <w:bookmarkEnd w:id="589"/>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口是"否</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3</w:t>
      </w:r>
      <w:bookmarkEnd w:id="592"/>
      <w:r>
        <w:rPr>
          <w:color w:val="000000"/>
          <w:spacing w:val="0"/>
          <w:w w:val="100"/>
          <w:position w:val="0"/>
        </w:rPr>
        <w:t>、</w:t>
        <w:tab/>
        <w:t>独立董事履行职责的其他说明</w:t>
      </w:r>
      <w:bookmarkEnd w:id="590"/>
      <w:bookmarkEnd w:id="591"/>
      <w:bookmarkEnd w:id="59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六</w:t>
      </w:r>
      <w:bookmarkEnd w:id="596"/>
      <w:r>
        <w:rPr>
          <w:color w:val="000000"/>
          <w:spacing w:val="0"/>
          <w:w w:val="100"/>
          <w:position w:val="0"/>
          <w:sz w:val="24"/>
          <w:szCs w:val="24"/>
        </w:rPr>
        <w:t>、董事会下设专门委员会在报告期内履行职责情况</w:t>
      </w:r>
      <w:bookmarkEnd w:id="594"/>
      <w:bookmarkEnd w:id="595"/>
      <w:bookmarkEnd w:id="597"/>
    </w:p>
    <w:p>
      <w:pPr>
        <w:pStyle w:val="Style29"/>
        <w:keepNext w:val="0"/>
        <w:keepLines w:val="0"/>
        <w:widowControl w:val="0"/>
        <w:shd w:val="clear" w:color="auto" w:fill="auto"/>
        <w:tabs>
          <w:tab w:pos="654" w:val="left"/>
        </w:tabs>
        <w:bidi w:val="0"/>
        <w:spacing w:before="0" w:after="0" w:line="314" w:lineRule="exact"/>
        <w:ind w:left="0" w:right="0" w:firstLine="320"/>
        <w:jc w:val="both"/>
      </w:pPr>
      <w:bookmarkStart w:id="598" w:name="bookmark598"/>
      <w:r>
        <w:rPr>
          <w:color w:val="000000"/>
          <w:spacing w:val="0"/>
          <w:w w:val="100"/>
          <w:position w:val="0"/>
          <w:sz w:val="18"/>
          <w:szCs w:val="18"/>
        </w:rPr>
        <w:t>1</w:t>
      </w:r>
      <w:bookmarkEnd w:id="598"/>
      <w:r>
        <w:rPr>
          <w:color w:val="000000"/>
          <w:spacing w:val="0"/>
          <w:w w:val="100"/>
          <w:position w:val="0"/>
        </w:rPr>
        <w:t>、</w:t>
        <w:tab/>
        <w:t>审计委员会</w:t>
      </w:r>
    </w:p>
    <w:p>
      <w:pPr>
        <w:pStyle w:val="Style29"/>
        <w:keepNext w:val="0"/>
        <w:keepLines w:val="0"/>
        <w:widowControl w:val="0"/>
        <w:shd w:val="clear" w:color="auto" w:fill="auto"/>
        <w:tabs>
          <w:tab w:pos="760" w:val="left"/>
        </w:tabs>
        <w:bidi w:val="0"/>
        <w:spacing w:before="0" w:after="0" w:line="314" w:lineRule="exact"/>
        <w:ind w:left="0" w:right="0" w:firstLine="32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1</w:t>
      </w:r>
      <w:r>
        <w:rPr>
          <w:color w:val="000000"/>
          <w:spacing w:val="0"/>
          <w:w w:val="100"/>
          <w:position w:val="0"/>
        </w:rPr>
        <w:t>）</w:t>
        <w:tab/>
        <w:t>会议情况</w:t>
      </w:r>
    </w:p>
    <w:p>
      <w:pPr>
        <w:pStyle w:val="Style2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报告期内，公司董事会审计委员会共召开了</w:t>
      </w:r>
      <w:r>
        <w:rPr>
          <w:color w:val="000000"/>
          <w:spacing w:val="0"/>
          <w:w w:val="100"/>
          <w:position w:val="0"/>
          <w:sz w:val="18"/>
          <w:szCs w:val="18"/>
        </w:rPr>
        <w:t>4</w:t>
      </w:r>
      <w:r>
        <w:rPr>
          <w:color w:val="000000"/>
          <w:spacing w:val="0"/>
          <w:w w:val="100"/>
          <w:position w:val="0"/>
        </w:rPr>
        <w:t>次会议，全体委员均出席了会议。</w:t>
      </w:r>
    </w:p>
    <w:p>
      <w:pPr>
        <w:pStyle w:val="Style29"/>
        <w:keepNext w:val="0"/>
        <w:keepLines w:val="0"/>
        <w:widowControl w:val="0"/>
        <w:shd w:val="clear" w:color="auto" w:fill="auto"/>
        <w:tabs>
          <w:tab w:pos="760" w:val="left"/>
        </w:tabs>
        <w:bidi w:val="0"/>
        <w:spacing w:before="0" w:after="0" w:line="314" w:lineRule="exact"/>
        <w:ind w:left="0" w:right="0" w:firstLine="320"/>
        <w:jc w:val="both"/>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rPr>
        <w:t>2</w:t>
      </w:r>
      <w:r>
        <w:rPr>
          <w:color w:val="000000"/>
          <w:spacing w:val="0"/>
          <w:w w:val="100"/>
          <w:position w:val="0"/>
        </w:rPr>
        <w:t>）</w:t>
        <w:tab/>
        <w:t>履职情况</w:t>
      </w:r>
    </w:p>
    <w:p>
      <w:pPr>
        <w:pStyle w:val="Style29"/>
        <w:keepNext w:val="0"/>
        <w:keepLines w:val="0"/>
        <w:widowControl w:val="0"/>
        <w:numPr>
          <w:ilvl w:val="0"/>
          <w:numId w:val="15"/>
        </w:numPr>
        <w:shd w:val="clear" w:color="auto" w:fill="auto"/>
        <w:tabs>
          <w:tab w:pos="733" w:val="left"/>
        </w:tabs>
        <w:bidi w:val="0"/>
        <w:spacing w:before="0" w:after="0" w:line="314" w:lineRule="exact"/>
        <w:ind w:left="0" w:right="0"/>
        <w:jc w:val="both"/>
      </w:pPr>
      <w:bookmarkStart w:id="601" w:name="bookmark601"/>
      <w:bookmarkEnd w:id="601"/>
      <w:r>
        <w:rPr>
          <w:color w:val="000000"/>
          <w:spacing w:val="0"/>
          <w:w w:val="100"/>
          <w:position w:val="0"/>
        </w:rPr>
        <w:t>对</w:t>
      </w:r>
      <w:r>
        <w:rPr>
          <w:color w:val="000000"/>
          <w:spacing w:val="0"/>
          <w:w w:val="100"/>
          <w:position w:val="0"/>
          <w:sz w:val="18"/>
          <w:szCs w:val="18"/>
        </w:rPr>
        <w:t>2019</w:t>
      </w:r>
      <w:r>
        <w:rPr>
          <w:color w:val="000000"/>
          <w:spacing w:val="0"/>
          <w:w w:val="100"/>
          <w:position w:val="0"/>
        </w:rPr>
        <w:t>年财务报告的稽核</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审计委员会对公司</w:t>
      </w:r>
      <w:r>
        <w:rPr>
          <w:color w:val="000000"/>
          <w:spacing w:val="0"/>
          <w:w w:val="100"/>
          <w:position w:val="0"/>
          <w:sz w:val="18"/>
          <w:szCs w:val="18"/>
        </w:rPr>
        <w:t>2019</w:t>
      </w:r>
      <w:r>
        <w:rPr>
          <w:color w:val="000000"/>
          <w:spacing w:val="0"/>
          <w:w w:val="100"/>
          <w:position w:val="0"/>
        </w:rPr>
        <w:t>年度财务报表进行了审计，出具了审计意见。审计委员会对公司</w:t>
      </w:r>
      <w:r>
        <w:rPr>
          <w:color w:val="000000"/>
          <w:spacing w:val="0"/>
          <w:w w:val="100"/>
          <w:position w:val="0"/>
          <w:sz w:val="18"/>
          <w:szCs w:val="18"/>
        </w:rPr>
        <w:t>2019</w:t>
      </w:r>
      <w:r>
        <w:rPr>
          <w:color w:val="000000"/>
          <w:spacing w:val="0"/>
          <w:w w:val="100"/>
          <w:position w:val="0"/>
        </w:rPr>
        <w:t>年财务报表的审计意见为： 公司财务报表已经按照企业会计准则和《企业会计制度》的规定编制，在所有重大方面公允反映了公司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 务状况以及</w:t>
      </w:r>
      <w:r>
        <w:rPr>
          <w:color w:val="000000"/>
          <w:spacing w:val="0"/>
          <w:w w:val="100"/>
          <w:position w:val="0"/>
          <w:sz w:val="18"/>
          <w:szCs w:val="18"/>
        </w:rPr>
        <w:t>2019</w:t>
      </w:r>
      <w:r>
        <w:rPr>
          <w:color w:val="000000"/>
          <w:spacing w:val="0"/>
          <w:w w:val="100"/>
          <w:position w:val="0"/>
        </w:rPr>
        <w:t>年度的经营成果和现金流量。</w:t>
      </w:r>
    </w:p>
    <w:p>
      <w:pPr>
        <w:pStyle w:val="Style29"/>
        <w:keepNext w:val="0"/>
        <w:keepLines w:val="0"/>
        <w:widowControl w:val="0"/>
        <w:numPr>
          <w:ilvl w:val="0"/>
          <w:numId w:val="15"/>
        </w:numPr>
        <w:shd w:val="clear" w:color="auto" w:fill="auto"/>
        <w:tabs>
          <w:tab w:pos="733" w:val="left"/>
        </w:tabs>
        <w:bidi w:val="0"/>
        <w:spacing w:before="0" w:after="0" w:line="314" w:lineRule="exact"/>
        <w:ind w:left="0" w:right="0"/>
        <w:jc w:val="both"/>
      </w:pPr>
      <w:bookmarkStart w:id="602" w:name="bookmark602"/>
      <w:bookmarkEnd w:id="602"/>
      <w:r>
        <w:rPr>
          <w:color w:val="000000"/>
          <w:spacing w:val="0"/>
          <w:w w:val="100"/>
          <w:position w:val="0"/>
        </w:rPr>
        <w:t>对续聘会计师事务所提出建议，建议继续聘任上会会计师事务所（特殊普通合伙）作为公司</w:t>
      </w:r>
      <w:r>
        <w:rPr>
          <w:color w:val="000000"/>
          <w:spacing w:val="0"/>
          <w:w w:val="100"/>
          <w:position w:val="0"/>
          <w:sz w:val="18"/>
          <w:szCs w:val="18"/>
        </w:rPr>
        <w:t>2020</w:t>
      </w:r>
      <w:r>
        <w:rPr>
          <w:color w:val="000000"/>
          <w:spacing w:val="0"/>
          <w:w w:val="100"/>
          <w:position w:val="0"/>
        </w:rPr>
        <w:t>年度财务审计机构。</w:t>
      </w:r>
    </w:p>
    <w:p>
      <w:pPr>
        <w:pStyle w:val="Style29"/>
        <w:keepNext w:val="0"/>
        <w:keepLines w:val="0"/>
        <w:widowControl w:val="0"/>
        <w:numPr>
          <w:ilvl w:val="0"/>
          <w:numId w:val="15"/>
        </w:numPr>
        <w:shd w:val="clear" w:color="auto" w:fill="auto"/>
        <w:tabs>
          <w:tab w:pos="733" w:val="left"/>
        </w:tabs>
        <w:bidi w:val="0"/>
        <w:spacing w:before="0" w:after="0" w:line="314" w:lineRule="exact"/>
        <w:ind w:left="0" w:right="0"/>
        <w:jc w:val="both"/>
      </w:pPr>
      <w:bookmarkStart w:id="603" w:name="bookmark603"/>
      <w:bookmarkEnd w:id="603"/>
      <w:r>
        <w:rPr>
          <w:color w:val="000000"/>
          <w:spacing w:val="0"/>
          <w:w w:val="100"/>
          <w:position w:val="0"/>
        </w:rPr>
        <w:t>对内部控制的核查</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公司董事会审计委员会对公司</w:t>
      </w:r>
      <w:r>
        <w:rPr>
          <w:color w:val="000000"/>
          <w:spacing w:val="0"/>
          <w:w w:val="100"/>
          <w:position w:val="0"/>
          <w:sz w:val="18"/>
          <w:szCs w:val="18"/>
        </w:rPr>
        <w:t>2019</w:t>
      </w:r>
      <w:r>
        <w:rPr>
          <w:color w:val="000000"/>
          <w:spacing w:val="0"/>
          <w:w w:val="100"/>
          <w:position w:val="0"/>
        </w:rPr>
        <w:t>年度内部控制情况进行了全面检查并出具了《</w:t>
      </w:r>
      <w:r>
        <w:rPr>
          <w:color w:val="000000"/>
          <w:spacing w:val="0"/>
          <w:w w:val="100"/>
          <w:position w:val="0"/>
          <w:sz w:val="18"/>
          <w:szCs w:val="18"/>
        </w:rPr>
        <w:t>2019</w:t>
      </w:r>
      <w:r>
        <w:rPr>
          <w:color w:val="000000"/>
          <w:spacing w:val="0"/>
          <w:w w:val="100"/>
          <w:position w:val="0"/>
        </w:rPr>
        <w:t>年度内部控制自我评价报告》，认 为：公司建立了较为完善的法人治理结构，内部控制体系较为健全，符合相关法律法规和监管部门的要求。公司内部控制制 度能够得到贯彻执行，并在公司经营管理的各个环节和对外投资、关联交易、信息披露等方面发挥较好的管理控制作用，没 有发现公司内部控制存在重大缺陷或重大风险。公司内部控制制度为公司控制和防范经营管理风险、保护投资者合法权益提 供了保障，促进了公司规范运作和健康持续发展，公司内部控制是有效的。</w:t>
      </w:r>
    </w:p>
    <w:p>
      <w:pPr>
        <w:pStyle w:val="Style29"/>
        <w:keepNext w:val="0"/>
        <w:keepLines w:val="0"/>
        <w:widowControl w:val="0"/>
        <w:numPr>
          <w:ilvl w:val="0"/>
          <w:numId w:val="15"/>
        </w:numPr>
        <w:shd w:val="clear" w:color="auto" w:fill="auto"/>
        <w:tabs>
          <w:tab w:pos="670" w:val="left"/>
        </w:tabs>
        <w:bidi w:val="0"/>
        <w:spacing w:before="0" w:after="0" w:line="314" w:lineRule="exact"/>
        <w:ind w:left="0" w:right="0"/>
        <w:jc w:val="both"/>
      </w:pPr>
      <w:bookmarkStart w:id="604" w:name="bookmark604"/>
      <w:bookmarkEnd w:id="604"/>
      <w:r>
        <w:rPr>
          <w:color w:val="000000"/>
          <w:spacing w:val="0"/>
          <w:w w:val="100"/>
          <w:position w:val="0"/>
        </w:rPr>
        <w:t>对变更会计师事务所（特殊普通合伙）提出建议，同意聘任中兴华会计师事务所（特殊普通合伙）为公司</w:t>
      </w:r>
      <w:r>
        <w:rPr>
          <w:color w:val="000000"/>
          <w:spacing w:val="0"/>
          <w:w w:val="100"/>
          <w:position w:val="0"/>
          <w:sz w:val="18"/>
          <w:szCs w:val="18"/>
        </w:rPr>
        <w:t>2020</w:t>
      </w:r>
      <w:r>
        <w:rPr>
          <w:color w:val="000000"/>
          <w:spacing w:val="0"/>
          <w:w w:val="100"/>
          <w:position w:val="0"/>
        </w:rPr>
        <w:t>年度审 计机构，并将《关于变更会计师事务所的议案》提交公司董事会审议。</w:t>
      </w:r>
    </w:p>
    <w:p>
      <w:pPr>
        <w:pStyle w:val="Style29"/>
        <w:keepNext w:val="0"/>
        <w:keepLines w:val="0"/>
        <w:widowControl w:val="0"/>
        <w:shd w:val="clear" w:color="auto" w:fill="auto"/>
        <w:tabs>
          <w:tab w:pos="704" w:val="left"/>
        </w:tabs>
        <w:bidi w:val="0"/>
        <w:spacing w:before="0" w:after="0" w:line="314" w:lineRule="exact"/>
        <w:ind w:left="0" w:right="0"/>
        <w:jc w:val="both"/>
      </w:pPr>
      <w:bookmarkStart w:id="605" w:name="bookmark605"/>
      <w:r>
        <w:rPr>
          <w:color w:val="000000"/>
          <w:spacing w:val="0"/>
          <w:w w:val="100"/>
          <w:position w:val="0"/>
          <w:sz w:val="18"/>
          <w:szCs w:val="18"/>
        </w:rPr>
        <w:t>2</w:t>
      </w:r>
      <w:bookmarkEnd w:id="605"/>
      <w:r>
        <w:rPr>
          <w:color w:val="000000"/>
          <w:spacing w:val="0"/>
          <w:w w:val="100"/>
          <w:position w:val="0"/>
        </w:rPr>
        <w:t>、</w:t>
        <w:tab/>
        <w:t>薪酬与考核委员会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报告期内公司薪酬与考核委员召开了</w:t>
      </w:r>
      <w:r>
        <w:rPr>
          <w:color w:val="000000"/>
          <w:spacing w:val="0"/>
          <w:w w:val="100"/>
          <w:position w:val="0"/>
          <w:sz w:val="18"/>
          <w:szCs w:val="18"/>
        </w:rPr>
        <w:t>1</w:t>
      </w:r>
      <w:r>
        <w:rPr>
          <w:color w:val="000000"/>
          <w:spacing w:val="0"/>
          <w:w w:val="100"/>
          <w:position w:val="0"/>
        </w:rPr>
        <w:t>次会议，全体委员均出席了会议，会议审议通过了公司董事、监事和高级管理人 员</w:t>
      </w:r>
      <w:r>
        <w:rPr>
          <w:color w:val="000000"/>
          <w:spacing w:val="0"/>
          <w:w w:val="100"/>
          <w:position w:val="0"/>
          <w:sz w:val="18"/>
          <w:szCs w:val="18"/>
        </w:rPr>
        <w:t>2019</w:t>
      </w:r>
      <w:r>
        <w:rPr>
          <w:color w:val="000000"/>
          <w:spacing w:val="0"/>
          <w:w w:val="100"/>
          <w:position w:val="0"/>
        </w:rPr>
        <w:t>年度的薪酬，绩效考核数据真实。</w:t>
      </w:r>
    </w:p>
    <w:p>
      <w:pPr>
        <w:pStyle w:val="Style29"/>
        <w:keepNext w:val="0"/>
        <w:keepLines w:val="0"/>
        <w:widowControl w:val="0"/>
        <w:shd w:val="clear" w:color="auto" w:fill="auto"/>
        <w:tabs>
          <w:tab w:pos="704" w:val="left"/>
        </w:tabs>
        <w:bidi w:val="0"/>
        <w:spacing w:before="0" w:after="0" w:line="314" w:lineRule="exact"/>
        <w:ind w:left="0" w:right="0"/>
        <w:jc w:val="both"/>
      </w:pPr>
      <w:bookmarkStart w:id="606" w:name="bookmark606"/>
      <w:r>
        <w:rPr>
          <w:color w:val="000000"/>
          <w:spacing w:val="0"/>
          <w:w w:val="100"/>
          <w:position w:val="0"/>
          <w:sz w:val="18"/>
          <w:szCs w:val="18"/>
        </w:rPr>
        <w:t>3</w:t>
      </w:r>
      <w:bookmarkEnd w:id="606"/>
      <w:r>
        <w:rPr>
          <w:color w:val="000000"/>
          <w:spacing w:val="0"/>
          <w:w w:val="100"/>
          <w:position w:val="0"/>
        </w:rPr>
        <w:t>、</w:t>
        <w:tab/>
        <w:t>战略发展委员会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报告期内公司战略发展委员会召开了</w:t>
      </w:r>
      <w:r>
        <w:rPr>
          <w:color w:val="000000"/>
          <w:spacing w:val="0"/>
          <w:w w:val="100"/>
          <w:position w:val="0"/>
          <w:sz w:val="18"/>
          <w:szCs w:val="18"/>
        </w:rPr>
        <w:t>3</w:t>
      </w:r>
      <w:r>
        <w:rPr>
          <w:color w:val="000000"/>
          <w:spacing w:val="0"/>
          <w:w w:val="100"/>
          <w:position w:val="0"/>
        </w:rPr>
        <w:t>次会议，全体委员均出席了会议，会议通过了公司组织机构调整的方案。公司战 略发展委员会认为：公司组织机构的调整是适合公司的发展，符合公司的发展战略的。</w:t>
      </w:r>
    </w:p>
    <w:p>
      <w:pPr>
        <w:pStyle w:val="Style29"/>
        <w:keepNext w:val="0"/>
        <w:keepLines w:val="0"/>
        <w:widowControl w:val="0"/>
        <w:shd w:val="clear" w:color="auto" w:fill="auto"/>
        <w:tabs>
          <w:tab w:pos="709" w:val="left"/>
        </w:tabs>
        <w:bidi w:val="0"/>
        <w:spacing w:before="0" w:after="0" w:line="314" w:lineRule="exact"/>
        <w:ind w:left="0" w:right="0"/>
        <w:jc w:val="both"/>
      </w:pPr>
      <w:bookmarkStart w:id="607" w:name="bookmark607"/>
      <w:r>
        <w:rPr>
          <w:color w:val="000000"/>
          <w:spacing w:val="0"/>
          <w:w w:val="100"/>
          <w:position w:val="0"/>
          <w:sz w:val="18"/>
          <w:szCs w:val="18"/>
        </w:rPr>
        <w:t>4</w:t>
      </w:r>
      <w:bookmarkEnd w:id="607"/>
      <w:r>
        <w:rPr>
          <w:color w:val="000000"/>
          <w:spacing w:val="0"/>
          <w:w w:val="100"/>
          <w:position w:val="0"/>
        </w:rPr>
        <w:t>、</w:t>
        <w:tab/>
        <w:t>提名委员会</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报告期内提名委员会共召开了一次会议，全体成员均出席了会议，会议通过口头表决的方式，通过了提名胡兆凤女士为 公司总裁。</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七</w:t>
      </w:r>
      <w:bookmarkEnd w:id="610"/>
      <w:r>
        <w:rPr>
          <w:color w:val="000000"/>
          <w:spacing w:val="0"/>
          <w:w w:val="100"/>
          <w:position w:val="0"/>
          <w:sz w:val="24"/>
          <w:szCs w:val="24"/>
        </w:rPr>
        <w:t>、</w:t>
        <w:tab/>
        <w:t>监事会工作情况</w:t>
      </w:r>
      <w:bookmarkEnd w:id="608"/>
      <w:bookmarkEnd w:id="609"/>
      <w:bookmarkEnd w:id="611"/>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八</w:t>
      </w:r>
      <w:bookmarkEnd w:id="614"/>
      <w:r>
        <w:rPr>
          <w:color w:val="000000"/>
          <w:spacing w:val="0"/>
          <w:w w:val="100"/>
          <w:position w:val="0"/>
          <w:sz w:val="24"/>
          <w:szCs w:val="24"/>
        </w:rPr>
        <w:t>、</w:t>
        <w:tab/>
        <w:t>高级管理人员的考评及激励情况</w:t>
      </w:r>
      <w:bookmarkEnd w:id="612"/>
      <w:bookmarkEnd w:id="613"/>
      <w:bookmarkEnd w:id="615"/>
    </w:p>
    <w:p>
      <w:pPr>
        <w:pStyle w:val="Style29"/>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公司建立和完善了高级管理人员的绩效考评体系。公司高级管理人员实行薪酬与工作绩效直接挂钩的考评机制，通过对 公司高级管理人员签订的目标责任状的完成情况进行年终工作绩效考评，根据考评结果决定其报酬和奖励。</w:t>
      </w:r>
    </w:p>
    <w:p>
      <w:pPr>
        <w:pStyle w:val="Style25"/>
        <w:keepNext/>
        <w:keepLines/>
        <w:widowControl w:val="0"/>
        <w:shd w:val="clear" w:color="auto" w:fill="auto"/>
        <w:tabs>
          <w:tab w:pos="522" w:val="left"/>
        </w:tabs>
        <w:bidi w:val="0"/>
        <w:spacing w:before="0" w:after="34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九</w:t>
      </w:r>
      <w:bookmarkEnd w:id="618"/>
      <w:r>
        <w:rPr>
          <w:color w:val="000000"/>
          <w:spacing w:val="0"/>
          <w:w w:val="100"/>
          <w:position w:val="0"/>
          <w:sz w:val="24"/>
          <w:szCs w:val="24"/>
        </w:rPr>
        <w:t>、</w:t>
        <w:tab/>
        <w:t>内部控制评价报告</w:t>
      </w:r>
      <w:bookmarkEnd w:id="616"/>
      <w:bookmarkEnd w:id="617"/>
      <w:bookmarkEnd w:id="619"/>
    </w:p>
    <w:p>
      <w:pPr>
        <w:pStyle w:val="Style32"/>
        <w:keepNext/>
        <w:keepLines/>
        <w:widowControl w:val="0"/>
        <w:shd w:val="clear" w:color="auto" w:fill="auto"/>
        <w:bidi w:val="0"/>
        <w:spacing w:before="0" w:after="2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、报告期内发现的内部控制重大缺陷的具体情况</w:t>
      </w:r>
      <w:bookmarkEnd w:id="620"/>
      <w:bookmarkEnd w:id="621"/>
      <w:bookmarkEnd w:id="623"/>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、内控自我评价报告</w:t>
      </w:r>
      <w:bookmarkEnd w:id="624"/>
      <w:bookmarkEnd w:id="625"/>
      <w:bookmarkEnd w:id="627"/>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《证券时报》、《中国证券报》、《上海证券报》和网站巨潮网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 xml:space="preserve">http://www. </w:t>
            </w:r>
            <w:r>
              <w:rPr>
                <w:color w:val="000000"/>
                <w:spacing w:val="0"/>
                <w:w w:val="100"/>
                <w:position w:val="0"/>
              </w:rPr>
              <w:t>cninfo.com.cn</w:t>
            </w:r>
            <w:r>
              <w:rPr>
                <w:rFonts w:ascii="SimSun" w:eastAsia="SimSun" w:hAnsi="SimSun" w:cs="SimSu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纳入评价范围单位资产总额占公司合</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纳入评价范围单位营业收入占公司合</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10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)财务报告重大缺陷的迹象包括：① 公司高级管理人员舞弊；②公司更正已 公布的财务报告；③注册会计师发现当 期财务报告存在重大错报，而内部控制 在运行过程中未能发现该错报；④公司 对内部控制的监督无效。(</w:t>
            </w:r>
            <w:r>
              <w:rPr>
                <w:color w:val="000000"/>
                <w:spacing w:val="0"/>
                <w:w w:val="100"/>
                <w:position w:val="0"/>
              </w:rPr>
              <w:t>2</w:t>
            </w:r>
            <w:r>
              <w:rPr>
                <w:rFonts w:ascii="SimSun" w:eastAsia="SimSun" w:hAnsi="SimSun" w:cs="SimSun"/>
                <w:color w:val="000000"/>
                <w:spacing w:val="0"/>
                <w:w w:val="100"/>
                <w:position w:val="0"/>
              </w:rPr>
              <w:t>)财务报告 重要缺陷的迹象包括</w:t>
            </w:r>
            <w:r>
              <w:rPr>
                <w:color w:val="000000"/>
                <w:spacing w:val="0"/>
                <w:w w:val="100"/>
                <w:position w:val="0"/>
              </w:rPr>
              <w:t>:</w:t>
            </w:r>
            <w:r>
              <w:rPr>
                <w:rFonts w:ascii="SimSun" w:eastAsia="SimSun" w:hAnsi="SimSun" w:cs="SimSun"/>
                <w:color w:val="000000"/>
                <w:spacing w:val="0"/>
                <w:w w:val="100"/>
                <w:position w:val="0"/>
              </w:rPr>
              <w:t>①未依照公认会 计准则选择和应用会计政策、未建立反 舞弊程序和控制措施；②对于非常规或 特殊交易的账务处理没有建立相应的控 制机制或没有实施且没有相应的补偿性 控制；③对于期末财务报告过程的控制 存在一项或多项缺陷且不能合理保证编</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 效果、或显著加大效果的不确定性、 或使之显著偏离预期目标为重要缺 陷；如果缺陷发生的可能性高，会严 重降低工作效率或效果、或严重加大 效果的不确定性、或使之严重偏离预 期目标为重大缺陷；另外，以下迹象</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制的财务报表达到真实、准确的目标。</w:t>
            </w:r>
          </w:p>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）财务报告一般缺陷是指除上述重大 缺陷、重要缺陷之外的其他控制缺陷。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通常表明非财务报告内部控制可能 存在重大缺陷：（</w:t>
            </w:r>
            <w:r>
              <w:rPr>
                <w:color w:val="000000"/>
                <w:spacing w:val="0"/>
                <w:w w:val="100"/>
                <w:position w:val="0"/>
              </w:rPr>
              <w:t>1</w:t>
            </w:r>
            <w:r>
              <w:rPr>
                <w:rFonts w:ascii="SimSun" w:eastAsia="SimSun" w:hAnsi="SimSun" w:cs="SimSun"/>
                <w:color w:val="000000"/>
                <w:spacing w:val="0"/>
                <w:w w:val="100"/>
                <w:position w:val="0"/>
              </w:rPr>
              <w:t>）公司决策程序不 科学，如决策失误，导致企业并购后 未能达到预期目标；（</w:t>
            </w:r>
            <w:r>
              <w:rPr>
                <w:color w:val="000000"/>
                <w:spacing w:val="0"/>
                <w:w w:val="100"/>
                <w:position w:val="0"/>
              </w:rPr>
              <w:t>2</w:t>
            </w:r>
            <w:r>
              <w:rPr>
                <w:rFonts w:ascii="SimSun" w:eastAsia="SimSun" w:hAnsi="SimSun" w:cs="SimSun"/>
                <w:color w:val="000000"/>
                <w:spacing w:val="0"/>
                <w:w w:val="100"/>
                <w:position w:val="0"/>
              </w:rPr>
              <w:t>）违犯国家法 律、法规，如产品质量不合格；（</w:t>
            </w:r>
            <w:r>
              <w:rPr>
                <w:color w:val="000000"/>
                <w:spacing w:val="0"/>
                <w:w w:val="100"/>
                <w:position w:val="0"/>
              </w:rPr>
              <w:t>3</w:t>
            </w:r>
            <w:r>
              <w:rPr>
                <w:rFonts w:ascii="SimSun" w:eastAsia="SimSun" w:hAnsi="SimSun" w:cs="SimSun"/>
                <w:color w:val="000000"/>
                <w:spacing w:val="0"/>
                <w:w w:val="100"/>
                <w:position w:val="0"/>
              </w:rPr>
              <w:t>） 管理人员或关键技术人员纷纷流失；</w:t>
            </w:r>
          </w:p>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）媒体负面新闻频现；（</w:t>
            </w:r>
            <w:r>
              <w:rPr>
                <w:color w:val="000000"/>
                <w:spacing w:val="0"/>
                <w:w w:val="100"/>
                <w:position w:val="0"/>
              </w:rPr>
              <w:t>5</w:t>
            </w:r>
            <w:r>
              <w:rPr>
                <w:rFonts w:ascii="SimSun" w:eastAsia="SimSun" w:hAnsi="SimSun" w:cs="SimSun"/>
                <w:color w:val="000000"/>
                <w:spacing w:val="0"/>
                <w:w w:val="100"/>
                <w:position w:val="0"/>
              </w:rPr>
              <w:t>）内部 控制评价的结果特别是重大或重要 缺陷未得到整改；（</w:t>
            </w:r>
            <w:r>
              <w:rPr>
                <w:color w:val="000000"/>
                <w:spacing w:val="0"/>
                <w:w w:val="100"/>
                <w:position w:val="0"/>
              </w:rPr>
              <w:t>6</w:t>
            </w:r>
            <w:r>
              <w:rPr>
                <w:rFonts w:ascii="SimSun" w:eastAsia="SimSun" w:hAnsi="SimSun" w:cs="SimSun"/>
                <w:color w:val="000000"/>
                <w:spacing w:val="0"/>
                <w:w w:val="100"/>
                <w:position w:val="0"/>
              </w:rPr>
              <w:t>）重要业务缺乏 制度控制或制度系统性失效。</w:t>
            </w:r>
          </w:p>
        </w:tc>
      </w:tr>
      <w:tr>
        <w:trPr>
          <w:trHeight w:val="445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将财务报告内部控制的缺陷划分为重大 缺陷、重要缺陷和一般缺陷。重大缺陷： 错报</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；重要缺陷：利润 总额的</w:t>
            </w:r>
            <w:r>
              <w:rPr>
                <w:color w:val="000000"/>
                <w:spacing w:val="0"/>
                <w:w w:val="100"/>
                <w:position w:val="0"/>
              </w:rPr>
              <w:t>3%</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错报〈利润总额的</w:t>
            </w:r>
            <w:r>
              <w:rPr>
                <w:color w:val="000000"/>
                <w:spacing w:val="0"/>
                <w:w w:val="100"/>
                <w:position w:val="0"/>
              </w:rPr>
              <w:t>5%</w:t>
            </w:r>
            <w:r>
              <w:rPr>
                <w:rFonts w:ascii="SimSun" w:eastAsia="SimSun" w:hAnsi="SimSun" w:cs="SimSun"/>
                <w:color w:val="000000"/>
                <w:spacing w:val="0"/>
                <w:w w:val="100"/>
                <w:position w:val="0"/>
              </w:rPr>
              <w:t>； 一 般缺陷错报〈利润总额的</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根据对内部控制目标实现影响程度， 非财务报告内部控制缺陷分为一般 缺陷、重要缺陷和重大缺陷。一般缺 陷：资产总额存在错报，错报金额 〈资产总额</w:t>
            </w:r>
            <w:r>
              <w:rPr>
                <w:color w:val="000000"/>
                <w:spacing w:val="0"/>
                <w:w w:val="100"/>
                <w:position w:val="0"/>
              </w:rPr>
              <w:t>0.5%</w:t>
            </w:r>
            <w:r>
              <w:rPr>
                <w:rFonts w:ascii="SimSun" w:eastAsia="SimSun" w:hAnsi="SimSun" w:cs="SimSun"/>
                <w:color w:val="000000"/>
                <w:spacing w:val="0"/>
                <w:w w:val="100"/>
                <w:position w:val="0"/>
              </w:rPr>
              <w:t>，营业收入存在错 报，错报金额〈营业收入总额</w:t>
            </w:r>
            <w:r>
              <w:rPr>
                <w:color w:val="000000"/>
                <w:spacing w:val="0"/>
                <w:w w:val="100"/>
                <w:position w:val="0"/>
              </w:rPr>
              <w:t>0.5%</w:t>
            </w:r>
            <w:r>
              <w:rPr>
                <w:rFonts w:ascii="SimSun" w:eastAsia="SimSun" w:hAnsi="SimSun" w:cs="SimSun"/>
                <w:color w:val="000000"/>
                <w:spacing w:val="0"/>
                <w:w w:val="100"/>
                <w:position w:val="0"/>
              </w:rPr>
              <w:t>； 重要缺陷：资产总额存在错报，资产 总额</w:t>
            </w:r>
            <w:r>
              <w:rPr>
                <w:color w:val="000000"/>
                <w:spacing w:val="0"/>
                <w:w w:val="100"/>
                <w:position w:val="0"/>
              </w:rPr>
              <w:t xml:space="preserve">0.5% </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 xml:space="preserve">错报金额〈资产总额 </w:t>
            </w:r>
            <w:r>
              <w:rPr>
                <w:color w:val="000000"/>
                <w:spacing w:val="0"/>
                <w:w w:val="100"/>
                <w:position w:val="0"/>
              </w:rPr>
              <w:t xml:space="preserve">1% </w:t>
            </w:r>
            <w:r>
              <w:rPr>
                <w:rFonts w:ascii="SimSun" w:eastAsia="SimSun" w:hAnsi="SimSun" w:cs="SimSun"/>
                <w:color w:val="000000"/>
                <w:spacing w:val="0"/>
                <w:w w:val="100"/>
                <w:position w:val="0"/>
              </w:rPr>
              <w:t>，营业收入存在错报，营业收入 总额</w:t>
            </w:r>
            <w:r>
              <w:rPr>
                <w:color w:val="000000"/>
                <w:spacing w:val="0"/>
                <w:w w:val="100"/>
                <w:position w:val="0"/>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错报金额〈营业收入总 额</w:t>
            </w:r>
            <w:r>
              <w:rPr>
                <w:color w:val="000000"/>
                <w:spacing w:val="0"/>
                <w:w w:val="100"/>
                <w:position w:val="0"/>
              </w:rPr>
              <w:t>1%</w:t>
            </w:r>
            <w:r>
              <w:rPr>
                <w:rFonts w:ascii="SimSun" w:eastAsia="SimSun" w:hAnsi="SimSun" w:cs="SimSun"/>
                <w:color w:val="000000"/>
                <w:spacing w:val="0"/>
                <w:w w:val="100"/>
                <w:position w:val="0"/>
              </w:rPr>
              <w:t>；重大缺陷：资产总额存在错 报，错报金额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资产总额</w:t>
            </w:r>
            <w:r>
              <w:rPr>
                <w:color w:val="000000"/>
                <w:spacing w:val="0"/>
                <w:w w:val="100"/>
                <w:position w:val="0"/>
              </w:rPr>
              <w:t>1%</w:t>
            </w:r>
            <w:r>
              <w:rPr>
                <w:rFonts w:ascii="SimSun" w:eastAsia="SimSun" w:hAnsi="SimSun" w:cs="SimSun"/>
                <w:color w:val="000000"/>
                <w:spacing w:val="0"/>
                <w:w w:val="100"/>
                <w:position w:val="0"/>
              </w:rPr>
              <w:t>，营 业收入存在错报，错报金额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营业收 入总额</w:t>
            </w:r>
            <w:r>
              <w:rPr>
                <w:color w:val="000000"/>
                <w:spacing w:val="0"/>
                <w:w w:val="100"/>
                <w:position w:val="0"/>
              </w:rPr>
              <w:t>1%</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r>
        <w:rPr>
          <w:color w:val="000000"/>
          <w:spacing w:val="0"/>
          <w:w w:val="100"/>
          <w:position w:val="0"/>
          <w:sz w:val="24"/>
          <w:szCs w:val="24"/>
        </w:rPr>
        <w:t>十、内部控制审计报告或鉴证报告</w:t>
      </w:r>
      <w:bookmarkEnd w:id="628"/>
      <w:bookmarkEnd w:id="629"/>
      <w:bookmarkEnd w:id="630"/>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54" w:bottom="1585" w:left="1073"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420" w:line="240" w:lineRule="auto"/>
        <w:ind w:left="0" w:right="0" w:firstLine="0"/>
        <w:jc w:val="center"/>
      </w:pPr>
      <w:bookmarkStart w:id="631" w:name="bookmark631"/>
      <w:bookmarkStart w:id="632" w:name="bookmark632"/>
      <w:bookmarkStart w:id="633" w:name="bookmark633"/>
      <w:r>
        <w:rPr>
          <w:color w:val="000000"/>
          <w:spacing w:val="0"/>
          <w:w w:val="100"/>
          <w:position w:val="0"/>
        </w:rPr>
        <w:t>第十一节公司债券相关情况</w:t>
      </w:r>
      <w:bookmarkEnd w:id="631"/>
      <w:bookmarkEnd w:id="632"/>
      <w:bookmarkEnd w:id="633"/>
    </w:p>
    <w:p>
      <w:pPr>
        <w:pStyle w:val="Style29"/>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21" w:right="1202" w:bottom="1921" w:left="111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4"/>
        <w:keepNext/>
        <w:keepLines/>
        <w:widowControl w:val="0"/>
        <w:shd w:val="clear" w:color="auto" w:fill="auto"/>
        <w:bidi w:val="0"/>
        <w:spacing w:before="560" w:line="240" w:lineRule="auto"/>
        <w:ind w:left="0" w:right="0" w:firstLine="0"/>
        <w:jc w:val="center"/>
      </w:pPr>
      <w:bookmarkStart w:id="634" w:name="bookmark634"/>
      <w:bookmarkStart w:id="635" w:name="bookmark635"/>
      <w:bookmarkStart w:id="636" w:name="bookmark636"/>
      <w:r>
        <w:rPr>
          <w:color w:val="000000"/>
          <w:spacing w:val="0"/>
          <w:w w:val="100"/>
          <w:position w:val="0"/>
        </w:rPr>
        <w:t>第十二节财务报告</w:t>
      </w:r>
      <w:bookmarkEnd w:id="634"/>
      <w:bookmarkEnd w:id="635"/>
      <w:bookmarkEnd w:id="636"/>
    </w:p>
    <w:p>
      <w:pPr>
        <w:pStyle w:val="Style25"/>
        <w:keepNext/>
        <w:keepLines/>
        <w:widowControl w:val="0"/>
        <w:shd w:val="clear" w:color="auto" w:fill="auto"/>
        <w:bidi w:val="0"/>
        <w:spacing w:before="0" w:after="300" w:line="240" w:lineRule="auto"/>
        <w:ind w:left="0" w:right="0" w:firstLine="260"/>
        <w:jc w:val="left"/>
      </w:pPr>
      <w:bookmarkStart w:id="637" w:name="bookmark637"/>
      <w:bookmarkStart w:id="638" w:name="bookmark638"/>
      <w:bookmarkStart w:id="639" w:name="bookmark639"/>
      <w:r>
        <w:rPr>
          <w:color w:val="000000"/>
          <w:spacing w:val="0"/>
          <w:w w:val="100"/>
          <w:position w:val="0"/>
          <w:sz w:val="24"/>
          <w:szCs w:val="24"/>
        </w:rPr>
        <w:t>、审计报告</w:t>
      </w:r>
      <w:bookmarkEnd w:id="637"/>
      <w:bookmarkEnd w:id="638"/>
      <w:bookmarkEnd w:id="63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020944</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胡海萌汪军</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39" w:line="1" w:lineRule="exact"/>
      </w:pPr>
    </w:p>
    <w:p>
      <w:pPr>
        <w:pStyle w:val="Style29"/>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恒宝股份有限公司全体股东：</w:t>
      </w:r>
    </w:p>
    <w:p>
      <w:pPr>
        <w:pStyle w:val="Style29"/>
        <w:keepNext w:val="0"/>
        <w:keepLines w:val="0"/>
        <w:widowControl w:val="0"/>
        <w:shd w:val="clear" w:color="auto" w:fill="auto"/>
        <w:tabs>
          <w:tab w:pos="820" w:val="left"/>
        </w:tabs>
        <w:bidi w:val="0"/>
        <w:spacing w:before="0" w:line="312" w:lineRule="exact"/>
        <w:ind w:left="0" w:right="0" w:firstLine="380"/>
        <w:jc w:val="left"/>
      </w:pPr>
      <w:bookmarkStart w:id="640" w:name="bookmark640"/>
      <w:r>
        <w:rPr>
          <w:b/>
          <w:bCs/>
          <w:color w:val="000000"/>
          <w:spacing w:val="0"/>
          <w:w w:val="100"/>
          <w:position w:val="0"/>
        </w:rPr>
        <w:t>一</w:t>
      </w:r>
      <w:bookmarkEnd w:id="640"/>
      <w:r>
        <w:rPr>
          <w:b/>
          <w:bCs/>
          <w:color w:val="000000"/>
          <w:spacing w:val="0"/>
          <w:w w:val="100"/>
          <w:position w:val="0"/>
        </w:rPr>
        <w:t>、</w:t>
        <w:tab/>
        <w:t>审计意见</w:t>
      </w:r>
    </w:p>
    <w:p>
      <w:pPr>
        <w:pStyle w:val="Style29"/>
        <w:keepNext w:val="0"/>
        <w:keepLines w:val="0"/>
        <w:widowControl w:val="0"/>
        <w:shd w:val="clear" w:color="auto" w:fill="auto"/>
        <w:bidi w:val="0"/>
        <w:spacing w:before="0" w:line="312" w:lineRule="exact"/>
        <w:ind w:left="0" w:right="0" w:firstLine="400"/>
        <w:jc w:val="both"/>
      </w:pPr>
      <w:r>
        <w:rPr>
          <w:color w:val="000000"/>
          <w:spacing w:val="0"/>
          <w:w w:val="100"/>
          <w:position w:val="0"/>
        </w:rPr>
        <w:t>我们审计了恒宝股份有限公司（以下简称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恒宝股份</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年度的合并及母公司利润表、合并及母公司现金流量表、合并及母公司股东权益变动表以及相关财务报表附注。</w:t>
      </w:r>
    </w:p>
    <w:p>
      <w:pPr>
        <w:pStyle w:val="Style29"/>
        <w:keepNext w:val="0"/>
        <w:keepLines w:val="0"/>
        <w:widowControl w:val="0"/>
        <w:shd w:val="clear" w:color="auto" w:fill="auto"/>
        <w:bidi w:val="0"/>
        <w:spacing w:before="0" w:after="140" w:line="307" w:lineRule="exact"/>
        <w:ind w:left="0" w:right="0" w:firstLine="400"/>
        <w:jc w:val="both"/>
      </w:pPr>
      <w:r>
        <w:rPr>
          <w:color w:val="000000"/>
          <w:spacing w:val="0"/>
          <w:w w:val="100"/>
          <w:position w:val="0"/>
        </w:rPr>
        <w:t>我们认为，后附的财务报表在所有重大方面按照企业会计准则的规定编制，公允反映了恒宝股份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 母公司的财务状况以及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年度合并及母公司的经营成果和现金流量。</w:t>
      </w:r>
    </w:p>
    <w:p>
      <w:pPr>
        <w:pStyle w:val="Style29"/>
        <w:keepNext w:val="0"/>
        <w:keepLines w:val="0"/>
        <w:widowControl w:val="0"/>
        <w:shd w:val="clear" w:color="auto" w:fill="auto"/>
        <w:tabs>
          <w:tab w:pos="820" w:val="left"/>
        </w:tabs>
        <w:bidi w:val="0"/>
        <w:spacing w:before="0" w:line="312" w:lineRule="exact"/>
        <w:ind w:left="0" w:right="0" w:firstLine="380"/>
        <w:jc w:val="left"/>
      </w:pPr>
      <w:bookmarkStart w:id="641" w:name="bookmark641"/>
      <w:r>
        <w:rPr>
          <w:b/>
          <w:bCs/>
          <w:color w:val="000000"/>
          <w:spacing w:val="0"/>
          <w:w w:val="100"/>
          <w:position w:val="0"/>
        </w:rPr>
        <w:t>二</w:t>
      </w:r>
      <w:bookmarkEnd w:id="641"/>
      <w:r>
        <w:rPr>
          <w:b/>
          <w:bCs/>
          <w:color w:val="000000"/>
          <w:spacing w:val="0"/>
          <w:w w:val="100"/>
          <w:position w:val="0"/>
        </w:rPr>
        <w:t>、</w:t>
        <w:tab/>
        <w:t>形成审计意见的基础</w:t>
      </w:r>
    </w:p>
    <w:p>
      <w:pPr>
        <w:pStyle w:val="Style29"/>
        <w:keepNext w:val="0"/>
        <w:keepLines w:val="0"/>
        <w:widowControl w:val="0"/>
        <w:shd w:val="clear" w:color="auto" w:fill="auto"/>
        <w:bidi w:val="0"/>
        <w:spacing w:before="0" w:after="140" w:line="312" w:lineRule="exact"/>
        <w:ind w:left="0" w:right="0" w:firstLine="4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阐述了我们在这些准则下的责任。按照中国注册会计师职业道德守则，我们独立于恒宝股份，并履行了职业道德方面的其他 责任。我们相信，我们获取的审计证据是充分、适当的，为发表审计意见提供了基础。</w:t>
      </w:r>
    </w:p>
    <w:p>
      <w:pPr>
        <w:pStyle w:val="Style29"/>
        <w:keepNext w:val="0"/>
        <w:keepLines w:val="0"/>
        <w:widowControl w:val="0"/>
        <w:shd w:val="clear" w:color="auto" w:fill="auto"/>
        <w:tabs>
          <w:tab w:pos="820" w:val="left"/>
        </w:tabs>
        <w:bidi w:val="0"/>
        <w:spacing w:before="0" w:line="312" w:lineRule="exact"/>
        <w:ind w:left="0" w:right="0" w:firstLine="380"/>
        <w:jc w:val="left"/>
      </w:pPr>
      <w:bookmarkStart w:id="642" w:name="bookmark642"/>
      <w:r>
        <w:rPr>
          <w:b/>
          <w:bCs/>
          <w:color w:val="000000"/>
          <w:spacing w:val="0"/>
          <w:w w:val="100"/>
          <w:position w:val="0"/>
        </w:rPr>
        <w:t>三</w:t>
      </w:r>
      <w:bookmarkEnd w:id="642"/>
      <w:r>
        <w:rPr>
          <w:b/>
          <w:bCs/>
          <w:color w:val="000000"/>
          <w:spacing w:val="0"/>
          <w:w w:val="100"/>
          <w:position w:val="0"/>
        </w:rPr>
        <w:t>、</w:t>
        <w:tab/>
        <w:t>关键审计事项</w:t>
      </w:r>
    </w:p>
    <w:p>
      <w:pPr>
        <w:pStyle w:val="Style29"/>
        <w:keepNext w:val="0"/>
        <w:keepLines w:val="0"/>
        <w:widowControl w:val="0"/>
        <w:shd w:val="clear" w:color="auto" w:fill="auto"/>
        <w:bidi w:val="0"/>
        <w:spacing w:before="0" w:after="140" w:line="314" w:lineRule="exact"/>
        <w:ind w:left="0" w:right="0" w:firstLine="40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9"/>
        <w:keepNext w:val="0"/>
        <w:keepLines w:val="0"/>
        <w:widowControl w:val="0"/>
        <w:shd w:val="clear" w:color="auto" w:fill="auto"/>
        <w:bidi w:val="0"/>
        <w:spacing w:before="0" w:after="0"/>
        <w:ind w:left="0" w:right="0" w:firstLine="380"/>
        <w:jc w:val="left"/>
      </w:pPr>
      <w:bookmarkStart w:id="643" w:name="bookmark643"/>
      <w:r>
        <w:rPr>
          <w:rFonts w:ascii="Times New Roman" w:eastAsia="Times New Roman" w:hAnsi="Times New Roman" w:cs="Times New Roman"/>
          <w:b/>
          <w:bCs/>
          <w:color w:val="000000"/>
          <w:spacing w:val="0"/>
          <w:w w:val="100"/>
          <w:position w:val="0"/>
        </w:rPr>
        <w:t>1</w:t>
      </w:r>
      <w:bookmarkEnd w:id="643"/>
      <w:r>
        <w:rPr>
          <w:b/>
          <w:bCs/>
          <w:color w:val="000000"/>
          <w:spacing w:val="0"/>
          <w:w w:val="100"/>
          <w:position w:val="0"/>
        </w:rPr>
        <w:t>、长期资产减值</w:t>
      </w:r>
    </w:p>
    <w:p>
      <w:pPr>
        <w:pStyle w:val="Style29"/>
        <w:keepNext w:val="0"/>
        <w:keepLines w:val="0"/>
        <w:widowControl w:val="0"/>
        <w:shd w:val="clear" w:color="auto" w:fill="auto"/>
        <w:tabs>
          <w:tab w:pos="820" w:val="left"/>
        </w:tabs>
        <w:bidi w:val="0"/>
        <w:spacing w:before="0" w:line="312" w:lineRule="exact"/>
        <w:ind w:left="0" w:right="0" w:firstLine="380"/>
        <w:jc w:val="left"/>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w:t>
        <w:tab/>
        <w:t>关键审计事项</w:t>
      </w:r>
    </w:p>
    <w:p>
      <w:pPr>
        <w:pStyle w:val="Style29"/>
        <w:keepNext w:val="0"/>
        <w:keepLines w:val="0"/>
        <w:widowControl w:val="0"/>
        <w:shd w:val="clear" w:color="auto" w:fill="auto"/>
        <w:bidi w:val="0"/>
        <w:spacing w:before="0" w:line="310" w:lineRule="exact"/>
        <w:ind w:left="0" w:right="0" w:firstLine="400"/>
        <w:jc w:val="both"/>
      </w:pPr>
      <w:r>
        <w:rPr>
          <w:color w:val="000000"/>
          <w:spacing w:val="0"/>
          <w:w w:val="100"/>
          <w:position w:val="0"/>
        </w:rPr>
        <w:t>如财务报表附注四</w:t>
      </w:r>
      <w:r>
        <w:rPr>
          <w:rFonts w:ascii="Times New Roman" w:eastAsia="Times New Roman" w:hAnsi="Times New Roman" w:cs="Times New Roman"/>
          <w:color w:val="000000"/>
          <w:spacing w:val="0"/>
          <w:w w:val="100"/>
          <w:position w:val="0"/>
        </w:rPr>
        <w:t>-4</w:t>
      </w:r>
      <w:r>
        <w:rPr>
          <w:color w:val="000000"/>
          <w:spacing w:val="0"/>
          <w:w w:val="100"/>
          <w:position w:val="0"/>
        </w:rPr>
        <w:t>、附注四</w:t>
      </w:r>
      <w:r>
        <w:rPr>
          <w:rFonts w:ascii="Times New Roman" w:eastAsia="Times New Roman" w:hAnsi="Times New Roman" w:cs="Times New Roman"/>
          <w:color w:val="000000"/>
          <w:spacing w:val="0"/>
          <w:w w:val="100"/>
          <w:position w:val="0"/>
        </w:rPr>
        <w:t>-19</w:t>
      </w:r>
      <w:r>
        <w:rPr>
          <w:color w:val="000000"/>
          <w:spacing w:val="0"/>
          <w:w w:val="100"/>
          <w:position w:val="0"/>
        </w:rPr>
        <w:t>、附注四</w:t>
      </w:r>
      <w:r>
        <w:rPr>
          <w:rFonts w:ascii="Times New Roman" w:eastAsia="Times New Roman" w:hAnsi="Times New Roman" w:cs="Times New Roman"/>
          <w:color w:val="000000"/>
          <w:spacing w:val="0"/>
          <w:w w:val="100"/>
          <w:position w:val="0"/>
        </w:rPr>
        <w:t>-30</w:t>
      </w:r>
      <w:r>
        <w:rPr>
          <w:color w:val="000000"/>
          <w:spacing w:val="0"/>
          <w:w w:val="100"/>
          <w:position w:val="0"/>
        </w:rPr>
        <w:t>、附注六</w:t>
      </w:r>
      <w:r>
        <w:rPr>
          <w:rFonts w:ascii="Times New Roman" w:eastAsia="Times New Roman" w:hAnsi="Times New Roman" w:cs="Times New Roman"/>
          <w:color w:val="000000"/>
          <w:spacing w:val="0"/>
          <w:w w:val="100"/>
          <w:position w:val="0"/>
        </w:rPr>
        <w:t>-14</w:t>
      </w:r>
      <w:r>
        <w:rPr>
          <w:color w:val="000000"/>
          <w:spacing w:val="0"/>
          <w:w w:val="100"/>
          <w:position w:val="0"/>
        </w:rPr>
        <w:t>及附注六</w:t>
      </w:r>
      <w:r>
        <w:rPr>
          <w:rFonts w:ascii="Times New Roman" w:eastAsia="Times New Roman" w:hAnsi="Times New Roman" w:cs="Times New Roman"/>
          <w:color w:val="000000"/>
          <w:spacing w:val="0"/>
          <w:w w:val="100"/>
          <w:position w:val="0"/>
        </w:rPr>
        <w:t>-15</w:t>
      </w:r>
      <w:r>
        <w:rPr>
          <w:color w:val="000000"/>
          <w:spacing w:val="0"/>
          <w:w w:val="100"/>
          <w:position w:val="0"/>
        </w:rPr>
        <w:t>所述，报告期末恒宝股份合并财务报表中商誉减 值准备余额为</w:t>
      </w:r>
      <w:r>
        <w:rPr>
          <w:rFonts w:ascii="Times New Roman" w:eastAsia="Times New Roman" w:hAnsi="Times New Roman" w:cs="Times New Roman"/>
          <w:color w:val="000000"/>
          <w:spacing w:val="0"/>
          <w:w w:val="100"/>
          <w:position w:val="0"/>
        </w:rPr>
        <w:t>81,973,223.67</w:t>
      </w:r>
      <w:r>
        <w:rPr>
          <w:color w:val="000000"/>
          <w:spacing w:val="0"/>
          <w:w w:val="100"/>
          <w:position w:val="0"/>
        </w:rPr>
        <w:t>元，本期计提</w:t>
      </w:r>
      <w:r>
        <w:rPr>
          <w:rFonts w:ascii="Times New Roman" w:eastAsia="Times New Roman" w:hAnsi="Times New Roman" w:cs="Times New Roman"/>
          <w:color w:val="000000"/>
          <w:spacing w:val="0"/>
          <w:w w:val="100"/>
          <w:position w:val="0"/>
        </w:rPr>
        <w:t>52,514,546.43</w:t>
      </w:r>
      <w:r>
        <w:rPr>
          <w:color w:val="000000"/>
          <w:spacing w:val="0"/>
          <w:w w:val="100"/>
          <w:position w:val="0"/>
        </w:rPr>
        <w:t>元；合并财务报表中无形资产减值准备余额为</w:t>
      </w:r>
      <w:r>
        <w:rPr>
          <w:rFonts w:ascii="Times New Roman" w:eastAsia="Times New Roman" w:hAnsi="Times New Roman" w:cs="Times New Roman"/>
          <w:color w:val="000000"/>
          <w:spacing w:val="0"/>
          <w:w w:val="100"/>
          <w:position w:val="0"/>
        </w:rPr>
        <w:t>84,197,288.00</w:t>
      </w:r>
      <w:r>
        <w:rPr>
          <w:color w:val="000000"/>
          <w:spacing w:val="0"/>
          <w:w w:val="100"/>
          <w:position w:val="0"/>
        </w:rPr>
        <w:t>元，本期 计提</w:t>
      </w:r>
      <w:r>
        <w:rPr>
          <w:rFonts w:ascii="Times New Roman" w:eastAsia="Times New Roman" w:hAnsi="Times New Roman" w:cs="Times New Roman"/>
          <w:color w:val="000000"/>
          <w:spacing w:val="0"/>
          <w:w w:val="100"/>
          <w:position w:val="0"/>
        </w:rPr>
        <w:t>56,198,300.00</w:t>
      </w:r>
      <w:r>
        <w:rPr>
          <w:color w:val="000000"/>
          <w:spacing w:val="0"/>
          <w:w w:val="100"/>
          <w:position w:val="0"/>
        </w:rPr>
        <w:t>元。</w:t>
      </w:r>
    </w:p>
    <w:p>
      <w:pPr>
        <w:pStyle w:val="Style29"/>
        <w:keepNext w:val="0"/>
        <w:keepLines w:val="0"/>
        <w:widowControl w:val="0"/>
        <w:shd w:val="clear" w:color="auto" w:fill="auto"/>
        <w:bidi w:val="0"/>
        <w:spacing w:before="0" w:line="322" w:lineRule="exact"/>
        <w:ind w:left="0" w:right="0" w:firstLine="400"/>
        <w:jc w:val="both"/>
      </w:pPr>
      <w:r>
        <w:rPr>
          <w:color w:val="000000"/>
          <w:spacing w:val="0"/>
          <w:w w:val="100"/>
          <w:position w:val="0"/>
        </w:rPr>
        <w:t>本期计提的资产减值准备全部来自于</w:t>
      </w:r>
      <w:r>
        <w:rPr>
          <w:rFonts w:ascii="Times New Roman" w:eastAsia="Times New Roman" w:hAnsi="Times New Roman" w:cs="Times New Roman"/>
          <w:color w:val="000000"/>
          <w:spacing w:val="0"/>
          <w:w w:val="100"/>
          <w:position w:val="0"/>
        </w:rPr>
        <w:t>2015</w:t>
      </w:r>
      <w:r>
        <w:rPr>
          <w:color w:val="000000"/>
          <w:spacing w:val="0"/>
          <w:w w:val="100"/>
          <w:position w:val="0"/>
        </w:rPr>
        <w:t>年恒宝股份非同一控制下企业合并深圳一卡易科技股份有限公司形成的商誉 和辨认的无形资产。</w:t>
      </w:r>
    </w:p>
    <w:p>
      <w:pPr>
        <w:pStyle w:val="Style29"/>
        <w:keepNext w:val="0"/>
        <w:keepLines w:val="0"/>
        <w:widowControl w:val="0"/>
        <w:shd w:val="clear" w:color="auto" w:fill="auto"/>
        <w:bidi w:val="0"/>
        <w:spacing w:before="0" w:line="312" w:lineRule="exact"/>
        <w:ind w:left="0" w:right="0" w:firstLine="400"/>
        <w:jc w:val="both"/>
      </w:pPr>
      <w:r>
        <w:rPr>
          <w:color w:val="000000"/>
          <w:spacing w:val="0"/>
          <w:w w:val="100"/>
          <w:position w:val="0"/>
        </w:rPr>
        <w:t>由于本期资产减值准备计提金额重大，资产减值测试涉及恒宝股份管理层的重大判断和估计，故将商誉及无形资产减值 测试作为关键审计事项。</w:t>
      </w:r>
    </w:p>
    <w:p>
      <w:pPr>
        <w:pStyle w:val="Style29"/>
        <w:keepNext w:val="0"/>
        <w:keepLines w:val="0"/>
        <w:widowControl w:val="0"/>
        <w:shd w:val="clear" w:color="auto" w:fill="auto"/>
        <w:tabs>
          <w:tab w:pos="820" w:val="left"/>
        </w:tabs>
        <w:bidi w:val="0"/>
        <w:spacing w:before="0" w:line="312" w:lineRule="exact"/>
        <w:ind w:left="0" w:right="0" w:firstLine="38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w:t>
        <w:tab/>
        <w:t>审计应对</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我们对恒宝股份长期资产减值的关键审计事项执行的主要审计程序包括：</w:t>
      </w:r>
    </w:p>
    <w:p>
      <w:pPr>
        <w:pStyle w:val="Style29"/>
        <w:keepNext w:val="0"/>
        <w:keepLines w:val="0"/>
        <w:widowControl w:val="0"/>
        <w:numPr>
          <w:ilvl w:val="0"/>
          <w:numId w:val="17"/>
        </w:numPr>
        <w:shd w:val="clear" w:color="auto" w:fill="auto"/>
        <w:bidi w:val="0"/>
        <w:spacing w:before="0" w:line="312" w:lineRule="exact"/>
        <w:ind w:left="0" w:right="0" w:firstLine="380"/>
        <w:jc w:val="both"/>
      </w:pPr>
      <w:bookmarkStart w:id="646" w:name="bookmark646"/>
      <w:bookmarkEnd w:id="646"/>
      <w:r>
        <w:rPr>
          <w:color w:val="000000"/>
          <w:spacing w:val="0"/>
          <w:w w:val="100"/>
          <w:position w:val="0"/>
        </w:rPr>
        <w:t xml:space="preserve">了解及评价恒宝股份与商誉减值测试、无形资产减值测试相关的内部控制设计的有效性，并测试关键控制执行的有效 </w:t>
      </w:r>
      <w:r>
        <w:rPr>
          <w:color w:val="000000"/>
          <w:spacing w:val="0"/>
          <w:w w:val="100"/>
          <w:position w:val="0"/>
        </w:rPr>
        <w:t>性;</w:t>
      </w:r>
    </w:p>
    <w:p>
      <w:pPr>
        <w:pStyle w:val="Style29"/>
        <w:keepNext w:val="0"/>
        <w:keepLines w:val="0"/>
        <w:widowControl w:val="0"/>
        <w:numPr>
          <w:ilvl w:val="0"/>
          <w:numId w:val="19"/>
        </w:numPr>
        <w:shd w:val="clear" w:color="auto" w:fill="auto"/>
        <w:tabs>
          <w:tab w:pos="738" w:val="left"/>
        </w:tabs>
        <w:bidi w:val="0"/>
        <w:spacing w:before="0" w:after="0" w:line="312" w:lineRule="exact"/>
        <w:ind w:left="0" w:right="0" w:firstLine="380"/>
        <w:jc w:val="both"/>
      </w:pPr>
      <w:bookmarkStart w:id="647" w:name="bookmark647"/>
      <w:bookmarkEnd w:id="647"/>
      <w:r>
        <w:rPr>
          <w:color w:val="000000"/>
          <w:spacing w:val="0"/>
          <w:w w:val="100"/>
          <w:position w:val="0"/>
        </w:rPr>
        <w:t>检查商誉及无形资产原值形成的原始依据；</w:t>
      </w:r>
    </w:p>
    <w:p>
      <w:pPr>
        <w:pStyle w:val="Style29"/>
        <w:keepNext w:val="0"/>
        <w:keepLines w:val="0"/>
        <w:widowControl w:val="0"/>
        <w:numPr>
          <w:ilvl w:val="0"/>
          <w:numId w:val="19"/>
        </w:numPr>
        <w:shd w:val="clear" w:color="auto" w:fill="auto"/>
        <w:tabs>
          <w:tab w:pos="713" w:val="left"/>
        </w:tabs>
        <w:bidi w:val="0"/>
        <w:spacing w:before="0" w:after="0" w:line="307" w:lineRule="exact"/>
        <w:ind w:left="0" w:right="0" w:firstLine="380"/>
        <w:jc w:val="both"/>
      </w:pPr>
      <w:bookmarkStart w:id="648" w:name="bookmark648"/>
      <w:bookmarkEnd w:id="648"/>
      <w:r>
        <w:rPr>
          <w:color w:val="000000"/>
          <w:spacing w:val="0"/>
          <w:w w:val="100"/>
          <w:position w:val="0"/>
        </w:rPr>
        <w:t>获取并复核恒宝股份管理层评价商誉、无形资产是否存在减值迹象所依据的资料，考虑恒宝股份管理层评价减值迹象 存在的恰当性和完整性；</w:t>
      </w:r>
    </w:p>
    <w:p>
      <w:pPr>
        <w:pStyle w:val="Style29"/>
        <w:keepNext w:val="0"/>
        <w:keepLines w:val="0"/>
        <w:widowControl w:val="0"/>
        <w:numPr>
          <w:ilvl w:val="0"/>
          <w:numId w:val="19"/>
        </w:numPr>
        <w:shd w:val="clear" w:color="auto" w:fill="auto"/>
        <w:tabs>
          <w:tab w:pos="713" w:val="left"/>
        </w:tabs>
        <w:bidi w:val="0"/>
        <w:spacing w:before="0" w:after="0" w:line="312" w:lineRule="exact"/>
        <w:ind w:left="0" w:right="0" w:firstLine="380"/>
        <w:jc w:val="both"/>
      </w:pPr>
      <w:bookmarkStart w:id="649" w:name="bookmark649"/>
      <w:bookmarkEnd w:id="649"/>
      <w:r>
        <w:rPr>
          <w:color w:val="000000"/>
          <w:spacing w:val="0"/>
          <w:w w:val="100"/>
          <w:position w:val="0"/>
        </w:rPr>
        <w:t>利用外部评估专家对存在减值迹象的资产进行评估，并评价估值专家的胜任能力、专业素质和客观性，估值专家的工 作结果或结论的相关性和合理性，工作结果或结论与其他审计证据的一致性，估值专家的工作涉及使用重要的假设和方法， 评价这些假设和方法在具体情况下的相关性和合理性，分析利用专家工作进行减值测试的合理性；</w:t>
      </w:r>
    </w:p>
    <w:p>
      <w:pPr>
        <w:pStyle w:val="Style29"/>
        <w:keepNext w:val="0"/>
        <w:keepLines w:val="0"/>
        <w:widowControl w:val="0"/>
        <w:numPr>
          <w:ilvl w:val="0"/>
          <w:numId w:val="19"/>
        </w:numPr>
        <w:shd w:val="clear" w:color="auto" w:fill="auto"/>
        <w:tabs>
          <w:tab w:pos="713" w:val="left"/>
        </w:tabs>
        <w:bidi w:val="0"/>
        <w:spacing w:before="0" w:after="0" w:line="298" w:lineRule="exact"/>
        <w:ind w:left="0" w:right="0" w:firstLine="380"/>
        <w:jc w:val="both"/>
      </w:pPr>
      <w:bookmarkStart w:id="650" w:name="bookmark650"/>
      <w:bookmarkEnd w:id="650"/>
      <w:r>
        <w:rPr>
          <w:color w:val="000000"/>
          <w:spacing w:val="0"/>
          <w:w w:val="100"/>
          <w:position w:val="0"/>
        </w:rPr>
        <w:t>邀请估值专家与审计团队共同对商誉减值测试和无形资产减值测试评估方法、计算过程、关键参数合理性、折现率等 进行复核；</w:t>
      </w:r>
    </w:p>
    <w:p>
      <w:pPr>
        <w:pStyle w:val="Style29"/>
        <w:keepNext w:val="0"/>
        <w:keepLines w:val="0"/>
        <w:widowControl w:val="0"/>
        <w:numPr>
          <w:ilvl w:val="0"/>
          <w:numId w:val="19"/>
        </w:numPr>
        <w:shd w:val="clear" w:color="auto" w:fill="auto"/>
        <w:tabs>
          <w:tab w:pos="718" w:val="left"/>
        </w:tabs>
        <w:bidi w:val="0"/>
        <w:spacing w:before="0" w:after="140" w:line="312" w:lineRule="exact"/>
        <w:ind w:left="0" w:right="0" w:firstLine="380"/>
        <w:jc w:val="both"/>
      </w:pPr>
      <w:bookmarkStart w:id="651" w:name="bookmark651"/>
      <w:bookmarkEnd w:id="651"/>
      <w:r>
        <w:rPr>
          <w:color w:val="000000"/>
          <w:spacing w:val="0"/>
          <w:w w:val="100"/>
          <w:position w:val="0"/>
        </w:rPr>
        <w:t>重新计算商誉减值测试相关资产组的可收回金额并与包括商誉在内的可辨认资产组的账面价值进行比较，核实商誉减 值准备计提金额的准确性。重新计算无形资产可收回金额，核实无形资产减值准备计提金额的准确性。</w:t>
      </w:r>
    </w:p>
    <w:p>
      <w:pPr>
        <w:pStyle w:val="Style29"/>
        <w:keepNext w:val="0"/>
        <w:keepLines w:val="0"/>
        <w:widowControl w:val="0"/>
        <w:shd w:val="clear" w:color="auto" w:fill="auto"/>
        <w:tabs>
          <w:tab w:pos="791" w:val="left"/>
        </w:tabs>
        <w:bidi w:val="0"/>
        <w:spacing w:before="0" w:after="0" w:line="322" w:lineRule="exact"/>
        <w:ind w:left="0" w:right="0" w:firstLine="380"/>
        <w:jc w:val="both"/>
      </w:pPr>
      <w:bookmarkStart w:id="652" w:name="bookmark652"/>
      <w:r>
        <w:rPr>
          <w:b/>
          <w:bCs/>
          <w:color w:val="000000"/>
          <w:spacing w:val="0"/>
          <w:w w:val="100"/>
          <w:position w:val="0"/>
        </w:rPr>
        <w:t>四</w:t>
      </w:r>
      <w:bookmarkEnd w:id="652"/>
      <w:r>
        <w:rPr>
          <w:b/>
          <w:bCs/>
          <w:color w:val="000000"/>
          <w:spacing w:val="0"/>
          <w:w w:val="100"/>
          <w:position w:val="0"/>
        </w:rPr>
        <w:t>、</w:t>
        <w:tab/>
        <w:t>其他信息</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恒宝股份管理层（以下简称</w:t>
      </w:r>
      <w:r>
        <w:rPr>
          <w:rFonts w:ascii="Times New Roman" w:eastAsia="Times New Roman" w:hAnsi="Times New Roman" w:cs="Times New Roman"/>
          <w:color w:val="000000"/>
          <w:spacing w:val="0"/>
          <w:w w:val="100"/>
          <w:position w:val="0"/>
        </w:rPr>
        <w:t>“</w:t>
      </w:r>
      <w:r>
        <w:rPr>
          <w:color w:val="000000"/>
          <w:spacing w:val="0"/>
          <w:w w:val="100"/>
          <w:position w:val="0"/>
        </w:rPr>
        <w:t>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）对其他信息负责。其他信息包括恒宝股份</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 财务报表和我们的审计报告。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854" w:val="left"/>
        </w:tabs>
        <w:bidi w:val="0"/>
        <w:spacing w:before="0" w:after="0" w:line="312" w:lineRule="exact"/>
        <w:ind w:left="0" w:right="0" w:firstLine="380"/>
        <w:jc w:val="both"/>
      </w:pPr>
      <w:bookmarkStart w:id="653" w:name="bookmark653"/>
      <w:r>
        <w:rPr>
          <w:b/>
          <w:bCs/>
          <w:color w:val="000000"/>
          <w:spacing w:val="0"/>
          <w:w w:val="100"/>
          <w:position w:val="0"/>
        </w:rPr>
        <w:t>五</w:t>
      </w:r>
      <w:bookmarkEnd w:id="653"/>
      <w:r>
        <w:rPr>
          <w:b/>
          <w:bCs/>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在编制财务报表时，管理层负责评估恒宝股份的持续经营能力，披露与持续经营相关的事项（如适用），并运用持续经 营假设，除非管理层计划清算恒宝股份、停止营运或别无其他现实的选择。</w:t>
      </w:r>
    </w:p>
    <w:p>
      <w:pPr>
        <w:pStyle w:val="Style29"/>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治理层负责监督恒宝股份的财务报告过程。</w:t>
      </w:r>
    </w:p>
    <w:p>
      <w:pPr>
        <w:pStyle w:val="Style29"/>
        <w:keepNext w:val="0"/>
        <w:keepLines w:val="0"/>
        <w:widowControl w:val="0"/>
        <w:shd w:val="clear" w:color="auto" w:fill="auto"/>
        <w:tabs>
          <w:tab w:pos="854" w:val="left"/>
        </w:tabs>
        <w:bidi w:val="0"/>
        <w:spacing w:before="0" w:after="0" w:line="312" w:lineRule="exact"/>
        <w:ind w:left="0" w:right="0" w:firstLine="380"/>
        <w:jc w:val="both"/>
      </w:pPr>
      <w:bookmarkStart w:id="654" w:name="bookmark654"/>
      <w:r>
        <w:rPr>
          <w:b/>
          <w:bCs/>
          <w:color w:val="000000"/>
          <w:spacing w:val="0"/>
          <w:w w:val="100"/>
          <w:position w:val="0"/>
        </w:rPr>
        <w:t>六</w:t>
      </w:r>
      <w:bookmarkEnd w:id="654"/>
      <w:r>
        <w:rPr>
          <w:b/>
          <w:bCs/>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或错误所导致，如果合理预期错报单独或汇总起来可能影响财务报表使用者依据财务报表作出的经济决策，则通常认为错报 是重大的。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在按照审计准则执行审计的过程中，我们运用了职业判断，并保持了职业怀疑。同时，我们也执行以下工作：</w:t>
      </w:r>
    </w:p>
    <w:p>
      <w:pPr>
        <w:pStyle w:val="Style29"/>
        <w:keepNext w:val="0"/>
        <w:keepLines w:val="0"/>
        <w:widowControl w:val="0"/>
        <w:shd w:val="clear" w:color="auto" w:fill="auto"/>
        <w:tabs>
          <w:tab w:pos="972" w:val="left"/>
        </w:tabs>
        <w:bidi w:val="0"/>
        <w:spacing w:before="0" w:after="0" w:line="314" w:lineRule="exact"/>
        <w:ind w:left="0" w:right="0" w:firstLine="380"/>
        <w:jc w:val="both"/>
      </w:pPr>
      <w:bookmarkStart w:id="655" w:name="bookmark655"/>
      <w:r>
        <w:rPr>
          <w:color w:val="000000"/>
          <w:spacing w:val="0"/>
          <w:w w:val="100"/>
          <w:position w:val="0"/>
        </w:rPr>
        <w:t>（</w:t>
      </w:r>
      <w:bookmarkEnd w:id="65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9"/>
        <w:keepNext w:val="0"/>
        <w:keepLines w:val="0"/>
        <w:widowControl w:val="0"/>
        <w:shd w:val="clear" w:color="auto" w:fill="auto"/>
        <w:tabs>
          <w:tab w:pos="896" w:val="left"/>
        </w:tabs>
        <w:bidi w:val="0"/>
        <w:spacing w:before="0" w:after="0" w:line="312" w:lineRule="exact"/>
        <w:ind w:left="0" w:right="0" w:firstLine="380"/>
        <w:jc w:val="both"/>
      </w:pPr>
      <w:bookmarkStart w:id="656" w:name="bookmark656"/>
      <w:r>
        <w:rPr>
          <w:color w:val="000000"/>
          <w:spacing w:val="0"/>
          <w:w w:val="100"/>
          <w:position w:val="0"/>
        </w:rPr>
        <w:t>（</w:t>
      </w:r>
      <w:bookmarkEnd w:id="656"/>
      <w:r>
        <w:rPr>
          <w:color w:val="000000"/>
          <w:spacing w:val="0"/>
          <w:w w:val="100"/>
          <w:position w:val="0"/>
        </w:rPr>
        <w:t>二）</w:t>
        <w:tab/>
        <w:t>了解与审计相关的内部控制，以设计恰当的审计程序，但目的并非对内部控制的有效性发表意见。</w:t>
      </w:r>
    </w:p>
    <w:p>
      <w:pPr>
        <w:pStyle w:val="Style29"/>
        <w:keepNext w:val="0"/>
        <w:keepLines w:val="0"/>
        <w:widowControl w:val="0"/>
        <w:shd w:val="clear" w:color="auto" w:fill="auto"/>
        <w:tabs>
          <w:tab w:pos="896" w:val="left"/>
        </w:tabs>
        <w:bidi w:val="0"/>
        <w:spacing w:before="0" w:after="0" w:line="312" w:lineRule="exact"/>
        <w:ind w:left="0" w:right="0" w:firstLine="380"/>
        <w:jc w:val="both"/>
      </w:pPr>
      <w:bookmarkStart w:id="657" w:name="bookmark657"/>
      <w:r>
        <w:rPr>
          <w:color w:val="000000"/>
          <w:spacing w:val="0"/>
          <w:w w:val="100"/>
          <w:position w:val="0"/>
        </w:rPr>
        <w:t>（</w:t>
      </w:r>
      <w:bookmarkEnd w:id="657"/>
      <w:r>
        <w:rPr>
          <w:color w:val="000000"/>
          <w:spacing w:val="0"/>
          <w:w w:val="100"/>
          <w:position w:val="0"/>
        </w:rPr>
        <w:t>三）</w:t>
        <w:tab/>
        <w:t>评价管理层选用会计政策的恰当性和作出会计估计及相关披露的合理性。</w:t>
      </w:r>
    </w:p>
    <w:p>
      <w:pPr>
        <w:pStyle w:val="Style29"/>
        <w:keepNext w:val="0"/>
        <w:keepLines w:val="0"/>
        <w:widowControl w:val="0"/>
        <w:shd w:val="clear" w:color="auto" w:fill="auto"/>
        <w:tabs>
          <w:tab w:pos="972" w:val="left"/>
        </w:tabs>
        <w:bidi w:val="0"/>
        <w:spacing w:before="0" w:after="0" w:line="312" w:lineRule="exact"/>
        <w:ind w:left="0" w:right="0" w:firstLine="380"/>
        <w:jc w:val="both"/>
      </w:pPr>
      <w:bookmarkStart w:id="658" w:name="bookmark658"/>
      <w:r>
        <w:rPr>
          <w:color w:val="000000"/>
          <w:spacing w:val="0"/>
          <w:w w:val="100"/>
          <w:position w:val="0"/>
        </w:rPr>
        <w:t>（</w:t>
      </w:r>
      <w:bookmarkEnd w:id="658"/>
      <w:r>
        <w:rPr>
          <w:color w:val="000000"/>
          <w:spacing w:val="0"/>
          <w:w w:val="100"/>
          <w:position w:val="0"/>
        </w:rPr>
        <w:t>四）</w:t>
        <w:tab/>
        <w:t>对管理层使用持续经营假设的恰当性得出结论。同时，根据获取的审计证据，就可能导致对恒宝股份持续经营能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于截至审计报告日可获得的信息。然而，未来的事项或情况可能导致恒宝股份不能持续经营。</w:t>
      </w:r>
    </w:p>
    <w:p>
      <w:pPr>
        <w:pStyle w:val="Style29"/>
        <w:keepNext w:val="0"/>
        <w:keepLines w:val="0"/>
        <w:widowControl w:val="0"/>
        <w:shd w:val="clear" w:color="auto" w:fill="auto"/>
        <w:tabs>
          <w:tab w:pos="896" w:val="left"/>
        </w:tabs>
        <w:bidi w:val="0"/>
        <w:spacing w:before="0" w:after="0" w:line="312" w:lineRule="exact"/>
        <w:ind w:left="0" w:right="0" w:firstLine="380"/>
        <w:jc w:val="both"/>
      </w:pPr>
      <w:bookmarkStart w:id="659" w:name="bookmark659"/>
      <w:r>
        <w:rPr>
          <w:color w:val="000000"/>
          <w:spacing w:val="0"/>
          <w:w w:val="100"/>
          <w:position w:val="0"/>
        </w:rPr>
        <w:t>（</w:t>
      </w:r>
      <w:bookmarkEnd w:id="659"/>
      <w:r>
        <w:rPr>
          <w:color w:val="000000"/>
          <w:spacing w:val="0"/>
          <w:w w:val="100"/>
          <w:position w:val="0"/>
        </w:rPr>
        <w:t>五）</w:t>
        <w:tab/>
        <w:t>评价财务报表的总体列报、结构和内容，并评价财务报表是否公允反映相关交易和事项。</w:t>
      </w:r>
      <w:r>
        <w:br w:type="page"/>
      </w:r>
    </w:p>
    <w:p>
      <w:pPr>
        <w:pStyle w:val="Style29"/>
        <w:keepNext w:val="0"/>
        <w:keepLines w:val="0"/>
        <w:widowControl w:val="0"/>
        <w:shd w:val="clear" w:color="auto" w:fill="auto"/>
        <w:bidi w:val="0"/>
        <w:spacing w:before="0" w:line="317" w:lineRule="exact"/>
        <w:ind w:left="0" w:right="0"/>
        <w:jc w:val="both"/>
      </w:pPr>
      <w:bookmarkStart w:id="660" w:name="bookmark660"/>
      <w:r>
        <w:rPr>
          <w:color w:val="000000"/>
          <w:spacing w:val="0"/>
          <w:w w:val="100"/>
          <w:position w:val="0"/>
        </w:rPr>
        <w:t>（</w:t>
      </w:r>
      <w:bookmarkEnd w:id="660"/>
      <w:r>
        <w:rPr>
          <w:color w:val="000000"/>
          <w:spacing w:val="0"/>
          <w:w w:val="100"/>
          <w:position w:val="0"/>
        </w:rPr>
        <w:t>六）就恒宝股份中实体或业务活动的财务信息获取充分、适当的审计证据，以对财务报表发表意见。我们负责指导、 监督和执行集团审计。我们对审计意见承担全部责任。</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line="30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9"/>
        <w:keepNext w:val="0"/>
        <w:keepLines w:val="0"/>
        <w:widowControl w:val="0"/>
        <w:shd w:val="clear" w:color="auto" w:fill="auto"/>
        <w:bidi w:val="0"/>
        <w:spacing w:before="0" w:after="480" w:line="312"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中兴华会计师事务所（特殊普通合伙）中国注册会计师：胡海萌</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4202430</wp:posOffset>
                </wp:positionH>
                <wp:positionV relativeFrom="paragraph">
                  <wp:posOffset>0</wp:posOffset>
                </wp:positionV>
                <wp:extent cx="511810" cy="161290"/>
                <wp:wrapTopAndBottom/>
                <wp:docPr id="22" name="Shape 22"/>
                <a:graphic xmlns:a="http://schemas.openxmlformats.org/drawingml/2006/main">
                  <a:graphicData uri="http://schemas.microsoft.com/office/word/2010/wordprocessingShape">
                    <wps:wsp>
                      <wps:cNvSpPr txBox="1"/>
                      <wps:spPr>
                        <a:xfrm>
                          <a:ext cx="51181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8" type="#_x0000_t202" style="position:absolute;margin-left:330.90000000000003pt;margin-top:0;width:40.300000000000004pt;height:12.700000000000001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0" distB="15240" distL="0" distR="0" simplePos="0" relativeHeight="125829382" behindDoc="0" locked="0" layoutInCell="1" allowOverlap="1">
                <wp:simplePos x="0" y="0"/>
                <wp:positionH relativeFrom="page">
                  <wp:posOffset>5668645</wp:posOffset>
                </wp:positionH>
                <wp:positionV relativeFrom="paragraph">
                  <wp:posOffset>0</wp:posOffset>
                </wp:positionV>
                <wp:extent cx="1158240" cy="146050"/>
                <wp:wrapTopAndBottom/>
                <wp:docPr id="24" name="Shape 24"/>
                <a:graphic xmlns:a="http://schemas.openxmlformats.org/drawingml/2006/main">
                  <a:graphicData uri="http://schemas.microsoft.com/office/word/2010/wordprocessingShape">
                    <wps:wsp>
                      <wps:cNvSpPr txBox="1"/>
                      <wps:spPr>
                        <a:xfrm>
                          <a:ext cx="115824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中国注册会计师：汪军</w:t>
                            </w:r>
                          </w:p>
                        </w:txbxContent>
                      </wps:txbx>
                      <wps:bodyPr wrap="none" lIns="0" tIns="0" rIns="0" bIns="0">
                        <a:noAutoFit/>
                      </wps:bodyPr>
                    </wps:wsp>
                  </a:graphicData>
                </a:graphic>
              </wp:anchor>
            </w:drawing>
          </mc:Choice>
          <mc:Fallback>
            <w:pict>
              <v:shape id="_x0000_s1050" type="#_x0000_t202" style="position:absolute;margin-left:446.35000000000002pt;margin-top:0;width:91.200000000000003pt;height:11.5pt;z-index:-125829371;mso-wrap-distance-left:0;mso-wrap-distance-right:0;mso-wrap-distance-bottom:1.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中国注册会计师：汪军</w:t>
                      </w:r>
                    </w:p>
                  </w:txbxContent>
                </v:textbox>
                <w10:wrap type="topAndBottom" anchorx="page"/>
              </v:shape>
            </w:pict>
          </mc:Fallback>
        </mc:AlternateContent>
      </w:r>
    </w:p>
    <w:p>
      <w:pPr>
        <w:pStyle w:val="Style45"/>
        <w:keepNext w:val="0"/>
        <w:keepLines w:val="0"/>
        <w:widowControl w:val="0"/>
        <w:shd w:val="clear" w:color="auto" w:fill="auto"/>
        <w:bidi w:val="0"/>
        <w:spacing w:before="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p>
      <w:pPr>
        <w:pStyle w:val="Style25"/>
        <w:keepNext/>
        <w:keepLines/>
        <w:widowControl w:val="0"/>
        <w:shd w:val="clear" w:color="auto" w:fill="auto"/>
        <w:bidi w:val="0"/>
        <w:spacing w:before="0" w:after="36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二、财务报表</w:t>
      </w:r>
      <w:bookmarkEnd w:id="661"/>
      <w:bookmarkEnd w:id="662"/>
      <w:bookmarkEnd w:id="66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、合并资产负债表</w:t>
      </w:r>
      <w:bookmarkEnd w:id="664"/>
      <w:bookmarkEnd w:id="665"/>
      <w:bookmarkEnd w:id="66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编制单位：恒宝股份有限公司</w:t>
      </w:r>
    </w:p>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466,594,220.10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503,576,108.14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863,892,886.64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379,200,000.00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149,066,277.62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121,175,949.73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7,388,008.89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508,668,368.08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6,989,764.44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8,789,026.91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244,435,874.23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201,828,732.88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13,964,446.39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2,690,045.47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1,752,379,115.11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1,726,181,011.06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216,686,984.39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210,630,598.55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21,030,000.00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313,581,913.10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177,832,871.02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3,837,623.75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23,124,534.68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47,767,184.37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123,553,374.44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4,425,017.47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56,939,563.90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10,792,283.86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5,234,172.30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5,837,778.65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5,189,123.46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1,169,561.90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610,128,347.49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623,534,238.35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2,362,507,462.60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2,349,715,249.41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190,277,997.66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217,186,217.57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59,695,621.54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75,481,072.03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3,709,637.83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4,835,564.77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8,161,297.22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12,479,326.39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15,107,199.16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22,780,263.36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20,419,681.25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8,461,491.75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322,768,376.90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316,976,993.63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40,660,000.00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6,055,828.29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2,115,431.25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2,938,563.62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13,353,340.81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49,654,391.91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15,468,772.06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372,422,768.81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332,445,765.69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696,921,354.00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696,921,354.00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756,218.76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1,468,601.25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207,011,309.90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207,011,309.90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1,023,779,759.10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1,022,055,351.76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1,929,301,833.83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1,928,289,808.98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60,782,859.96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88,979,674.74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1,990,084,693.79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2,017,269,483.72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2,362,507,462.60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2,349,715,249.41</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4" behindDoc="0" locked="0" layoutInCell="1" allowOverlap="1">
                <wp:simplePos x="0" y="0"/>
                <wp:positionH relativeFrom="page">
                  <wp:posOffset>709295</wp:posOffset>
                </wp:positionH>
                <wp:positionV relativeFrom="margin">
                  <wp:posOffset>5367655</wp:posOffset>
                </wp:positionV>
                <wp:extent cx="938530" cy="149225"/>
                <wp:wrapTopAndBottom/>
                <wp:docPr id="26" name="Shape 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法定代表人：钱京</w:t>
                            </w:r>
                          </w:p>
                        </w:txbxContent>
                      </wps:txbx>
                      <wps:bodyPr wrap="none" lIns="0" tIns="0" rIns="0" bIns="0">
                        <a:noAutoFit/>
                      </wps:bodyPr>
                    </wps:wsp>
                  </a:graphicData>
                </a:graphic>
              </wp:anchor>
            </w:drawing>
          </mc:Choice>
          <mc:Fallback>
            <w:pict>
              <v:shape id="_x0000_s1052" type="#_x0000_t202" style="position:absolute;margin-left:55.850000000000001pt;margin-top:422.65000000000003pt;width:73.900000000000006pt;height:11.75pt;z-index:-125829369;mso-wrap-distance-left:9.pt;mso-wrap-distance-top:12.pt;mso-wrap-distance-right:414.1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法定代表人：钱京</w:t>
                      </w:r>
                    </w:p>
                  </w:txbxContent>
                </v:textbox>
                <w10:wrap type="topAndBottom" anchorx="page" anchory="margin"/>
              </v:shape>
            </w:pict>
          </mc:Fallback>
        </mc:AlternateContent>
      </w:r>
      <w:r>
        <mc:AlternateContent>
          <mc:Choice Requires="wps">
            <w:drawing>
              <wp:anchor distT="152400" distB="3175" distL="2232660" distR="2567940" simplePos="0" relativeHeight="125829386" behindDoc="0" locked="0" layoutInCell="1" allowOverlap="1">
                <wp:simplePos x="0" y="0"/>
                <wp:positionH relativeFrom="page">
                  <wp:posOffset>2827655</wp:posOffset>
                </wp:positionH>
                <wp:positionV relativeFrom="margin">
                  <wp:posOffset>5367655</wp:posOffset>
                </wp:positionV>
                <wp:extent cx="1511935" cy="146050"/>
                <wp:wrapTopAndBottom/>
                <wp:docPr id="28" name="Shape 2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主管会计工作负责人：徐霄凌</w:t>
                            </w:r>
                          </w:p>
                        </w:txbxContent>
                      </wps:txbx>
                      <wps:bodyPr wrap="none" lIns="0" tIns="0" rIns="0" bIns="0">
                        <a:noAutoFit/>
                      </wps:bodyPr>
                    </wps:wsp>
                  </a:graphicData>
                </a:graphic>
              </wp:anchor>
            </w:drawing>
          </mc:Choice>
          <mc:Fallback>
            <w:pict>
              <v:shape id="_x0000_s1054" type="#_x0000_t202" style="position:absolute;margin-left:222.65000000000001pt;margin-top:422.65000000000003pt;width:119.05pt;height:11.5pt;z-index:-125829367;mso-wrap-distance-left:175.80000000000001pt;mso-wrap-distance-top:12.pt;mso-wrap-distance-right:202.2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主管会计工作负责人：徐霄凌</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5506720</wp:posOffset>
                </wp:positionH>
                <wp:positionV relativeFrom="margin">
                  <wp:posOffset>5367655</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会计机构负责人：刘春莲</w:t>
                            </w:r>
                          </w:p>
                        </w:txbxContent>
                      </wps:txbx>
                      <wps:bodyPr wrap="none" lIns="0" tIns="0" rIns="0" bIns="0">
                        <a:noAutoFit/>
                      </wps:bodyPr>
                    </wps:wsp>
                  </a:graphicData>
                </a:graphic>
              </wp:anchor>
            </w:drawing>
          </mc:Choice>
          <mc:Fallback>
            <w:pict>
              <v:shape id="_x0000_s1056" type="#_x0000_t202" style="position:absolute;margin-left:433.60000000000002pt;margin-top:422.65000000000003pt;width:101.3pt;height:11.75pt;z-index:-125829365;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会计机构负责人：刘春莲</w:t>
                      </w:r>
                    </w:p>
                  </w:txbxContent>
                </v:textbox>
                <w10:wrap type="topAndBottom" anchorx="page" anchory="margin"/>
              </v:shape>
            </w:pict>
          </mc:Fallback>
        </mc:AlternateContent>
      </w: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、母公司资产负债表</w:t>
      </w:r>
      <w:bookmarkEnd w:id="668"/>
      <w:bookmarkEnd w:id="669"/>
      <w:bookmarkEnd w:id="6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203,505,999.51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412,178,039.79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491,689,713.10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229,523.40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148,198,198.96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124,777,747.48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3,725,255.84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12,411,654.45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95,178,248.76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140,023,871.55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235,444,348.17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194,898,822.09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1,177,789,401.14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1,184,542,915.21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866,151,080.20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798,496,769.28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156,406,421.84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172,314,665.59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3,837,623.75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43,665,484.37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47,853,374.44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9,067,533.73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2,836,434.98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4,599,651.91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4,486,875.60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1,169,561.90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1,090,897,357.70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1,046,988,119.89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2,268,686,758.84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2,231,531,035.10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175,891,233.35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215,634,170.88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3,361,804.24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63,154,008.35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7,660,004.18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10,577,748.62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78,058,431.39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21,021,856.71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8,107,475.60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334,067,334.21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250,641,296.55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6,055,828.29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2,116,414.65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1,998,340.81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8,172,242.94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4,090,840.81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342,239,577.15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254,732,137.36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696,921,354.00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696,921,354.00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15,636,112.82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15,636,112.82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2,526,837.18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207,011,309.90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207,011,309.90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1,004,351,567.79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1,057,230,121.02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1,926,447,181.69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1,976,798,897.74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2,268,686,758.84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2,231,531,035.10</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3</w:t>
      </w:r>
      <w:bookmarkEnd w:id="674"/>
      <w:r>
        <w:rPr>
          <w:color w:val="000000"/>
          <w:spacing w:val="0"/>
          <w:w w:val="100"/>
          <w:position w:val="0"/>
        </w:rPr>
        <w:t>、合并利润表</w:t>
      </w:r>
      <w:bookmarkEnd w:id="672"/>
      <w:bookmarkEnd w:id="673"/>
      <w:bookmarkEnd w:id="6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1,052,163,738.15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1,535,467,255.35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1,052,163,738.15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1,535,467,255.35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1,009,062,689.32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1,461,406,850.28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734,492,249.25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1,169,409,407.81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6,858,817.95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8,624,553.62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63,509,759.30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88,136,353.75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79,542,294.55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72,317,016.29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127,474,839.43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127,039,035.87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-2,815,271.16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-4,119,517.06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443,493.45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4,794,438.14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5,456,589.18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11,245,637.71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19,888,949.79</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投资收益（损失以“一”号 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27,627,189.19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16,273,521.96</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3,529,548.66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1,195,549.74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以摊余成本计量的金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820"/>
              <w:jc w:val="left"/>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3,542,886.64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-5,235,020.59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-2,085,162.69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-112,816,892.94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-16,589,413.46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-1,023,212.06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-577,486.26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-33,558,363.22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90,970,814.41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2,634,881.58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330,139.66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196,786.82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188,950.07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-31,120,268.46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91,112,004.00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-4,647,861.02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4,078,886.76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-26,472,407.44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87,033,117.24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-26,472,407.44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87,033,117.24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1,724,407.34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86,769,193.40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-28,196,814.78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263,923.84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-712,382.49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109,733.04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-712,382.49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109,733.04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pgSz w:w="11900" w:h="16840"/>
          <w:pgMar w:top="1364" w:right="1061" w:bottom="1421" w:left="1067" w:header="0" w:footer="3" w:gutter="0"/>
          <w:cols w:space="720"/>
          <w:noEndnote/>
          <w:rtlGutter w:val="0"/>
          <w:docGrid w:linePitch="360"/>
        </w:sectPr>
      </w:pP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-712,382.49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109,733.04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2,526,837.18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-3,239,219.67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109,733.04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-27,184,789.93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87,142,850.28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1,012,024.85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86,878,926.44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-28,196,814.78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263,923.84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0.1238</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9"/>
        <w:keepNext w:val="0"/>
        <w:keepLines w:val="0"/>
        <w:widowControl w:val="0"/>
        <w:shd w:val="clear" w:color="auto" w:fill="auto"/>
        <w:tabs>
          <w:tab w:pos="3302" w:val="left"/>
          <w:tab w:pos="7522" w:val="left"/>
        </w:tabs>
        <w:bidi w:val="0"/>
        <w:spacing w:before="0" w:after="360" w:line="240" w:lineRule="auto"/>
        <w:ind w:left="0" w:right="0" w:firstLine="0"/>
        <w:jc w:val="left"/>
      </w:pPr>
      <w:r>
        <w:rPr>
          <w:color w:val="000000"/>
          <w:spacing w:val="0"/>
          <w:w w:val="100"/>
          <w:position w:val="0"/>
        </w:rPr>
        <w:t>法定代表人：钱京</w:t>
        <w:tab/>
        <w:t>主管会计工作负责人：徐霄凌</w:t>
        <w:tab/>
        <w:t>会计机构负责人：刘春莲</w:t>
      </w:r>
    </w:p>
    <w:p>
      <w:pPr>
        <w:pStyle w:val="Style32"/>
        <w:keepNext/>
        <w:keepLines/>
        <w:widowControl w:val="0"/>
        <w:shd w:val="clear" w:color="auto" w:fill="auto"/>
        <w:bidi w:val="0"/>
        <w:spacing w:before="0" w:after="36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4</w:t>
      </w:r>
      <w:bookmarkEnd w:id="678"/>
      <w:r>
        <w:rPr>
          <w:color w:val="000000"/>
          <w:spacing w:val="0"/>
          <w:w w:val="100"/>
          <w:position w:val="0"/>
        </w:rPr>
        <w:t>、母公司利润表</w:t>
      </w:r>
      <w:bookmarkEnd w:id="676"/>
      <w:bookmarkEnd w:id="677"/>
      <w:bookmarkEnd w:id="679"/>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915,758,098.80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1,244,446,584.43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689,495,629.81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957,257,616.66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5,737,441.97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7,756,936.25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41,121,058.46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61,917,543.72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46,951,780.31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39,788,027.25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110,884,872.72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108,618,023.28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-4,620,770.15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-5,815,188.95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6,097,429.39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6,745,378.52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7,723,089.56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16,212,100.15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投资收益（损失以“一”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18,665,020.24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11,236,691.52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3,529,548.66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1,195,549.74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融资产终止确认收益（损失以</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rPr>
              <w:t>公允价值变动收益（损失</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1,689,713.10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信用减值损失（损失以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-2,793,683.43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1,235,217.74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资产减值损失（损失以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-106,578,781.43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-3,387,416.54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资产处置收益（损失以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-589,790.16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-569,729.29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-55,696,346.44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99,650,489.80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222,690.25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329,248.83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188,399.37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161,103.22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-55,662,055.56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99,818,635.41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-2,783,502.33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2,467,577.12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四、净利润（净亏损以“一”号填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-52,878,553.23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97,351,058.29</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-52,878,553.23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97,351,058.29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2,526,837.18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2,526,837.18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2,526,837.18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-50,351,716.05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97,351,058.29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5</w:t>
      </w:r>
      <w:bookmarkEnd w:id="682"/>
      <w:r>
        <w:rPr>
          <w:color w:val="000000"/>
          <w:spacing w:val="0"/>
          <w:w w:val="100"/>
          <w:position w:val="0"/>
        </w:rPr>
        <w:t>、合并现金流量表</w:t>
      </w:r>
      <w:bookmarkEnd w:id="680"/>
      <w:bookmarkEnd w:id="681"/>
      <w:bookmarkEnd w:id="683"/>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1,126,513,019.61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1,702,222,258.77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10,613,749.84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14,448,595.38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524,279,719.11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30,751,878.83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1,661,406,488.56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1,747,422,732.98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777,872,509.25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1,391,266,558.85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215,166,297.35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213,442,216.46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59,600,460.94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65,877,572.24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支付其他与经营活动有关的现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93,611,767.94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121,288,208.69</w:t>
            </w:r>
          </w:p>
        </w:tc>
      </w:tr>
    </w:tbl>
    <w:p>
      <w:pPr>
        <w:widowControl w:val="0"/>
        <w:spacing w:line="1" w:lineRule="exac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64" w:right="1061" w:bottom="1421" w:left="1067" w:header="0" w:footer="3" w:gutter="0"/>
          <w:cols w:space="720"/>
          <w:noEndnote/>
          <w:rtlGutter w:val="0"/>
          <w:docGrid w:linePitch="360"/>
        </w:sectPr>
      </w:pP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1,146,251,035.48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1,791,874,556.24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515,155,453.08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-44,451,823.26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2,705,500,000.00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668,760,000.00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24,097,640.53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15,420,185.20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-1,185,291.36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2,729,705,470.53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682,994,893.84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169,222,702.36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45,352,431.89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3,171,650,000.00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809,610,000.00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2,897,729.45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3,340,872,702.36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857,860,161.34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-611,167,231.83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-174,865,267.50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363,812.20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支付其他与筹资活动有关的现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53,009,074.03</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5,363,812.20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53,009,074.03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60,636,187.80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-53,009,074.03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-3,824,915.34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134,678.03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-39,200,506.29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-272,191,486.76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498,859,117.75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771,050,604.51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459,658,611.46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498,859,117.75</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、母公司现金流量表</w:t>
      </w:r>
      <w:bookmarkEnd w:id="684"/>
      <w:bookmarkEnd w:id="685"/>
      <w:bookmarkEnd w:id="6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1,022,683,722.03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1,350,681,864.17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8,183,413.65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11,986,005.54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134,485,827.78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144,859,302.27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1,165,352,963.46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1,507,527,171.98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692,602,883.52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850,811,255.81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179,535,154.60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175,563,576.81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37,908,287.36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51,605,768.26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106,588,238.58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342,628,656.00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1,016,634,564.06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1,420,609,256.88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148,718,399.40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86,917,915.10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1,447,000,000.00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15,135,471.58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10,383,354.76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1,617,830.00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-1,188,491.36</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1,463,753,301.58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309,194,863.40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34,511,827.60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19,723,632.79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1,786,072,660.00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486,289,600.00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1,820,584,487.60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506,013,232.79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-356,831,186.02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-196,818,369.39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53,009,074.03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5,001,820.83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53,009,074.03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-53,009,074.03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-356,933.76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6,595.94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-208,471,541.21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-162,902,932.38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409,449,484.47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572,352,416.85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200,977,943.26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409,449,484.47</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7</w:t>
      </w:r>
      <w:bookmarkEnd w:id="690"/>
      <w:r>
        <w:rPr>
          <w:color w:val="000000"/>
          <w:spacing w:val="0"/>
          <w:w w:val="100"/>
          <w:position w:val="0"/>
        </w:rPr>
        <w:t>、合并所有者权益变动表</w:t>
      </w:r>
      <w:bookmarkEnd w:id="688"/>
      <w:bookmarkEnd w:id="689"/>
      <w:bookmarkEnd w:id="69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少数</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股东</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 者权 益合 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righ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14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优</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先</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14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88,9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79,6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w:t>
            </w:r>
          </w:p>
        </w:tc>
      </w:tr>
      <w:tr>
        <w:trPr>
          <w:trHeight w:val="149"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74.7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8.98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79,6</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w:t>
            </w: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74.7</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w:t>
            </w: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三、本期增减 变动金额（减 少以号</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r>
      <w:tr>
        <w:trPr>
          <w:trHeight w:val="322"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184,</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789.</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r>
      <w:tr>
        <w:trPr>
          <w:trHeight w:val="466"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（一）综合收 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184,</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789.</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 （或股东）的</w:t>
            </w:r>
          </w:p>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06"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1,3</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54.</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218.</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011,</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3,77</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9,75</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9,30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3.83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82.8</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59.9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0,08</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少数</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股东</w:t>
            </w:r>
          </w:p>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140"/>
              <w:jc w:val="left"/>
            </w:pPr>
            <w:r>
              <w:rPr>
                <w:rFonts w:ascii="SimSun" w:eastAsia="SimSun" w:hAnsi="SimSun" w:cs="SimSun"/>
                <w:color w:val="000000"/>
                <w:spacing w:val="0"/>
                <w:w w:val="100"/>
                <w:position w:val="0"/>
              </w:rPr>
              <w:t>减： 库存</w:t>
            </w:r>
          </w:p>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40"/>
              <w:jc w:val="both"/>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140"/>
              <w:jc w:val="both"/>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其 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先</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60" w:lineRule="exact"/>
              <w:ind w:left="14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1,89</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1,982</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,722,</w:t>
            </w:r>
          </w:p>
        </w:tc>
      </w:tr>
      <w:tr>
        <w:trPr>
          <w:trHeight w:val="154"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5,750</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28.7</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685.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451.2</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56.24</w:t>
            </w:r>
          </w:p>
        </w:tc>
      </w:tr>
      <w:tr>
        <w:trPr>
          <w:trHeight w:val="3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1,89</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1,983</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r>
      <w:tr>
        <w:trPr>
          <w:trHeight w:val="30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707.4</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三、本期增减</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变动金额（减</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-46,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33.8</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69.8</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34,13</w:t>
            </w:r>
          </w:p>
        </w:tc>
      </w:tr>
      <w:tr>
        <w:trPr>
          <w:trHeight w:val="14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3,776</w:t>
            </w:r>
          </w:p>
        </w:tc>
      </w:tr>
      <w:tr>
        <w:trPr>
          <w:trHeight w:val="15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少以“一”号</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23.84</w:t>
            </w:r>
          </w:p>
        </w:tc>
        <w:tc>
          <w:tcPr>
            <w:vMerge/>
            <w:tcBorders>
              <w:left w:val="single" w:sz="4"/>
              <w:right w:val="single" w:sz="4"/>
            </w:tcBorders>
            <w:shd w:val="clear" w:color="auto" w:fill="FFFFFF"/>
            <w:vAlign w:val="top"/>
          </w:tcPr>
          <w:p>
            <w:pPr/>
          </w:p>
        </w:tc>
      </w:tr>
      <w:tr>
        <w:trPr>
          <w:trHeight w:val="312"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87,14</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263,9</w:t>
            </w: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23.84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7,4</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-73,</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666,</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908.</w:t>
            </w:r>
          </w:p>
          <w:p>
            <w:pPr>
              <w:pStyle w:val="Style2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428.</w:t>
            </w:r>
          </w:p>
          <w:p>
            <w:pPr>
              <w:pStyle w:val="Style2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245,</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074.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09,07</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7,4</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-73,</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666,</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908.</w:t>
            </w:r>
          </w:p>
          <w:p>
            <w:pPr>
              <w:pStyle w:val="Style2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428.</w:t>
            </w:r>
          </w:p>
          <w:p>
            <w:pPr>
              <w:pStyle w:val="Style2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245,</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009,</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074.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09,07</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4.03</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9,73</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-9,7</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35,1</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05.8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9,73</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-9,7</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35,1</w:t>
            </w:r>
          </w:p>
          <w:p>
            <w:pPr>
              <w:pStyle w:val="Style2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05.8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（或股东）的</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转增资本（或</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设定受益 计划变动额 结转留存收 </w:t>
            </w: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696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,92</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1,46</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8,60</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207,</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011,</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1,02</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2,05</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5,35</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8,28</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9,80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88,97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9,674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483.7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8</w:t>
      </w:r>
      <w:bookmarkEnd w:id="694"/>
      <w:r>
        <w:rPr>
          <w:color w:val="000000"/>
          <w:spacing w:val="0"/>
          <w:w w:val="100"/>
          <w:position w:val="0"/>
        </w:rPr>
        <w:t>、母公司所有者权益变动表</w:t>
      </w:r>
      <w:bookmarkEnd w:id="692"/>
      <w:bookmarkEnd w:id="693"/>
      <w:bookmarkEnd w:id="6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180" w:right="0" w:firstLine="0"/>
              <w:jc w:val="left"/>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21,35</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15,636</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,112.8</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207,01</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1,05</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7,23</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0,12</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1,976,79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8,897.74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加：会计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二、本年期初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21,35</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207,01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1,05</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7,23</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0,12</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1,976,79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8,897.74</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-52,8</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78,5</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53.2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-50,351,</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716.05</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-52,8</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78,5</w:t>
            </w:r>
          </w:p>
          <w:p>
            <w:pPr>
              <w:pStyle w:val="Style2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53.2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-50,351,</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716.05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 （或股东）的</w:t>
            </w:r>
          </w:p>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21,35</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2,526,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207,01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4,35</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1,56</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1,926,44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7,181.69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所有者 权益合 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优</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先</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89,30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207,5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1,932,41</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16,67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2,072.6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0,140.26</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46,773.2</w:t>
            </w: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1,932,45</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4,168.5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6,913.48</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46.0</w:t>
            </w:r>
          </w:p>
          <w:p>
            <w:pPr>
              <w:pStyle w:val="Style2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-73,66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6,908.</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-46,01</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0,428.</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-510,</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042.2</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87,615,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44,341,9</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97,351,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97,351,0</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58.29</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46.0</w:t>
            </w:r>
          </w:p>
          <w:p>
            <w:pPr>
              <w:pStyle w:val="Style2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-73,66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6,908.</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-46,01</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0,428.</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-10,2</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45,14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-53,009,0</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74.03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07,4</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46.0</w:t>
            </w:r>
          </w:p>
          <w:p>
            <w:pPr>
              <w:pStyle w:val="Style2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-73,66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6,908.</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-46,01</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0,428.</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-10,2</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45,14</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-53,009,0</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74.03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9,735</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-9,735,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9,735</w:t>
            </w:r>
          </w:p>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-9,735,</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转增资本（或</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696,</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921,</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354.</w:t>
            </w:r>
          </w:p>
          <w:p>
            <w:pPr>
              <w:pStyle w:val="Style2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6,112.</w:t>
            </w:r>
          </w:p>
          <w:p>
            <w:pPr>
              <w:pStyle w:val="Style2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207,0</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11,30</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1,057,2</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30,121.</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1,976,79</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8,897.74</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both"/>
      </w:pPr>
      <w:bookmarkStart w:id="696" w:name="bookmark696"/>
      <w:bookmarkStart w:id="697" w:name="bookmark697"/>
      <w:bookmarkStart w:id="698" w:name="bookmark698"/>
      <w:r>
        <w:rPr>
          <w:color w:val="000000"/>
          <w:spacing w:val="0"/>
          <w:w w:val="100"/>
          <w:position w:val="0"/>
          <w:sz w:val="24"/>
          <w:szCs w:val="24"/>
        </w:rPr>
        <w:t>三、公司基本情况</w:t>
      </w:r>
      <w:bookmarkEnd w:id="696"/>
      <w:bookmarkEnd w:id="697"/>
      <w:bookmarkEnd w:id="698"/>
    </w:p>
    <w:p>
      <w:pPr>
        <w:pStyle w:val="Style32"/>
        <w:keepNext/>
        <w:keepLines/>
        <w:widowControl w:val="0"/>
        <w:shd w:val="clear" w:color="auto" w:fill="auto"/>
        <w:bidi w:val="0"/>
        <w:spacing w:before="0" w:after="40" w:line="240" w:lineRule="auto"/>
        <w:ind w:left="0" w:right="0" w:firstLine="380"/>
        <w:jc w:val="both"/>
      </w:pPr>
      <w:bookmarkStart w:id="699" w:name="bookmark699"/>
      <w:bookmarkStart w:id="700" w:name="bookmark700"/>
      <w:bookmarkStart w:id="701" w:name="bookmark701"/>
      <w:bookmarkStart w:id="702" w:name="bookmark702"/>
      <w:r>
        <w:rPr>
          <w:color w:val="000000"/>
          <w:spacing w:val="0"/>
          <w:w w:val="100"/>
          <w:position w:val="0"/>
        </w:rPr>
        <w:t>1</w:t>
      </w:r>
      <w:bookmarkEnd w:id="701"/>
      <w:r>
        <w:rPr>
          <w:color w:val="000000"/>
          <w:spacing w:val="0"/>
          <w:w w:val="100"/>
          <w:position w:val="0"/>
        </w:rPr>
        <w:t>、公司注册地、组织形式和总部地址</w:t>
      </w:r>
      <w:bookmarkEnd w:id="699"/>
      <w:bookmarkEnd w:id="700"/>
      <w:bookmarkEnd w:id="702"/>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恒宝股份有限公司（以下简称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恒宝股份</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）前身系江苏恒宝实业发展有限公司，经江苏省人民政府于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日以苏政复</w:t>
      </w:r>
      <w:r>
        <w:rPr>
          <w:rFonts w:ascii="Times New Roman" w:eastAsia="Times New Roman" w:hAnsi="Times New Roman" w:cs="Times New Roman"/>
          <w:color w:val="000000"/>
          <w:spacing w:val="0"/>
          <w:w w:val="100"/>
          <w:position w:val="0"/>
        </w:rPr>
        <w:t>[2000]187</w:t>
      </w:r>
      <w:r>
        <w:rPr>
          <w:color w:val="000000"/>
          <w:spacing w:val="0"/>
          <w:w w:val="100"/>
          <w:position w:val="0"/>
        </w:rPr>
        <w:t>号文批准依法整体变更为江苏恒宝股份有限公司，设立时股本为人民币</w:t>
      </w:r>
      <w:r>
        <w:rPr>
          <w:rFonts w:ascii="Times New Roman" w:eastAsia="Times New Roman" w:hAnsi="Times New Roman" w:cs="Times New Roman"/>
          <w:color w:val="000000"/>
          <w:spacing w:val="0"/>
          <w:w w:val="100"/>
          <w:position w:val="0"/>
        </w:rPr>
        <w:t>4,000</w:t>
      </w:r>
      <w:r>
        <w:rPr>
          <w:color w:val="000000"/>
          <w:spacing w:val="0"/>
          <w:w w:val="100"/>
          <w:position w:val="0"/>
        </w:rPr>
        <w:t>万元，由钱云宝等</w:t>
      </w:r>
      <w:r>
        <w:rPr>
          <w:rFonts w:ascii="Times New Roman" w:eastAsia="Times New Roman" w:hAnsi="Times New Roman" w:cs="Times New Roman"/>
          <w:color w:val="000000"/>
          <w:spacing w:val="0"/>
          <w:w w:val="100"/>
          <w:position w:val="0"/>
        </w:rPr>
        <w:t xml:space="preserve">7 </w:t>
      </w:r>
      <w:r>
        <w:rPr>
          <w:color w:val="000000"/>
          <w:spacing w:val="0"/>
          <w:w w:val="100"/>
          <w:position w:val="0"/>
        </w:rPr>
        <w:t>位自然人共同发起设立。</w:t>
      </w:r>
      <w:r>
        <w:rPr>
          <w:rFonts w:ascii="Times New Roman" w:eastAsia="Times New Roman" w:hAnsi="Times New Roman" w:cs="Times New Roman"/>
          <w:color w:val="000000"/>
          <w:spacing w:val="0"/>
          <w:w w:val="100"/>
          <w:position w:val="0"/>
        </w:rPr>
        <w:t>2007</w:t>
      </w:r>
      <w:r>
        <w:rPr>
          <w:color w:val="000000"/>
          <w:spacing w:val="0"/>
          <w:w w:val="100"/>
          <w:position w:val="0"/>
        </w:rPr>
        <w:t>年公司更名为恒宝股份有限公司；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日公司在深圳证券交易所上市，股票代码： </w:t>
      </w:r>
      <w:r>
        <w:rPr>
          <w:rFonts w:ascii="Times New Roman" w:eastAsia="Times New Roman" w:hAnsi="Times New Roman" w:cs="Times New Roman"/>
          <w:color w:val="000000"/>
          <w:spacing w:val="0"/>
          <w:w w:val="100"/>
          <w:position w:val="0"/>
        </w:rPr>
        <w:t>002104</w:t>
      </w:r>
      <w:r>
        <w:rPr>
          <w:color w:val="000000"/>
          <w:spacing w:val="0"/>
          <w:w w:val="100"/>
          <w:position w:val="0"/>
        </w:rPr>
        <w:t>。</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2004</w:t>
      </w:r>
      <w:r>
        <w:rPr>
          <w:color w:val="000000"/>
          <w:spacing w:val="0"/>
          <w:w w:val="100"/>
          <w:position w:val="0"/>
        </w:rPr>
        <w:t>年第一次临时股东大会决议，原股东张义荣、徐钦鸿、钱科文和陈玉涛将其持有公司的部分 股权转让给江浩然、潘梅芳和曹志新。股权转让后公司注册资本仍为人民币</w:t>
      </w:r>
      <w:r>
        <w:rPr>
          <w:rFonts w:ascii="Times New Roman" w:eastAsia="Times New Roman" w:hAnsi="Times New Roman" w:cs="Times New Roman"/>
          <w:color w:val="000000"/>
          <w:spacing w:val="0"/>
          <w:w w:val="100"/>
          <w:position w:val="0"/>
        </w:rPr>
        <w:t>4,000</w:t>
      </w:r>
      <w:r>
        <w:rPr>
          <w:color w:val="000000"/>
          <w:spacing w:val="0"/>
          <w:w w:val="100"/>
          <w:position w:val="0"/>
        </w:rPr>
        <w:t>万元，钱云宝等</w:t>
      </w:r>
      <w:r>
        <w:rPr>
          <w:rFonts w:ascii="Times New Roman" w:eastAsia="Times New Roman" w:hAnsi="Times New Roman" w:cs="Times New Roman"/>
          <w:color w:val="000000"/>
          <w:spacing w:val="0"/>
          <w:w w:val="100"/>
          <w:position w:val="0"/>
        </w:rPr>
        <w:t>6</w:t>
      </w:r>
      <w:r>
        <w:rPr>
          <w:color w:val="000000"/>
          <w:spacing w:val="0"/>
          <w:w w:val="100"/>
          <w:position w:val="0"/>
        </w:rPr>
        <w:t>位自然人为股东。</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2004</w:t>
      </w:r>
      <w:r>
        <w:rPr>
          <w:color w:val="000000"/>
          <w:spacing w:val="0"/>
          <w:w w:val="100"/>
          <w:position w:val="0"/>
        </w:rPr>
        <w:t>年度股东大会决议和修改后章程的规定，并经江苏省人民政府于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日以苏政复</w:t>
      </w:r>
      <w:r>
        <w:rPr>
          <w:rFonts w:ascii="Times New Roman" w:eastAsia="Times New Roman" w:hAnsi="Times New Roman" w:cs="Times New Roman"/>
          <w:color w:val="000000"/>
          <w:spacing w:val="0"/>
          <w:w w:val="100"/>
          <w:position w:val="0"/>
        </w:rPr>
        <w:t>[2005]45</w:t>
      </w:r>
      <w:r>
        <w:rPr>
          <w:color w:val="000000"/>
          <w:spacing w:val="0"/>
          <w:w w:val="100"/>
          <w:position w:val="0"/>
        </w:rPr>
        <w:t>号《关 于同意江苏恒宝股份有限公司增资扩股批复》同意，公司将</w:t>
      </w:r>
      <w:r>
        <w:rPr>
          <w:rFonts w:ascii="Times New Roman" w:eastAsia="Times New Roman" w:hAnsi="Times New Roman" w:cs="Times New Roman"/>
          <w:color w:val="000000"/>
          <w:spacing w:val="0"/>
          <w:w w:val="100"/>
          <w:position w:val="0"/>
        </w:rPr>
        <w:t>2004</w:t>
      </w:r>
      <w:r>
        <w:rPr>
          <w:color w:val="000000"/>
          <w:spacing w:val="0"/>
          <w:w w:val="100"/>
          <w:position w:val="0"/>
        </w:rPr>
        <w:t>年度实际未分配利润，以</w:t>
      </w:r>
      <w:r>
        <w:rPr>
          <w:rFonts w:ascii="Times New Roman" w:eastAsia="Times New Roman" w:hAnsi="Times New Roman" w:cs="Times New Roman"/>
          <w:color w:val="000000"/>
          <w:spacing w:val="0"/>
          <w:w w:val="100"/>
          <w:position w:val="0"/>
        </w:rPr>
        <w:t>2004</w:t>
      </w:r>
      <w:r>
        <w:rPr>
          <w:color w:val="000000"/>
          <w:spacing w:val="0"/>
          <w:w w:val="100"/>
          <w:position w:val="0"/>
        </w:rPr>
        <w:t>年末</w:t>
      </w:r>
      <w:r>
        <w:rPr>
          <w:rFonts w:ascii="Times New Roman" w:eastAsia="Times New Roman" w:hAnsi="Times New Roman" w:cs="Times New Roman"/>
          <w:color w:val="000000"/>
          <w:spacing w:val="0"/>
          <w:w w:val="100"/>
          <w:position w:val="0"/>
        </w:rPr>
        <w:t>4,000</w:t>
      </w:r>
      <w:r>
        <w:rPr>
          <w:color w:val="000000"/>
          <w:spacing w:val="0"/>
          <w:w w:val="100"/>
          <w:position w:val="0"/>
        </w:rPr>
        <w:t>万元股本为基数按 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8</w:t>
      </w:r>
      <w:r>
        <w:rPr>
          <w:color w:val="000000"/>
          <w:spacing w:val="0"/>
          <w:w w:val="100"/>
          <w:position w:val="0"/>
        </w:rPr>
        <w:t>股转增资本人民币</w:t>
      </w:r>
      <w:r>
        <w:rPr>
          <w:rFonts w:ascii="Times New Roman" w:eastAsia="Times New Roman" w:hAnsi="Times New Roman" w:cs="Times New Roman"/>
          <w:color w:val="000000"/>
          <w:spacing w:val="0"/>
          <w:w w:val="100"/>
          <w:position w:val="0"/>
        </w:rPr>
        <w:t>3,200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7,200</w:t>
      </w:r>
      <w:r>
        <w:rPr>
          <w:color w:val="000000"/>
          <w:spacing w:val="0"/>
          <w:w w:val="100"/>
          <w:position w:val="0"/>
        </w:rPr>
        <w:t>万元。股东仍为钱云宝等</w:t>
      </w:r>
      <w:r>
        <w:rPr>
          <w:rFonts w:ascii="Times New Roman" w:eastAsia="Times New Roman" w:hAnsi="Times New Roman" w:cs="Times New Roman"/>
          <w:color w:val="000000"/>
          <w:spacing w:val="0"/>
          <w:w w:val="100"/>
          <w:position w:val="0"/>
        </w:rPr>
        <w:t>6</w:t>
      </w:r>
      <w:r>
        <w:rPr>
          <w:color w:val="000000"/>
          <w:spacing w:val="0"/>
          <w:w w:val="100"/>
          <w:position w:val="0"/>
        </w:rPr>
        <w:t>位自然人。</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年度股东大会决议和修改后章程的规定，公司将</w:t>
      </w:r>
      <w:r>
        <w:rPr>
          <w:rFonts w:ascii="Times New Roman" w:eastAsia="Times New Roman" w:hAnsi="Times New Roman" w:cs="Times New Roman"/>
          <w:color w:val="000000"/>
          <w:spacing w:val="0"/>
          <w:w w:val="100"/>
          <w:position w:val="0"/>
        </w:rPr>
        <w:t>2005</w:t>
      </w:r>
      <w:r>
        <w:rPr>
          <w:color w:val="000000"/>
          <w:spacing w:val="0"/>
          <w:w w:val="100"/>
          <w:position w:val="0"/>
        </w:rPr>
        <w:t>年度实际未分配利润，以</w:t>
      </w:r>
      <w:r>
        <w:rPr>
          <w:rFonts w:ascii="Times New Roman" w:eastAsia="Times New Roman" w:hAnsi="Times New Roman" w:cs="Times New Roman"/>
          <w:color w:val="000000"/>
          <w:spacing w:val="0"/>
          <w:w w:val="100"/>
          <w:position w:val="0"/>
        </w:rPr>
        <w:t>2005</w:t>
      </w:r>
      <w:r>
        <w:rPr>
          <w:color w:val="000000"/>
          <w:spacing w:val="0"/>
          <w:w w:val="100"/>
          <w:position w:val="0"/>
        </w:rPr>
        <w:t>年末</w:t>
      </w:r>
      <w:r>
        <w:rPr>
          <w:rFonts w:ascii="Times New Roman" w:eastAsia="Times New Roman" w:hAnsi="Times New Roman" w:cs="Times New Roman"/>
          <w:color w:val="000000"/>
          <w:spacing w:val="0"/>
          <w:w w:val="100"/>
          <w:position w:val="0"/>
        </w:rPr>
        <w:t>7,200</w:t>
      </w:r>
      <w:r>
        <w:rPr>
          <w:color w:val="000000"/>
          <w:spacing w:val="0"/>
          <w:w w:val="100"/>
          <w:position w:val="0"/>
        </w:rPr>
        <w:t>万元股本为 基数按每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股转增注册资本人民币</w:t>
      </w:r>
      <w:r>
        <w:rPr>
          <w:rFonts w:ascii="Times New Roman" w:eastAsia="Times New Roman" w:hAnsi="Times New Roman" w:cs="Times New Roman"/>
          <w:color w:val="000000"/>
          <w:spacing w:val="0"/>
          <w:w w:val="100"/>
          <w:position w:val="0"/>
        </w:rPr>
        <w:t>1,440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8,640</w:t>
      </w:r>
      <w:r>
        <w:rPr>
          <w:color w:val="000000"/>
          <w:spacing w:val="0"/>
          <w:w w:val="100"/>
          <w:position w:val="0"/>
        </w:rPr>
        <w:t>万元。股东仍为钱云宝等</w:t>
      </w:r>
      <w:r>
        <w:rPr>
          <w:rFonts w:ascii="Times New Roman" w:eastAsia="Times New Roman" w:hAnsi="Times New Roman" w:cs="Times New Roman"/>
          <w:color w:val="000000"/>
          <w:spacing w:val="0"/>
          <w:w w:val="100"/>
          <w:position w:val="0"/>
        </w:rPr>
        <w:t>6</w:t>
      </w:r>
      <w:r>
        <w:rPr>
          <w:color w:val="000000"/>
          <w:spacing w:val="0"/>
          <w:w w:val="100"/>
          <w:position w:val="0"/>
        </w:rPr>
        <w:t>位自然人。</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年度股东大会决议，并经中国证券监督管理委员会证监发行字</w:t>
      </w:r>
      <w:r>
        <w:rPr>
          <w:rFonts w:ascii="Times New Roman" w:eastAsia="Times New Roman" w:hAnsi="Times New Roman" w:cs="Times New Roman"/>
          <w:color w:val="000000"/>
          <w:spacing w:val="0"/>
          <w:w w:val="100"/>
          <w:position w:val="0"/>
        </w:rPr>
        <w:t>[2006]157</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2,880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变更后的注册资本为人民币</w:t>
      </w:r>
      <w:r>
        <w:rPr>
          <w:rFonts w:ascii="Times New Roman" w:eastAsia="Times New Roman" w:hAnsi="Times New Roman" w:cs="Times New Roman"/>
          <w:color w:val="000000"/>
          <w:spacing w:val="0"/>
          <w:w w:val="100"/>
          <w:position w:val="0"/>
        </w:rPr>
        <w:t>11,520</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2006</w:t>
      </w:r>
      <w:r>
        <w:rPr>
          <w:color w:val="000000"/>
          <w:spacing w:val="0"/>
          <w:w w:val="100"/>
          <w:position w:val="0"/>
        </w:rPr>
        <w:t>年度股东会决议和修改后的章程规定，公司将资本公积按每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股的比例转增股本，转增基准日期 为</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rPr>
        <w:t>19,584</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年度股东会决议和修改后的章程规定，公司将资本公积按每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 xml:space="preserve">股的比例转增股本，转增基准日期 </w:t>
      </w:r>
      <w:r>
        <w:rPr>
          <w:color w:val="000000"/>
          <w:spacing w:val="0"/>
          <w:w w:val="100"/>
          <w:position w:val="0"/>
        </w:rPr>
        <w:t>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i/>
          <w:iCs/>
          <w:color w:val="000000"/>
          <w:spacing w:val="0"/>
          <w:w w:val="100"/>
          <w:position w:val="0"/>
        </w:rPr>
        <w:t>,</w:t>
      </w:r>
      <w:r>
        <w:rPr>
          <w:color w:val="000000"/>
          <w:spacing w:val="0"/>
          <w:w w:val="100"/>
          <w:position w:val="0"/>
        </w:rPr>
        <w:t>变更后注册资本为人民币</w:t>
      </w:r>
      <w:r>
        <w:rPr>
          <w:rFonts w:ascii="Times New Roman" w:eastAsia="Times New Roman" w:hAnsi="Times New Roman" w:cs="Times New Roman"/>
          <w:color w:val="000000"/>
          <w:spacing w:val="0"/>
          <w:w w:val="100"/>
          <w:position w:val="0"/>
        </w:rPr>
        <w:t>29,376</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年度股东大会决议和修改后章程的规定，公司以</w:t>
      </w:r>
      <w:r>
        <w:rPr>
          <w:rFonts w:ascii="Times New Roman" w:eastAsia="Times New Roman" w:hAnsi="Times New Roman" w:cs="Times New Roman"/>
          <w:color w:val="000000"/>
          <w:spacing w:val="0"/>
          <w:w w:val="100"/>
          <w:position w:val="0"/>
        </w:rPr>
        <w:t>2009</w:t>
      </w:r>
      <w:r>
        <w:rPr>
          <w:color w:val="000000"/>
          <w:spacing w:val="0"/>
          <w:w w:val="100"/>
          <w:position w:val="0"/>
        </w:rPr>
        <w:t>年末</w:t>
      </w:r>
      <w:r>
        <w:rPr>
          <w:rFonts w:ascii="Times New Roman" w:eastAsia="Times New Roman" w:hAnsi="Times New Roman" w:cs="Times New Roman"/>
          <w:color w:val="000000"/>
          <w:spacing w:val="0"/>
          <w:w w:val="100"/>
          <w:position w:val="0"/>
        </w:rPr>
        <w:t>29,376</w:t>
      </w:r>
      <w:r>
        <w:rPr>
          <w:color w:val="000000"/>
          <w:spacing w:val="0"/>
          <w:w w:val="100"/>
          <w:position w:val="0"/>
        </w:rPr>
        <w:t>万元股本为基数按每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5</w:t>
      </w:r>
      <w:r>
        <w:rPr>
          <w:color w:val="000000"/>
          <w:spacing w:val="0"/>
          <w:w w:val="100"/>
          <w:position w:val="0"/>
        </w:rPr>
        <w:t>股转增注册 资本人民币</w:t>
      </w:r>
      <w:r>
        <w:rPr>
          <w:rFonts w:ascii="Times New Roman" w:eastAsia="Times New Roman" w:hAnsi="Times New Roman" w:cs="Times New Roman"/>
          <w:color w:val="000000"/>
          <w:spacing w:val="0"/>
          <w:w w:val="100"/>
          <w:position w:val="0"/>
        </w:rPr>
        <w:t>14,688</w:t>
      </w:r>
      <w:r>
        <w:rPr>
          <w:color w:val="000000"/>
          <w:spacing w:val="0"/>
          <w:w w:val="100"/>
          <w:position w:val="0"/>
        </w:rPr>
        <w:t>万元，公司申请增加注册资本人民币</w:t>
      </w:r>
      <w:r>
        <w:rPr>
          <w:rFonts w:ascii="Times New Roman" w:eastAsia="Times New Roman" w:hAnsi="Times New Roman" w:cs="Times New Roman"/>
          <w:color w:val="000000"/>
          <w:spacing w:val="0"/>
          <w:w w:val="100"/>
          <w:position w:val="0"/>
        </w:rPr>
        <w:t>14,688</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rPr>
        <w:t>44,064</w:t>
      </w:r>
      <w:r>
        <w:rPr>
          <w:color w:val="000000"/>
          <w:spacing w:val="0"/>
          <w:w w:val="100"/>
          <w:position w:val="0"/>
        </w:rPr>
        <w:t>万元。</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年度股东大会决议和修改后章程的规定，公司以</w:t>
      </w:r>
      <w:r>
        <w:rPr>
          <w:rFonts w:ascii="Times New Roman" w:eastAsia="Times New Roman" w:hAnsi="Times New Roman" w:cs="Times New Roman"/>
          <w:color w:val="000000"/>
          <w:spacing w:val="0"/>
          <w:w w:val="100"/>
          <w:position w:val="0"/>
        </w:rPr>
        <w:t>2013</w:t>
      </w:r>
      <w:r>
        <w:rPr>
          <w:color w:val="000000"/>
          <w:spacing w:val="0"/>
          <w:w w:val="100"/>
          <w:position w:val="0"/>
        </w:rPr>
        <w:t>年末</w:t>
      </w:r>
      <w:r>
        <w:rPr>
          <w:rFonts w:ascii="Times New Roman" w:eastAsia="Times New Roman" w:hAnsi="Times New Roman" w:cs="Times New Roman"/>
          <w:color w:val="000000"/>
          <w:spacing w:val="0"/>
          <w:w w:val="100"/>
          <w:position w:val="0"/>
        </w:rPr>
        <w:t>44,064</w:t>
      </w:r>
      <w:r>
        <w:rPr>
          <w:color w:val="000000"/>
          <w:spacing w:val="0"/>
          <w:w w:val="100"/>
          <w:position w:val="0"/>
        </w:rPr>
        <w:t>万元股本为基数按每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6</w:t>
      </w:r>
      <w:r>
        <w:rPr>
          <w:color w:val="000000"/>
          <w:spacing w:val="0"/>
          <w:w w:val="100"/>
          <w:position w:val="0"/>
        </w:rPr>
        <w:t>股转增注册 资本人民币</w:t>
      </w:r>
      <w:r>
        <w:rPr>
          <w:rFonts w:ascii="Times New Roman" w:eastAsia="Times New Roman" w:hAnsi="Times New Roman" w:cs="Times New Roman"/>
          <w:color w:val="000000"/>
          <w:spacing w:val="0"/>
          <w:w w:val="100"/>
          <w:position w:val="0"/>
        </w:rPr>
        <w:t>26,438.40</w:t>
      </w:r>
      <w:r>
        <w:rPr>
          <w:color w:val="000000"/>
          <w:spacing w:val="0"/>
          <w:w w:val="100"/>
          <w:position w:val="0"/>
        </w:rPr>
        <w:t>万元，公司申请增加注册资本人民币</w:t>
      </w:r>
      <w:r>
        <w:rPr>
          <w:rFonts w:ascii="Times New Roman" w:eastAsia="Times New Roman" w:hAnsi="Times New Roman" w:cs="Times New Roman"/>
          <w:color w:val="000000"/>
          <w:spacing w:val="0"/>
          <w:w w:val="100"/>
          <w:position w:val="0"/>
        </w:rPr>
        <w:t>26,438.40</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rPr>
        <w:t>70,502.4</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年第一次临时股东大会决议和股票期权与限制性股票激励计划规定，公司向激励对象定向发行有限售条件 的流通股，增加注册资本人民币</w:t>
      </w:r>
      <w:r>
        <w:rPr>
          <w:rFonts w:ascii="Times New Roman" w:eastAsia="Times New Roman" w:hAnsi="Times New Roman" w:cs="Times New Roman"/>
          <w:color w:val="000000"/>
          <w:spacing w:val="0"/>
          <w:w w:val="100"/>
          <w:position w:val="0"/>
        </w:rPr>
        <w:t>817.60</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rPr>
        <w:t>71,320</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firstLine="3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月，公司因股票期权首次行权增加股本</w:t>
      </w:r>
      <w:r>
        <w:rPr>
          <w:rFonts w:ascii="Times New Roman" w:eastAsia="Times New Roman" w:hAnsi="Times New Roman" w:cs="Times New Roman"/>
          <w:color w:val="000000"/>
          <w:spacing w:val="0"/>
          <w:w w:val="100"/>
          <w:position w:val="0"/>
        </w:rPr>
        <w:t>34.40</w:t>
      </w:r>
      <w:r>
        <w:rPr>
          <w:color w:val="000000"/>
          <w:spacing w:val="0"/>
          <w:w w:val="100"/>
          <w:position w:val="0"/>
        </w:rPr>
        <w:t>万股，变更后的股本总数为</w:t>
      </w:r>
      <w:r>
        <w:rPr>
          <w:rFonts w:ascii="Times New Roman" w:eastAsia="Times New Roman" w:hAnsi="Times New Roman" w:cs="Times New Roman"/>
          <w:color w:val="000000"/>
          <w:spacing w:val="0"/>
          <w:w w:val="100"/>
          <w:position w:val="0"/>
        </w:rPr>
        <w:t>71,354.40</w:t>
      </w:r>
      <w:r>
        <w:rPr>
          <w:color w:val="000000"/>
          <w:spacing w:val="0"/>
          <w:w w:val="100"/>
          <w:position w:val="0"/>
        </w:rPr>
        <w:t>万股。</w:t>
      </w:r>
    </w:p>
    <w:p>
      <w:pPr>
        <w:pStyle w:val="Style29"/>
        <w:keepNext w:val="0"/>
        <w:keepLines w:val="0"/>
        <w:widowControl w:val="0"/>
        <w:shd w:val="clear" w:color="auto" w:fill="auto"/>
        <w:bidi w:val="0"/>
        <w:spacing w:before="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月，公司因部分员工离职，回购并注销限制性股票</w:t>
      </w:r>
      <w:r>
        <w:rPr>
          <w:rFonts w:ascii="Times New Roman" w:eastAsia="Times New Roman" w:hAnsi="Times New Roman" w:cs="Times New Roman"/>
          <w:color w:val="000000"/>
          <w:spacing w:val="0"/>
          <w:w w:val="100"/>
          <w:position w:val="0"/>
        </w:rPr>
        <w:t>4</w:t>
      </w:r>
      <w:r>
        <w:rPr>
          <w:color w:val="000000"/>
          <w:spacing w:val="0"/>
          <w:w w:val="100"/>
          <w:position w:val="0"/>
        </w:rPr>
        <w:t>万股；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月，公司因股票期权第二次行权增加股本数 量</w:t>
      </w:r>
      <w:r>
        <w:rPr>
          <w:rFonts w:ascii="Times New Roman" w:eastAsia="Times New Roman" w:hAnsi="Times New Roman" w:cs="Times New Roman"/>
          <w:color w:val="000000"/>
          <w:spacing w:val="0"/>
          <w:w w:val="100"/>
          <w:position w:val="0"/>
        </w:rPr>
        <w:t>14.4</w:t>
      </w:r>
      <w:r>
        <w:rPr>
          <w:rFonts w:ascii="Times New Roman" w:eastAsia="Times New Roman" w:hAnsi="Times New Roman" w:cs="Times New Roman"/>
          <w:color w:val="000000"/>
          <w:spacing w:val="0"/>
          <w:w w:val="100"/>
          <w:position w:val="0"/>
        </w:rPr>
        <w:t>0</w:t>
      </w:r>
      <w:r>
        <w:rPr>
          <w:color w:val="000000"/>
          <w:spacing w:val="0"/>
          <w:w w:val="100"/>
          <w:position w:val="0"/>
        </w:rPr>
        <w:t>万股，变更后的股本总数为</w:t>
      </w:r>
      <w:r>
        <w:rPr>
          <w:rFonts w:ascii="Times New Roman" w:eastAsia="Times New Roman" w:hAnsi="Times New Roman" w:cs="Times New Roman"/>
          <w:color w:val="000000"/>
          <w:spacing w:val="0"/>
          <w:w w:val="100"/>
          <w:position w:val="0"/>
        </w:rPr>
        <w:t>71,364.8</w:t>
      </w:r>
      <w:r>
        <w:rPr>
          <w:rFonts w:ascii="Times New Roman" w:eastAsia="Times New Roman" w:hAnsi="Times New Roman" w:cs="Times New Roman"/>
          <w:color w:val="000000"/>
          <w:spacing w:val="0"/>
          <w:w w:val="100"/>
          <w:position w:val="0"/>
        </w:rPr>
        <w:t>0</w:t>
      </w:r>
      <w:r>
        <w:rPr>
          <w:color w:val="000000"/>
          <w:spacing w:val="0"/>
          <w:w w:val="100"/>
          <w:position w:val="0"/>
        </w:rPr>
        <w:t>万股。</w:t>
      </w:r>
    </w:p>
    <w:p>
      <w:pPr>
        <w:pStyle w:val="Style29"/>
        <w:keepNext w:val="0"/>
        <w:keepLines w:val="0"/>
        <w:widowControl w:val="0"/>
        <w:shd w:val="clear" w:color="auto" w:fill="auto"/>
        <w:bidi w:val="0"/>
        <w:spacing w:before="0" w:line="307"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日，公司原实际控制人钱云宝先生因病医治无效去世，其相应股份由其子钱京先生依法继承。至此，钱京 先生持有公司股份</w:t>
      </w:r>
      <w:r>
        <w:rPr>
          <w:rFonts w:ascii="Times New Roman" w:eastAsia="Times New Roman" w:hAnsi="Times New Roman" w:cs="Times New Roman"/>
          <w:color w:val="000000"/>
          <w:spacing w:val="0"/>
          <w:w w:val="100"/>
          <w:position w:val="0"/>
        </w:rPr>
        <w:t>143,925,147</w:t>
      </w:r>
      <w:r>
        <w:rPr>
          <w:color w:val="000000"/>
          <w:spacing w:val="0"/>
          <w:w w:val="100"/>
          <w:position w:val="0"/>
        </w:rPr>
        <w:t>股，占公司总股本</w:t>
      </w:r>
      <w:r>
        <w:rPr>
          <w:rFonts w:ascii="Times New Roman" w:eastAsia="Times New Roman" w:hAnsi="Times New Roman" w:cs="Times New Roman"/>
          <w:color w:val="000000"/>
          <w:spacing w:val="0"/>
          <w:w w:val="100"/>
          <w:position w:val="0"/>
        </w:rPr>
        <w:t>20.17%</w:t>
      </w:r>
      <w:r>
        <w:rPr>
          <w:color w:val="000000"/>
          <w:spacing w:val="0"/>
          <w:w w:val="100"/>
          <w:position w:val="0"/>
        </w:rPr>
        <w:t>,成为公司实际控制人。</w:t>
      </w:r>
    </w:p>
    <w:p>
      <w:pPr>
        <w:pStyle w:val="Style29"/>
        <w:keepNext w:val="0"/>
        <w:keepLines w:val="0"/>
        <w:widowControl w:val="0"/>
        <w:shd w:val="clear" w:color="auto" w:fill="auto"/>
        <w:bidi w:val="0"/>
        <w:spacing w:before="0" w:line="312"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w:t>
      </w:r>
      <w:r>
        <w:rPr>
          <w:rFonts w:ascii="Times New Roman" w:eastAsia="Times New Roman" w:hAnsi="Times New Roman" w:cs="Times New Roman"/>
          <w:color w:val="000000"/>
          <w:spacing w:val="0"/>
          <w:w w:val="100"/>
          <w:position w:val="0"/>
        </w:rPr>
        <w:t>2016</w:t>
      </w:r>
      <w:r>
        <w:rPr>
          <w:color w:val="000000"/>
          <w:spacing w:val="0"/>
          <w:w w:val="100"/>
          <w:position w:val="0"/>
        </w:rPr>
        <w:t>年度业绩考核结果未满足股票期权和限制性股票激励计划授予的限制性股票第三期解锁条件，公司 回购并注销限制性股票</w:t>
      </w:r>
      <w:r>
        <w:rPr>
          <w:rFonts w:ascii="Times New Roman" w:eastAsia="Times New Roman" w:hAnsi="Times New Roman" w:cs="Times New Roman"/>
          <w:color w:val="000000"/>
          <w:spacing w:val="0"/>
          <w:w w:val="100"/>
          <w:position w:val="0"/>
        </w:rPr>
        <w:t>161.92</w:t>
      </w:r>
      <w:r>
        <w:rPr>
          <w:color w:val="000000"/>
          <w:spacing w:val="0"/>
          <w:w w:val="100"/>
          <w:position w:val="0"/>
        </w:rPr>
        <w:t>万股，变更后股本总数为</w:t>
      </w:r>
      <w:r>
        <w:rPr>
          <w:rFonts w:ascii="Times New Roman" w:eastAsia="Times New Roman" w:hAnsi="Times New Roman" w:cs="Times New Roman"/>
          <w:color w:val="000000"/>
          <w:spacing w:val="0"/>
          <w:w w:val="100"/>
          <w:position w:val="0"/>
        </w:rPr>
        <w:t>71,202.88</w:t>
      </w:r>
      <w:r>
        <w:rPr>
          <w:color w:val="000000"/>
          <w:spacing w:val="0"/>
          <w:w w:val="100"/>
          <w:position w:val="0"/>
        </w:rPr>
        <w:t>万股。</w:t>
      </w:r>
    </w:p>
    <w:p>
      <w:pPr>
        <w:pStyle w:val="Style29"/>
        <w:keepNext w:val="0"/>
        <w:keepLines w:val="0"/>
        <w:widowControl w:val="0"/>
        <w:shd w:val="clear" w:color="auto" w:fill="auto"/>
        <w:bidi w:val="0"/>
        <w:spacing w:before="0" w:line="312" w:lineRule="exact"/>
        <w:ind w:left="0" w:right="0" w:firstLine="3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月，公司以集中竞价方式累计回购发行在外的人民币流通股</w:t>
      </w:r>
      <w:r>
        <w:rPr>
          <w:rFonts w:ascii="Times New Roman" w:eastAsia="Times New Roman" w:hAnsi="Times New Roman" w:cs="Times New Roman"/>
          <w:color w:val="000000"/>
          <w:spacing w:val="0"/>
          <w:w w:val="100"/>
          <w:position w:val="0"/>
        </w:rPr>
        <w:t>1,510.7446</w:t>
      </w:r>
      <w:r>
        <w:rPr>
          <w:color w:val="000000"/>
          <w:spacing w:val="0"/>
          <w:w w:val="100"/>
          <w:position w:val="0"/>
        </w:rPr>
        <w:t>万股。公司于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日在中国证券登记结算有限责任公司深圳分公司办理完毕上述</w:t>
      </w:r>
      <w:r>
        <w:rPr>
          <w:rFonts w:ascii="Times New Roman" w:eastAsia="Times New Roman" w:hAnsi="Times New Roman" w:cs="Times New Roman"/>
          <w:color w:val="000000"/>
          <w:spacing w:val="0"/>
          <w:w w:val="100"/>
          <w:position w:val="0"/>
        </w:rPr>
        <w:t>1,510.7446</w:t>
      </w:r>
      <w:r>
        <w:rPr>
          <w:color w:val="000000"/>
          <w:spacing w:val="0"/>
          <w:w w:val="100"/>
          <w:position w:val="0"/>
        </w:rPr>
        <w:t xml:space="preserve">万股回购股份注销手续，变更后股本总数为 </w:t>
      </w:r>
      <w:r>
        <w:rPr>
          <w:rFonts w:ascii="Times New Roman" w:eastAsia="Times New Roman" w:hAnsi="Times New Roman" w:cs="Times New Roman"/>
          <w:color w:val="000000"/>
          <w:spacing w:val="0"/>
          <w:w w:val="100"/>
          <w:position w:val="0"/>
        </w:rPr>
        <w:t>69,692.1354</w:t>
      </w:r>
      <w:r>
        <w:rPr>
          <w:color w:val="000000"/>
          <w:spacing w:val="0"/>
          <w:w w:val="100"/>
          <w:position w:val="0"/>
        </w:rPr>
        <w:t>万股。</w:t>
      </w:r>
    </w:p>
    <w:p>
      <w:pPr>
        <w:pStyle w:val="Style29"/>
        <w:keepNext w:val="0"/>
        <w:keepLines w:val="0"/>
        <w:widowControl w:val="0"/>
        <w:shd w:val="clear" w:color="auto" w:fill="auto"/>
        <w:bidi w:val="0"/>
        <w:spacing w:before="0" w:after="120" w:line="312" w:lineRule="exact"/>
        <w:ind w:left="0" w:right="0" w:firstLine="340"/>
        <w:jc w:val="left"/>
      </w:pPr>
      <w:r>
        <w:rPr>
          <w:color w:val="000000"/>
          <w:spacing w:val="0"/>
          <w:w w:val="100"/>
          <w:position w:val="0"/>
        </w:rPr>
        <w:t>公司统一社会信用代码：</w:t>
      </w:r>
      <w:r>
        <w:rPr>
          <w:rFonts w:ascii="Times New Roman" w:eastAsia="Times New Roman" w:hAnsi="Times New Roman" w:cs="Times New Roman"/>
          <w:color w:val="000000"/>
          <w:spacing w:val="0"/>
          <w:w w:val="100"/>
          <w:position w:val="0"/>
        </w:rPr>
        <w:t>91320000253710940L</w:t>
      </w:r>
      <w:r>
        <w:rPr>
          <w:color w:val="000000"/>
          <w:spacing w:val="0"/>
          <w:w w:val="100"/>
          <w:position w:val="0"/>
        </w:rPr>
        <w:t>，</w:t>
      </w:r>
      <w:r>
        <w:rPr>
          <w:color w:val="000000"/>
          <w:spacing w:val="0"/>
          <w:w w:val="100"/>
          <w:position w:val="0"/>
        </w:rPr>
        <w:t>注册地址及总部地址：江苏省丹阳市横塘工业区，法定代表人：钱京。</w:t>
      </w:r>
    </w:p>
    <w:p>
      <w:pPr>
        <w:pStyle w:val="Style32"/>
        <w:keepNext/>
        <w:keepLines/>
        <w:widowControl w:val="0"/>
        <w:shd w:val="clear" w:color="auto" w:fill="auto"/>
        <w:tabs>
          <w:tab w:pos="818" w:val="left"/>
        </w:tabs>
        <w:bidi w:val="0"/>
        <w:spacing w:before="0" w:after="40" w:line="240" w:lineRule="auto"/>
        <w:ind w:left="0" w:right="0" w:firstLine="440"/>
        <w:jc w:val="both"/>
      </w:pPr>
      <w:bookmarkStart w:id="703" w:name="bookmark703"/>
      <w:bookmarkStart w:id="704" w:name="bookmark704"/>
      <w:bookmarkStart w:id="705" w:name="bookmark705"/>
      <w:bookmarkStart w:id="706" w:name="bookmark706"/>
      <w:r>
        <w:rPr>
          <w:color w:val="000000"/>
          <w:spacing w:val="0"/>
          <w:w w:val="100"/>
          <w:position w:val="0"/>
        </w:rPr>
        <w:t>2</w:t>
      </w:r>
      <w:bookmarkEnd w:id="705"/>
      <w:r>
        <w:rPr>
          <w:color w:val="000000"/>
          <w:spacing w:val="0"/>
          <w:w w:val="100"/>
          <w:position w:val="0"/>
        </w:rPr>
        <w:t>、</w:t>
        <w:tab/>
        <w:t>公司的业务性质和主要经营活动</w:t>
      </w:r>
      <w:bookmarkEnd w:id="703"/>
      <w:bookmarkEnd w:id="704"/>
      <w:bookmarkEnd w:id="706"/>
    </w:p>
    <w:p>
      <w:pPr>
        <w:pStyle w:val="Style29"/>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公司所属行业为计算机、通信和其他电子设备制造业，经营范围为智能卡、磁条卡、票证、票据、密码信封、智能标签、 智能终端、商用密码产品及相关系统软件、读写机具的研发、生产、销售、检测、咨询、技术服务；计算机软硬件、网络设 备、办公自动化设备、移动支付、物联网、网络信息安全产品的开发、生产、销售及系统集成和技术服务；半导体模块封装 生产、检测及技术咨询；自营和代理各类商品和技术的进出口，道路货物运输。（依法须经批准的项目，经相关部门批准后 方可开展经营活动。）</w:t>
      </w:r>
    </w:p>
    <w:p>
      <w:pPr>
        <w:pStyle w:val="Style32"/>
        <w:keepNext/>
        <w:keepLines/>
        <w:widowControl w:val="0"/>
        <w:shd w:val="clear" w:color="auto" w:fill="auto"/>
        <w:tabs>
          <w:tab w:pos="818" w:val="left"/>
        </w:tabs>
        <w:bidi w:val="0"/>
        <w:spacing w:before="0" w:after="40" w:line="240" w:lineRule="auto"/>
        <w:ind w:left="0" w:right="0" w:firstLine="440"/>
        <w:jc w:val="both"/>
      </w:pPr>
      <w:bookmarkStart w:id="707" w:name="bookmark707"/>
      <w:bookmarkStart w:id="708" w:name="bookmark708"/>
      <w:bookmarkStart w:id="709" w:name="bookmark709"/>
      <w:bookmarkStart w:id="710" w:name="bookmark710"/>
      <w:r>
        <w:rPr>
          <w:color w:val="000000"/>
          <w:spacing w:val="0"/>
          <w:w w:val="100"/>
          <w:position w:val="0"/>
        </w:rPr>
        <w:t>3</w:t>
      </w:r>
      <w:bookmarkEnd w:id="709"/>
      <w:r>
        <w:rPr>
          <w:color w:val="000000"/>
          <w:spacing w:val="0"/>
          <w:w w:val="100"/>
          <w:position w:val="0"/>
        </w:rPr>
        <w:t>、</w:t>
        <w:tab/>
        <w:t>财务报告的批准报出</w:t>
      </w:r>
      <w:bookmarkEnd w:id="707"/>
      <w:bookmarkEnd w:id="708"/>
      <w:bookmarkEnd w:id="710"/>
    </w:p>
    <w:p>
      <w:pPr>
        <w:pStyle w:val="Style29"/>
        <w:keepNext w:val="0"/>
        <w:keepLines w:val="0"/>
        <w:widowControl w:val="0"/>
        <w:shd w:val="clear" w:color="auto" w:fill="auto"/>
        <w:bidi w:val="0"/>
        <w:spacing w:before="0" w:after="420" w:line="312" w:lineRule="exact"/>
        <w:ind w:left="0" w:right="0" w:firstLine="340"/>
        <w:jc w:val="left"/>
      </w:pPr>
      <w:r>
        <w:rPr>
          <w:color w:val="000000"/>
          <w:spacing w:val="0"/>
          <w:w w:val="100"/>
          <w:position w:val="0"/>
        </w:rPr>
        <w:t>本财务报表经本公司董事会于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日决议批准报出。</w:t>
      </w:r>
    </w:p>
    <w:p>
      <w:pPr>
        <w:pStyle w:val="Style32"/>
        <w:keepNext/>
        <w:keepLines/>
        <w:widowControl w:val="0"/>
        <w:shd w:val="clear" w:color="auto" w:fill="auto"/>
        <w:bidi w:val="0"/>
        <w:spacing w:before="0" w:after="40" w:line="240" w:lineRule="auto"/>
        <w:ind w:left="0" w:right="0" w:firstLine="340"/>
        <w:jc w:val="both"/>
      </w:pPr>
      <w:bookmarkStart w:id="711" w:name="bookmark711"/>
      <w:bookmarkStart w:id="712" w:name="bookmark712"/>
      <w:bookmarkStart w:id="713" w:name="bookmark713"/>
      <w:bookmarkStart w:id="714" w:name="bookmark714"/>
      <w:r>
        <w:rPr>
          <w:color w:val="000000"/>
          <w:spacing w:val="0"/>
          <w:w w:val="100"/>
          <w:position w:val="0"/>
        </w:rPr>
        <w:t>4</w:t>
      </w:r>
      <w:bookmarkEnd w:id="713"/>
      <w:r>
        <w:rPr>
          <w:color w:val="000000"/>
          <w:spacing w:val="0"/>
          <w:w w:val="100"/>
          <w:position w:val="0"/>
        </w:rPr>
        <w:t>、合并报表范围</w:t>
      </w:r>
      <w:bookmarkEnd w:id="711"/>
      <w:bookmarkEnd w:id="712"/>
      <w:bookmarkEnd w:id="714"/>
    </w:p>
    <w:p>
      <w:pPr>
        <w:pStyle w:val="Style29"/>
        <w:keepNext w:val="0"/>
        <w:keepLines w:val="0"/>
        <w:widowControl w:val="0"/>
        <w:shd w:val="clear" w:color="auto" w:fill="auto"/>
        <w:bidi w:val="0"/>
        <w:spacing w:before="0" w:after="720" w:line="317"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18</w:t>
      </w:r>
      <w:r>
        <w:rPr>
          <w:color w:val="000000"/>
          <w:spacing w:val="0"/>
          <w:w w:val="100"/>
          <w:position w:val="0"/>
        </w:rPr>
        <w:t>户，详见本附注九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。本公司本期合并范围比上期增加 </w:t>
      </w:r>
      <w:r>
        <w:rPr>
          <w:rFonts w:ascii="Times New Roman" w:eastAsia="Times New Roman" w:hAnsi="Times New Roman" w:cs="Times New Roman"/>
          <w:color w:val="000000"/>
          <w:spacing w:val="0"/>
          <w:w w:val="100"/>
          <w:position w:val="0"/>
        </w:rPr>
        <w:t>6</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p>
    <w:p>
      <w:pPr>
        <w:pStyle w:val="Style25"/>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四</w:t>
      </w:r>
      <w:bookmarkEnd w:id="717"/>
      <w:r>
        <w:rPr>
          <w:color w:val="000000"/>
          <w:spacing w:val="0"/>
          <w:w w:val="100"/>
          <w:position w:val="0"/>
          <w:sz w:val="24"/>
          <w:szCs w:val="24"/>
        </w:rPr>
        <w:t>、财务报表的编制基础</w:t>
      </w:r>
      <w:bookmarkEnd w:id="715"/>
      <w:bookmarkEnd w:id="716"/>
      <w:bookmarkEnd w:id="718"/>
    </w:p>
    <w:p>
      <w:pPr>
        <w:pStyle w:val="Style32"/>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、编制基础</w:t>
      </w:r>
      <w:bookmarkEnd w:id="719"/>
      <w:bookmarkEnd w:id="720"/>
      <w:bookmarkEnd w:id="722"/>
    </w:p>
    <w:p>
      <w:pPr>
        <w:pStyle w:val="Style29"/>
        <w:keepNext w:val="0"/>
        <w:keepLines w:val="0"/>
        <w:widowControl w:val="0"/>
        <w:shd w:val="clear" w:color="auto" w:fill="auto"/>
        <w:bidi w:val="0"/>
        <w:spacing w:before="0" w:line="310" w:lineRule="exact"/>
        <w:ind w:left="0" w:right="0" w:firstLine="380"/>
        <w:jc w:val="left"/>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rPr>
        <w:t>42</w:t>
      </w:r>
      <w:r>
        <w:rPr>
          <w:color w:val="000000"/>
          <w:spacing w:val="0"/>
          <w:w w:val="100"/>
          <w:position w:val="0"/>
        </w:rPr>
        <w:t>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2"/>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、持续经营</w:t>
      </w:r>
      <w:bookmarkEnd w:id="723"/>
      <w:bookmarkEnd w:id="724"/>
      <w:bookmarkEnd w:id="726"/>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本财务报表以持续经营为基础列报，本公司自报告期末起至少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个月具有持续经营能力。</w:t>
      </w:r>
    </w:p>
    <w:p>
      <w:pPr>
        <w:pStyle w:val="Style25"/>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、重要会计政策及会计估计</w:t>
      </w:r>
      <w:bookmarkEnd w:id="727"/>
      <w:bookmarkEnd w:id="728"/>
      <w:bookmarkEnd w:id="73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本公司及各子公司根据实际生产经营特点，依据相关企业会计准则的规定，对收入确认等交易和事项制定了若干项具体 会计政策和会计估计，详见本附注五、</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的描述。关于管理层所作出的重大会计判断和估计的说明，请参阅附注五、 </w:t>
      </w:r>
      <w:r>
        <w:rPr>
          <w:rFonts w:ascii="Times New Roman" w:eastAsia="Times New Roman" w:hAnsi="Times New Roman" w:cs="Times New Roman"/>
          <w:color w:val="000000"/>
          <w:spacing w:val="0"/>
          <w:w w:val="100"/>
          <w:position w:val="0"/>
        </w:rPr>
        <w:t>45</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遵循企业会计准则的声明</w:t>
      </w:r>
      <w:bookmarkEnd w:id="731"/>
      <w:bookmarkEnd w:id="732"/>
      <w:bookmarkEnd w:id="734"/>
    </w:p>
    <w:p>
      <w:pPr>
        <w:pStyle w:val="Style29"/>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 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年度的合并及母公司经营成果和合并及母公司现金流量等有关信息。此外，本公司的财务报表在所有重大方面符合中 国证券监督管理委员会</w:t>
      </w:r>
      <w:r>
        <w:rPr>
          <w:rFonts w:ascii="Times New Roman" w:eastAsia="Times New Roman" w:hAnsi="Times New Roman" w:cs="Times New Roman"/>
          <w:color w:val="000000"/>
          <w:spacing w:val="0"/>
          <w:w w:val="100"/>
          <w:position w:val="0"/>
        </w:rPr>
        <w:t>2 014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 及其附注的披露要求。</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会计期间</w:t>
      </w:r>
      <w:bookmarkEnd w:id="735"/>
      <w:bookmarkEnd w:id="736"/>
      <w:bookmarkEnd w:id="738"/>
    </w:p>
    <w:p>
      <w:pPr>
        <w:pStyle w:val="Style29"/>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止。</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w:t>
        <w:tab/>
        <w:t>营业周期</w:t>
      </w:r>
      <w:bookmarkEnd w:id="739"/>
      <w:bookmarkEnd w:id="740"/>
      <w:bookmarkEnd w:id="742"/>
    </w:p>
    <w:p>
      <w:pPr>
        <w:pStyle w:val="Style29"/>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w:t>
        <w:tab/>
        <w:t>记账本位币</w:t>
      </w:r>
      <w:bookmarkEnd w:id="743"/>
      <w:bookmarkEnd w:id="744"/>
      <w:bookmarkEnd w:id="746"/>
    </w:p>
    <w:p>
      <w:pPr>
        <w:pStyle w:val="Style29"/>
        <w:keepNext w:val="0"/>
        <w:keepLines w:val="0"/>
        <w:widowControl w:val="0"/>
        <w:shd w:val="clear" w:color="auto" w:fill="auto"/>
        <w:bidi w:val="0"/>
        <w:spacing w:before="0" w:after="360" w:line="305"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之境外子公司根据其经营所处的主要经济环境中的货币确定为其记账本位币。本公司编制本财务报表时所采用的货币为人民 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29"/>
        <w:keepNext w:val="0"/>
        <w:keepLines w:val="0"/>
        <w:widowControl w:val="0"/>
        <w:numPr>
          <w:ilvl w:val="0"/>
          <w:numId w:val="21"/>
        </w:numPr>
        <w:shd w:val="clear" w:color="auto" w:fill="auto"/>
        <w:bidi w:val="0"/>
        <w:spacing w:before="0" w:after="0" w:line="314" w:lineRule="exact"/>
        <w:ind w:left="0" w:right="0" w:firstLine="380"/>
        <w:jc w:val="both"/>
      </w:pPr>
      <w:bookmarkStart w:id="751" w:name="bookmark751"/>
      <w:bookmarkEnd w:id="751"/>
      <w:r>
        <w:rPr>
          <w:color w:val="000000"/>
          <w:spacing w:val="0"/>
          <w:w w:val="100"/>
          <w:position w:val="0"/>
        </w:rPr>
        <w:t xml:space="preserve">在同一控制下的企业合并中，公司作为购买方取得对其他参与合并企业的控制权，如以支付现金、转让非现金资 产或承担债务方式作为合并对价的，在合并日按照被合并方所有者权益在最终控制方合并财务报表中的账面价值的份额作为 长期股权投资的初始投资成本，长期股权投资初始投资成本与支付的现金、转让的非现金资产以及所承担债务账面价值之间 的差额，调整资本公积；资本公积不足冲减的，调整留存收益；如以发行权益性证券作为合并对价的，在合并日按照被合并 </w:t>
      </w:r>
      <w:r>
        <w:rPr>
          <w:color w:val="000000"/>
          <w:spacing w:val="0"/>
          <w:w w:val="100"/>
          <w:position w:val="0"/>
        </w:rPr>
        <w:t>方所有者权益在最终控制方合并财务报表中的账面价值的份额作为长期股权投资的初始投资成本，按照发行股份的面值总额 作为股本，长期股权投资初始投资成本与所发行股份面值总额之间的差额，调整资本公积，资本公积不足冲减的，调整留存 收益。为进行企业合并发生的审计、法律服务、评估咨询等中介费用以及其他相关管理费用，于发生时计入当期损益。为企 业合并发行的债券或承担其他债务支付的手续费、佣金等，应当计入所发行债券及其他债务的初始计量金额。企业合并中发 行权益性证券发生的手续费、佣金等费用，应当抵减权益性证券溢价收入，溢价收入不足冲减的，冲减留存收益。</w:t>
      </w:r>
    </w:p>
    <w:p>
      <w:pPr>
        <w:pStyle w:val="Style29"/>
        <w:keepNext w:val="0"/>
        <w:keepLines w:val="0"/>
        <w:widowControl w:val="0"/>
        <w:shd w:val="clear" w:color="auto" w:fill="auto"/>
        <w:tabs>
          <w:tab w:pos="816" w:val="left"/>
        </w:tabs>
        <w:bidi w:val="0"/>
        <w:spacing w:before="0" w:after="0" w:line="312" w:lineRule="exact"/>
        <w:ind w:left="0" w:right="0" w:firstLine="38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w:t>
        <w:tab/>
        <w:t>公司对外合并如属非同一控制下的企业合并，按下列情况确定长期股权投资的初始投资成本：</w:t>
      </w:r>
    </w:p>
    <w:p>
      <w:pPr>
        <w:pStyle w:val="Style29"/>
        <w:keepNext w:val="0"/>
        <w:keepLines w:val="0"/>
        <w:widowControl w:val="0"/>
        <w:numPr>
          <w:ilvl w:val="0"/>
          <w:numId w:val="23"/>
        </w:numPr>
        <w:shd w:val="clear" w:color="auto" w:fill="auto"/>
        <w:tabs>
          <w:tab w:pos="698" w:val="left"/>
        </w:tabs>
        <w:bidi w:val="0"/>
        <w:spacing w:before="0" w:after="0" w:line="317" w:lineRule="exact"/>
        <w:ind w:left="0" w:right="0" w:firstLine="380"/>
        <w:jc w:val="both"/>
      </w:pPr>
      <w:bookmarkStart w:id="753" w:name="bookmark753"/>
      <w:bookmarkEnd w:id="753"/>
      <w:r>
        <w:rPr>
          <w:color w:val="000000"/>
          <w:spacing w:val="0"/>
          <w:w w:val="100"/>
          <w:position w:val="0"/>
        </w:rPr>
        <w:t>一次交换交易实现的企业合并，长期股权投资的初始投资成本为购买方在购买日为取得对被购买方的控制权而付出的 资产、发生或承担的负债以及发行的权益性证券的公允价值；</w:t>
      </w:r>
    </w:p>
    <w:p>
      <w:pPr>
        <w:pStyle w:val="Style29"/>
        <w:keepNext w:val="0"/>
        <w:keepLines w:val="0"/>
        <w:widowControl w:val="0"/>
        <w:numPr>
          <w:ilvl w:val="0"/>
          <w:numId w:val="23"/>
        </w:numPr>
        <w:shd w:val="clear" w:color="auto" w:fill="auto"/>
        <w:tabs>
          <w:tab w:pos="728" w:val="left"/>
        </w:tabs>
        <w:bidi w:val="0"/>
        <w:spacing w:before="0" w:after="0" w:line="312" w:lineRule="exact"/>
        <w:ind w:left="0" w:right="0" w:firstLine="380"/>
        <w:jc w:val="both"/>
      </w:pPr>
      <w:bookmarkStart w:id="754" w:name="bookmark754"/>
      <w:bookmarkEnd w:id="754"/>
      <w:r>
        <w:rPr>
          <w:color w:val="000000"/>
          <w:spacing w:val="0"/>
          <w:w w:val="100"/>
          <w:position w:val="0"/>
        </w:rPr>
        <w:t>通过多次交换交易分步实现的企业合并，长期股权投资的初始投资成本为每一单项交易成本之和；</w:t>
      </w:r>
    </w:p>
    <w:p>
      <w:pPr>
        <w:pStyle w:val="Style29"/>
        <w:keepNext w:val="0"/>
        <w:keepLines w:val="0"/>
        <w:widowControl w:val="0"/>
        <w:numPr>
          <w:ilvl w:val="0"/>
          <w:numId w:val="23"/>
        </w:numPr>
        <w:shd w:val="clear" w:color="auto" w:fill="auto"/>
        <w:tabs>
          <w:tab w:pos="703" w:val="left"/>
        </w:tabs>
        <w:bidi w:val="0"/>
        <w:spacing w:before="0" w:after="0" w:line="317" w:lineRule="exact"/>
        <w:ind w:left="0" w:right="0" w:firstLine="380"/>
        <w:jc w:val="both"/>
      </w:pPr>
      <w:bookmarkStart w:id="755" w:name="bookmark755"/>
      <w:bookmarkEnd w:id="755"/>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29"/>
        <w:keepNext w:val="0"/>
        <w:keepLines w:val="0"/>
        <w:widowControl w:val="0"/>
        <w:numPr>
          <w:ilvl w:val="0"/>
          <w:numId w:val="23"/>
        </w:numPr>
        <w:shd w:val="clear" w:color="auto" w:fill="auto"/>
        <w:tabs>
          <w:tab w:pos="703" w:val="left"/>
        </w:tabs>
        <w:bidi w:val="0"/>
        <w:spacing w:before="0" w:after="0" w:line="302" w:lineRule="exact"/>
        <w:ind w:left="0" w:right="0" w:firstLine="380"/>
        <w:jc w:val="both"/>
      </w:pPr>
      <w:bookmarkStart w:id="756" w:name="bookmark756"/>
      <w:bookmarkEnd w:id="756"/>
      <w:r>
        <w:rPr>
          <w:color w:val="000000"/>
          <w:spacing w:val="0"/>
          <w:w w:val="100"/>
          <w:position w:val="0"/>
        </w:rPr>
        <w:t>在合并合同或协议中对可能影响合并成本的未来事项作出约定的，在购买日如果估计未来事项很可能发生并且对合并 成本的影响金额能够可靠计量的，将其计入长期股权投资的初始投资成本。</w:t>
      </w:r>
    </w:p>
    <w:p>
      <w:pPr>
        <w:pStyle w:val="Style29"/>
        <w:keepNext w:val="0"/>
        <w:keepLines w:val="0"/>
        <w:widowControl w:val="0"/>
        <w:shd w:val="clear" w:color="auto" w:fill="auto"/>
        <w:tabs>
          <w:tab w:pos="871" w:val="left"/>
        </w:tabs>
        <w:bidi w:val="0"/>
        <w:spacing w:before="0" w:after="0" w:line="322" w:lineRule="exact"/>
        <w:ind w:left="0" w:right="0" w:firstLine="3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3</w:t>
      </w:r>
      <w:r>
        <w:rPr>
          <w:color w:val="000000"/>
          <w:spacing w:val="0"/>
          <w:w w:val="100"/>
          <w:position w:val="0"/>
        </w:rPr>
        <w:t>）</w:t>
        <w:tab/>
        <w:t>公司对外合并如属非同一控制下的企业合并，对长期股权投资的初始投资成本大于合并中取得的被购买方可辨认 净资产公允价值份额的差额，确认为商誉。</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对长期股权投资的初始投资成本小于合并中取得的被购买方可辨认净资产公允价值份额的差额，按照下列方法处理：</w:t>
      </w:r>
    </w:p>
    <w:p>
      <w:pPr>
        <w:pStyle w:val="Style29"/>
        <w:keepNext w:val="0"/>
        <w:keepLines w:val="0"/>
        <w:widowControl w:val="0"/>
        <w:numPr>
          <w:ilvl w:val="0"/>
          <w:numId w:val="25"/>
        </w:numPr>
        <w:shd w:val="clear" w:color="auto" w:fill="auto"/>
        <w:tabs>
          <w:tab w:pos="728" w:val="left"/>
        </w:tabs>
        <w:bidi w:val="0"/>
        <w:spacing w:before="0" w:after="0" w:line="312" w:lineRule="exact"/>
        <w:ind w:left="0" w:right="0" w:firstLine="380"/>
        <w:jc w:val="both"/>
      </w:pPr>
      <w:bookmarkStart w:id="758" w:name="bookmark758"/>
      <w:bookmarkEnd w:id="758"/>
      <w:r>
        <w:rPr>
          <w:color w:val="000000"/>
          <w:spacing w:val="0"/>
          <w:w w:val="100"/>
          <w:position w:val="0"/>
        </w:rPr>
        <w:t>对取得的被购买方各项可辨认资产、负债及或有负债的公允价值以及合并成本的计量进行复核；</w:t>
      </w:r>
    </w:p>
    <w:p>
      <w:pPr>
        <w:pStyle w:val="Style29"/>
        <w:keepNext w:val="0"/>
        <w:keepLines w:val="0"/>
        <w:widowControl w:val="0"/>
        <w:numPr>
          <w:ilvl w:val="0"/>
          <w:numId w:val="25"/>
        </w:numPr>
        <w:shd w:val="clear" w:color="auto" w:fill="auto"/>
        <w:tabs>
          <w:tab w:pos="728" w:val="left"/>
        </w:tabs>
        <w:bidi w:val="0"/>
        <w:spacing w:before="0" w:after="360" w:line="312" w:lineRule="exact"/>
        <w:ind w:left="0" w:right="0" w:firstLine="380"/>
        <w:jc w:val="both"/>
      </w:pPr>
      <w:bookmarkStart w:id="759" w:name="bookmark759"/>
      <w:bookmarkEnd w:id="759"/>
      <w:r>
        <w:rPr>
          <w:color w:val="000000"/>
          <w:spacing w:val="0"/>
          <w:w w:val="100"/>
          <w:position w:val="0"/>
        </w:rPr>
        <w:t>经复核后合并成本仍小于合并中取得的被购买方可辨认净资产公允价值份额的，其差额应当计入当期损益。</w:t>
      </w:r>
    </w:p>
    <w:p>
      <w:pPr>
        <w:pStyle w:val="Style32"/>
        <w:keepNext/>
        <w:keepLines/>
        <w:widowControl w:val="0"/>
        <w:shd w:val="clear" w:color="auto" w:fill="auto"/>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、合并财务报表的编制方法</w:t>
      </w:r>
      <w:bookmarkEnd w:id="760"/>
      <w:bookmarkEnd w:id="761"/>
      <w:bookmarkEnd w:id="763"/>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合并财务报表的合并范围以控制为基础予以确定。控制，是指投资方拥有对被投资方的权力，通过参与被投资方的相关 活动而享有可变回报，并且有能力运用对被投资方的权力影响其回报金额。</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母公司应当将其全部子公司纳入合并财务报表的合并范围。子公司，是指被公司控制的主体（含企业、被投资单位中可 分割的部分，以及企业所控制的结构化主体等）。</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如果母公司是投资性主体，则母公司应当仅将为其投资活动提供相关服务的子公司（如有）纳入合并范围并编制合并财 务报表；其他子公司不应当予以合并，母公司对其他子公司的投资应当按照公允价值计量且其变动计入当期损益。当母公司 同时满足下列条件时，该母公司属于投资性主体：</w:t>
      </w:r>
    </w:p>
    <w:p>
      <w:pPr>
        <w:pStyle w:val="Style29"/>
        <w:keepNext w:val="0"/>
        <w:keepLines w:val="0"/>
        <w:widowControl w:val="0"/>
        <w:shd w:val="clear" w:color="auto" w:fill="auto"/>
        <w:tabs>
          <w:tab w:pos="816" w:val="left"/>
        </w:tabs>
        <w:bidi w:val="0"/>
        <w:spacing w:before="0" w:after="0" w:line="312" w:lineRule="exact"/>
        <w:ind w:left="0" w:right="0" w:firstLine="3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该母公司是以向投资者提供投资管理服务为目的，从一个或多个投资者处获取资金；</w:t>
      </w:r>
    </w:p>
    <w:p>
      <w:pPr>
        <w:pStyle w:val="Style29"/>
        <w:keepNext w:val="0"/>
        <w:keepLines w:val="0"/>
        <w:widowControl w:val="0"/>
        <w:shd w:val="clear" w:color="auto" w:fill="auto"/>
        <w:tabs>
          <w:tab w:pos="816" w:val="left"/>
        </w:tabs>
        <w:bidi w:val="0"/>
        <w:spacing w:before="0" w:after="0" w:line="312" w:lineRule="exact"/>
        <w:ind w:left="0" w:right="0" w:firstLine="3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该母公司的唯一经营目的，是通过资本增值、投资收益或两者兼有而让投资者获得回报；</w:t>
      </w:r>
    </w:p>
    <w:p>
      <w:pPr>
        <w:pStyle w:val="Style29"/>
        <w:keepNext w:val="0"/>
        <w:keepLines w:val="0"/>
        <w:widowControl w:val="0"/>
        <w:shd w:val="clear" w:color="auto" w:fill="auto"/>
        <w:tabs>
          <w:tab w:pos="816" w:val="left"/>
        </w:tabs>
        <w:bidi w:val="0"/>
        <w:spacing w:before="0" w:after="0" w:line="312" w:lineRule="exact"/>
        <w:ind w:left="0" w:right="0" w:firstLine="38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该母公司按照公允价值对几乎所有投资的业绩进行考量和评价。</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编制合并报表时，公司与被合并子公司采用的统一的会计政策和期间。合并财务报表以公司和子公司的财务报表为基础， 在抵销公司与子公司、子公司相互之间发生的内部交易对合并财务报表的影响后，由公司合并编制。公司在报告期内因同一 控制下企业合并增加的子公司，编制合并资产负债表时，调整合并资产负债表的期初数。因非同一控制下企业合并增加的子 公司，编制合并资产负债表时，不调整合并资产负债表的期初数。公司在报告期内因同一控制下企业合并增加的子公司，将 该子公司合并当期期初至报告期末的收入、费用、利润及现金流量纳入合并利润表及现金流量表。因非同一控制下企业合并 增加的子公司，将该子公司购买日至报告期末的收入、费用、利润及现金流量纳入合并利润表及现金流量表。公司在报告期 内处置子公司，将该子公司期初至处置日的收入、费用、利润及现金流量纳入合并利润表及现金流量表。</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股本溢价，资本 公积不足冲减的，调整留存收益。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母公司在不丧失控制权的情况下部分处置对子公司的长期股权投资，在合并财务报表中，处置价款与处置长期股权投资 </w:t>
      </w:r>
      <w:r>
        <w:rPr>
          <w:color w:val="000000"/>
          <w:spacing w:val="0"/>
          <w:w w:val="100"/>
          <w:position w:val="0"/>
        </w:rPr>
        <w:t>相对应享有子公司自购买日或合并日开始持续计算的净资产份额之间的差额，应当调整资本公积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股本溢价，资本公积不足 冲减的，调整留存收益。</w:t>
      </w:r>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企业因处置部分股权投资等原因丧失了对被投资方的控制权的，在编制合并财务报表时，对于剩余股权，应当按照其在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子公司自购买日或合并日开始持续计算的净资产的份额之间的差额，计入丧失控制权当期的投资收益，同时冲减商誉。与原 有子公司股权投资相关的其他综合收益等，应当在丧失控制权时转为当期投资收益，由于被投资方重新计量设定受益计划净 负债或净资产变动而产生的其他综合收益除外。</w:t>
      </w:r>
    </w:p>
    <w:p>
      <w:pPr>
        <w:pStyle w:val="Style32"/>
        <w:keepNext/>
        <w:keepLines/>
        <w:widowControl w:val="0"/>
        <w:shd w:val="clear" w:color="auto" w:fill="auto"/>
        <w:tabs>
          <w:tab w:pos="373"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7</w:t>
      </w:r>
      <w:bookmarkEnd w:id="769"/>
      <w:r>
        <w:rPr>
          <w:color w:val="000000"/>
          <w:spacing w:val="0"/>
          <w:w w:val="100"/>
          <w:position w:val="0"/>
        </w:rPr>
        <w:t>、</w:t>
        <w:tab/>
        <w:t>合营安排分类及共同经营会计处理方法</w:t>
      </w:r>
      <w:bookmarkEnd w:id="767"/>
      <w:bookmarkEnd w:id="768"/>
      <w:bookmarkEnd w:id="770"/>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共同经营，是指合营方享有该安排相关资产且承担该安排相关负债的合营安排。公司确认其与共同经营中利益份额相关 的下列项目，并按照相关企业会计准则的规定进行会计处理：</w:t>
      </w:r>
    </w:p>
    <w:p>
      <w:pPr>
        <w:pStyle w:val="Style29"/>
        <w:keepNext w:val="0"/>
        <w:keepLines w:val="0"/>
        <w:widowControl w:val="0"/>
        <w:shd w:val="clear" w:color="auto" w:fill="auto"/>
        <w:tabs>
          <w:tab w:pos="820" w:val="left"/>
        </w:tabs>
        <w:bidi w:val="0"/>
        <w:spacing w:before="0" w:after="0" w:line="310" w:lineRule="exact"/>
        <w:ind w:left="0" w:right="0" w:firstLine="38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29"/>
        <w:keepNext w:val="0"/>
        <w:keepLines w:val="0"/>
        <w:widowControl w:val="0"/>
        <w:shd w:val="clear" w:color="auto" w:fill="auto"/>
        <w:tabs>
          <w:tab w:pos="820" w:val="left"/>
        </w:tabs>
        <w:bidi w:val="0"/>
        <w:spacing w:before="0" w:after="0" w:line="310" w:lineRule="exact"/>
        <w:ind w:left="0" w:right="0" w:firstLine="380"/>
        <w:jc w:val="left"/>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29"/>
        <w:keepNext w:val="0"/>
        <w:keepLines w:val="0"/>
        <w:widowControl w:val="0"/>
        <w:shd w:val="clear" w:color="auto" w:fill="auto"/>
        <w:tabs>
          <w:tab w:pos="820" w:val="left"/>
        </w:tabs>
        <w:bidi w:val="0"/>
        <w:spacing w:before="0" w:after="0" w:line="310" w:lineRule="exact"/>
        <w:ind w:left="0" w:right="0" w:firstLine="380"/>
        <w:jc w:val="left"/>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29"/>
        <w:keepNext w:val="0"/>
        <w:keepLines w:val="0"/>
        <w:widowControl w:val="0"/>
        <w:shd w:val="clear" w:color="auto" w:fill="auto"/>
        <w:tabs>
          <w:tab w:pos="820" w:val="left"/>
        </w:tabs>
        <w:bidi w:val="0"/>
        <w:spacing w:before="0" w:after="0" w:line="310" w:lineRule="exact"/>
        <w:ind w:left="0" w:right="0" w:firstLine="38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29"/>
        <w:keepNext w:val="0"/>
        <w:keepLines w:val="0"/>
        <w:widowControl w:val="0"/>
        <w:shd w:val="clear" w:color="auto" w:fill="auto"/>
        <w:tabs>
          <w:tab w:pos="820" w:val="left"/>
        </w:tabs>
        <w:bidi w:val="0"/>
        <w:spacing w:before="0" w:after="0" w:line="310" w:lineRule="exact"/>
        <w:ind w:left="0" w:right="0" w:firstLine="38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29"/>
        <w:keepNext w:val="0"/>
        <w:keepLines w:val="0"/>
        <w:widowControl w:val="0"/>
        <w:shd w:val="clear" w:color="auto" w:fill="auto"/>
        <w:bidi w:val="0"/>
        <w:spacing w:before="0" w:after="720" w:line="310" w:lineRule="exact"/>
        <w:ind w:left="0" w:right="0" w:firstLine="380"/>
        <w:jc w:val="left"/>
      </w:pPr>
      <w:r>
        <w:rPr>
          <w:color w:val="000000"/>
          <w:spacing w:val="0"/>
          <w:w w:val="100"/>
          <w:position w:val="0"/>
        </w:rPr>
        <w:t>合营企业，是指合营方仅对该安排的净资产享有权利的合营安排。公司按照权益法对合营企业的投资进行会计处理。</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8</w:t>
      </w:r>
      <w:bookmarkEnd w:id="778"/>
      <w:r>
        <w:rPr>
          <w:color w:val="000000"/>
          <w:spacing w:val="0"/>
          <w:w w:val="100"/>
          <w:position w:val="0"/>
        </w:rPr>
        <w:t>、</w:t>
        <w:tab/>
        <w:t>现金及现金等价物的确定标准</w:t>
      </w:r>
      <w:bookmarkEnd w:id="776"/>
      <w:bookmarkEnd w:id="777"/>
      <w:bookmarkEnd w:id="779"/>
    </w:p>
    <w:p>
      <w:pPr>
        <w:pStyle w:val="Style29"/>
        <w:keepNext w:val="0"/>
        <w:keepLines w:val="0"/>
        <w:widowControl w:val="0"/>
        <w:shd w:val="clear" w:color="auto" w:fill="auto"/>
        <w:bidi w:val="0"/>
        <w:spacing w:before="0" w:after="360" w:line="312" w:lineRule="exact"/>
        <w:ind w:left="0" w:right="0" w:firstLine="200"/>
        <w:jc w:val="both"/>
      </w:pPr>
      <w:r>
        <w:rPr>
          <w:color w:val="000000"/>
          <w:spacing w:val="0"/>
          <w:w w:val="100"/>
          <w:position w:val="0"/>
        </w:rPr>
        <w:t>现金，是指公司库存现金以及可以随时用于支付的存款；现金等价物，是指公司持有的期限短、流动性强、易于转换为已 知金额现金、价值变动风险很小的投资。</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9</w:t>
      </w:r>
      <w:bookmarkEnd w:id="782"/>
      <w:r>
        <w:rPr>
          <w:color w:val="000000"/>
          <w:spacing w:val="0"/>
          <w:w w:val="100"/>
          <w:position w:val="0"/>
        </w:rPr>
        <w:t>、</w:t>
        <w:tab/>
        <w:t>外币业务和外币报表折算</w:t>
      </w:r>
      <w:bookmarkEnd w:id="780"/>
      <w:bookmarkEnd w:id="781"/>
      <w:bookmarkEnd w:id="783"/>
    </w:p>
    <w:p>
      <w:pPr>
        <w:pStyle w:val="Style29"/>
        <w:keepNext w:val="0"/>
        <w:keepLines w:val="0"/>
        <w:widowControl w:val="0"/>
        <w:shd w:val="clear" w:color="auto" w:fill="auto"/>
        <w:tabs>
          <w:tab w:pos="896" w:val="left"/>
        </w:tabs>
        <w:bidi w:val="0"/>
        <w:spacing w:before="0" w:after="0" w:line="310" w:lineRule="exact"/>
        <w:ind w:left="0" w:right="0" w:firstLine="38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外币交易在初始确认时，采用交易发生当日中国人民银行公布的人民币外汇牌价中间价将外币金额折算为人民币 金额。</w:t>
      </w:r>
    </w:p>
    <w:p>
      <w:pPr>
        <w:pStyle w:val="Style29"/>
        <w:keepNext w:val="0"/>
        <w:keepLines w:val="0"/>
        <w:widowControl w:val="0"/>
        <w:shd w:val="clear" w:color="auto" w:fill="auto"/>
        <w:tabs>
          <w:tab w:pos="820" w:val="left"/>
        </w:tabs>
        <w:bidi w:val="0"/>
        <w:spacing w:before="0" w:after="0" w:line="310" w:lineRule="exact"/>
        <w:ind w:left="0" w:right="0" w:firstLine="38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于资产负债表日，按照下列方法对外币货币性项目和外币非货币性项目进行处理：</w:t>
      </w:r>
    </w:p>
    <w:p>
      <w:pPr>
        <w:pStyle w:val="Style29"/>
        <w:keepNext w:val="0"/>
        <w:keepLines w:val="0"/>
        <w:widowControl w:val="0"/>
        <w:numPr>
          <w:ilvl w:val="0"/>
          <w:numId w:val="27"/>
        </w:numPr>
        <w:shd w:val="clear" w:color="auto" w:fill="auto"/>
        <w:tabs>
          <w:tab w:pos="728" w:val="left"/>
        </w:tabs>
        <w:bidi w:val="0"/>
        <w:spacing w:before="0" w:after="0" w:line="310" w:lineRule="exact"/>
        <w:ind w:left="0" w:right="0" w:firstLine="380"/>
        <w:jc w:val="both"/>
      </w:pPr>
      <w:bookmarkStart w:id="786" w:name="bookmark786"/>
      <w:bookmarkEnd w:id="786"/>
      <w:r>
        <w:rPr>
          <w:color w:val="000000"/>
          <w:spacing w:val="0"/>
          <w:w w:val="100"/>
          <w:position w:val="0"/>
        </w:rPr>
        <w:t>外币货币性项目，采用资产负债表日中国人民银行公布的人民币外汇牌价中间价折算。因资产负债表日即期汇率与初 始确认时或者前一资产负债表日即期汇率不同而产生的汇兑差额，计入当期损益。</w:t>
      </w:r>
    </w:p>
    <w:p>
      <w:pPr>
        <w:pStyle w:val="Style29"/>
        <w:keepNext w:val="0"/>
        <w:keepLines w:val="0"/>
        <w:widowControl w:val="0"/>
        <w:numPr>
          <w:ilvl w:val="0"/>
          <w:numId w:val="27"/>
        </w:numPr>
        <w:shd w:val="clear" w:color="auto" w:fill="auto"/>
        <w:tabs>
          <w:tab w:pos="728" w:val="left"/>
        </w:tabs>
        <w:bidi w:val="0"/>
        <w:spacing w:before="0" w:after="0" w:line="310" w:lineRule="exact"/>
        <w:ind w:left="0" w:right="0" w:firstLine="380"/>
        <w:jc w:val="both"/>
      </w:pPr>
      <w:bookmarkStart w:id="787" w:name="bookmark787"/>
      <w:bookmarkEnd w:id="787"/>
      <w:r>
        <w:rPr>
          <w:color w:val="000000"/>
          <w:spacing w:val="0"/>
          <w:w w:val="100"/>
          <w:position w:val="0"/>
        </w:rPr>
        <w:t>以历史成本计量的外币非货币性项目，仍采用交易发生日的即期汇率折算，不改变其记账本位币金额；以公允价值计 量的外币非货币性项目，采用公允价值确定日的即期汇率折算，折算后的记账本位币金额与原记账本位币金额的差额，作为 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处理，并根据非货币性项目的性质计入当期损益或其他综合收益。</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货币性项目，是指公司持有的货币资金和将以固定或可确定的金额收取的资产或者偿付的负债。</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非货币性项目，是指货币性项目以外的项目。</w:t>
      </w:r>
    </w:p>
    <w:p>
      <w:pPr>
        <w:pStyle w:val="Style29"/>
        <w:keepNext w:val="0"/>
        <w:keepLines w:val="0"/>
        <w:widowControl w:val="0"/>
        <w:shd w:val="clear" w:color="auto" w:fill="auto"/>
        <w:tabs>
          <w:tab w:pos="820" w:val="left"/>
        </w:tabs>
        <w:bidi w:val="0"/>
        <w:spacing w:before="0" w:after="0" w:line="310" w:lineRule="exact"/>
        <w:ind w:left="0" w:right="0" w:firstLine="3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境外经营实体的外币财务报表的折算方法：</w:t>
      </w:r>
    </w:p>
    <w:p>
      <w:pPr>
        <w:pStyle w:val="Style29"/>
        <w:keepNext w:val="0"/>
        <w:keepLines w:val="0"/>
        <w:widowControl w:val="0"/>
        <w:numPr>
          <w:ilvl w:val="0"/>
          <w:numId w:val="29"/>
        </w:numPr>
        <w:shd w:val="clear" w:color="auto" w:fill="auto"/>
        <w:tabs>
          <w:tab w:pos="728" w:val="left"/>
        </w:tabs>
        <w:bidi w:val="0"/>
        <w:spacing w:before="0" w:after="0" w:line="307" w:lineRule="exact"/>
        <w:ind w:left="0" w:right="0" w:firstLine="380"/>
        <w:jc w:val="both"/>
      </w:pPr>
      <w:bookmarkStart w:id="789" w:name="bookmark789"/>
      <w:bookmarkEnd w:id="789"/>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w:t>
      </w:r>
    </w:p>
    <w:p>
      <w:pPr>
        <w:pStyle w:val="Style29"/>
        <w:keepNext w:val="0"/>
        <w:keepLines w:val="0"/>
        <w:widowControl w:val="0"/>
        <w:numPr>
          <w:ilvl w:val="0"/>
          <w:numId w:val="29"/>
        </w:numPr>
        <w:shd w:val="clear" w:color="auto" w:fill="auto"/>
        <w:tabs>
          <w:tab w:pos="753" w:val="left"/>
        </w:tabs>
        <w:bidi w:val="0"/>
        <w:spacing w:before="0" w:after="0" w:line="307" w:lineRule="exact"/>
        <w:ind w:left="0" w:right="0" w:firstLine="380"/>
        <w:jc w:val="both"/>
      </w:pPr>
      <w:bookmarkStart w:id="790" w:name="bookmark790"/>
      <w:bookmarkEnd w:id="790"/>
      <w:r>
        <w:rPr>
          <w:color w:val="000000"/>
          <w:spacing w:val="0"/>
          <w:w w:val="100"/>
          <w:position w:val="0"/>
        </w:rPr>
        <w:t>利润表中的收入和费用项目，采用按照系统合理的方法确定的、与交易发生日即期汇率近似的汇率折算；</w:t>
      </w:r>
    </w:p>
    <w:p>
      <w:pPr>
        <w:pStyle w:val="Style29"/>
        <w:keepNext w:val="0"/>
        <w:keepLines w:val="0"/>
        <w:widowControl w:val="0"/>
        <w:numPr>
          <w:ilvl w:val="0"/>
          <w:numId w:val="29"/>
        </w:numPr>
        <w:shd w:val="clear" w:color="auto" w:fill="auto"/>
        <w:tabs>
          <w:tab w:pos="753" w:val="left"/>
        </w:tabs>
        <w:bidi w:val="0"/>
        <w:spacing w:before="0" w:after="0" w:line="307" w:lineRule="exact"/>
        <w:ind w:left="0" w:right="0" w:firstLine="380"/>
        <w:jc w:val="both"/>
      </w:pPr>
      <w:bookmarkStart w:id="791" w:name="bookmark791"/>
      <w:bookmarkEnd w:id="791"/>
      <w:r>
        <w:rPr>
          <w:color w:val="000000"/>
          <w:spacing w:val="0"/>
          <w:w w:val="100"/>
          <w:position w:val="0"/>
        </w:rPr>
        <w:t>按照上述①、②折算产生的外币财务报表折算差额，在资产负债表中所有者权益项目下单独列示。</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公司对处于恶性通货膨胀经济中的境外经营的财务报表，按照下列方法进行折算：</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对资产负债表项目运用一般物价指数予以重述，对利润表项目运用一般物价指数变动予以重述，再按照最近资产负债表 日的即期汇率进行折算。</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在境外经营不再处于恶性通货膨胀经济中时，停止重述，按照停止之日的价格水平重述的财务报表进行折算。</w:t>
      </w:r>
    </w:p>
    <w:p>
      <w:pPr>
        <w:pStyle w:val="Style29"/>
        <w:keepNext w:val="0"/>
        <w:keepLines w:val="0"/>
        <w:widowControl w:val="0"/>
        <w:shd w:val="clear" w:color="auto" w:fill="auto"/>
        <w:tabs>
          <w:tab w:pos="901" w:val="left"/>
        </w:tabs>
        <w:bidi w:val="0"/>
        <w:spacing w:before="0" w:after="360" w:line="314" w:lineRule="exact"/>
        <w:ind w:left="0" w:right="0" w:firstLine="38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公司在处置境外经营时，将资产负债表中所有者权益项目下列示的、与该境外经营相关的外币财务报表折算差额， 自所有者权益项目转入处置当期损益；部分处置境外经营的，按处置的比例计算处置部分的外币财务报表折算差额，转入处 置当期损益。</w:t>
      </w:r>
    </w:p>
    <w:p>
      <w:pPr>
        <w:pStyle w:val="Style32"/>
        <w:keepNext/>
        <w:keepLines/>
        <w:widowControl w:val="0"/>
        <w:shd w:val="clear" w:color="auto" w:fill="auto"/>
        <w:bidi w:val="0"/>
        <w:spacing w:before="0" w:after="24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4"/>
      <w:bookmarkEnd w:id="795"/>
      <w:bookmarkEnd w:id="797"/>
    </w:p>
    <w:p>
      <w:pPr>
        <w:pStyle w:val="Style29"/>
        <w:keepNext w:val="0"/>
        <w:keepLines w:val="0"/>
        <w:widowControl w:val="0"/>
        <w:shd w:val="clear" w:color="auto" w:fill="auto"/>
        <w:bidi w:val="0"/>
        <w:spacing w:before="0" w:line="317" w:lineRule="exact"/>
        <w:ind w:left="0" w:right="0" w:firstLine="380"/>
        <w:jc w:val="left"/>
      </w:pPr>
      <w:r>
        <w:rPr>
          <w:color w:val="000000"/>
          <w:spacing w:val="0"/>
          <w:w w:val="100"/>
          <w:position w:val="0"/>
        </w:rPr>
        <w:t>金融工具，是指形成一方的金融资产并形成其他方的金融负债或权益工具的合同。当公司成为金融工具合同的一方时， 确认相关的金融资产或金融负债。</w:t>
      </w:r>
    </w:p>
    <w:p>
      <w:pPr>
        <w:pStyle w:val="Style29"/>
        <w:keepNext w:val="0"/>
        <w:keepLines w:val="0"/>
        <w:widowControl w:val="0"/>
        <w:shd w:val="clear" w:color="auto" w:fill="auto"/>
        <w:bidi w:val="0"/>
        <w:spacing w:before="0" w:line="313" w:lineRule="exact"/>
        <w:ind w:left="0" w:right="0" w:firstLine="380"/>
        <w:jc w:val="left"/>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29"/>
        <w:keepNext w:val="0"/>
        <w:keepLines w:val="0"/>
        <w:widowControl w:val="0"/>
        <w:numPr>
          <w:ilvl w:val="0"/>
          <w:numId w:val="31"/>
        </w:numPr>
        <w:shd w:val="clear" w:color="auto" w:fill="auto"/>
        <w:bidi w:val="0"/>
        <w:spacing w:before="0" w:line="313" w:lineRule="exact"/>
        <w:ind w:left="0" w:right="0" w:firstLine="380"/>
        <w:jc w:val="left"/>
      </w:pPr>
      <w:bookmarkStart w:id="799" w:name="bookmark799"/>
      <w:bookmarkEnd w:id="799"/>
      <w:r>
        <w:rPr>
          <w:color w:val="000000"/>
          <w:spacing w:val="0"/>
          <w:w w:val="100"/>
          <w:position w:val="0"/>
        </w:rPr>
        <w:t>分类和初始计量</w:t>
      </w:r>
    </w:p>
    <w:p>
      <w:pPr>
        <w:pStyle w:val="Style29"/>
        <w:keepNext w:val="0"/>
        <w:keepLines w:val="0"/>
        <w:widowControl w:val="0"/>
        <w:shd w:val="clear" w:color="auto" w:fill="auto"/>
        <w:bidi w:val="0"/>
        <w:spacing w:before="0" w:line="313" w:lineRule="exact"/>
        <w:ind w:left="0" w:right="0" w:firstLine="380"/>
        <w:jc w:val="left"/>
      </w:pPr>
      <w:r>
        <w:rPr>
          <w:color w:val="000000"/>
          <w:spacing w:val="0"/>
          <w:w w:val="100"/>
          <w:position w:val="0"/>
        </w:rPr>
        <w:t>公司根据管理金融资产的业务模式和金融资产的合同现金流量特征，将金融资产划分为：</w:t>
      </w:r>
    </w:p>
    <w:p>
      <w:pPr>
        <w:pStyle w:val="Style29"/>
        <w:keepNext w:val="0"/>
        <w:keepLines w:val="0"/>
        <w:widowControl w:val="0"/>
        <w:shd w:val="clear" w:color="auto" w:fill="auto"/>
        <w:bidi w:val="0"/>
        <w:spacing w:before="0" w:line="313" w:lineRule="exact"/>
        <w:ind w:left="0" w:right="0" w:firstLine="380"/>
        <w:jc w:val="left"/>
      </w:pPr>
      <w:r>
        <w:rPr>
          <w:color w:val="000000"/>
          <w:spacing w:val="0"/>
          <w:w w:val="100"/>
          <w:position w:val="0"/>
        </w:rPr>
        <w:t>以摊余成本计量的金融资产；</w:t>
      </w:r>
    </w:p>
    <w:p>
      <w:pPr>
        <w:pStyle w:val="Style29"/>
        <w:keepNext w:val="0"/>
        <w:keepLines w:val="0"/>
        <w:widowControl w:val="0"/>
        <w:shd w:val="clear" w:color="auto" w:fill="auto"/>
        <w:bidi w:val="0"/>
        <w:spacing w:before="0" w:line="313" w:lineRule="exact"/>
        <w:ind w:left="0" w:right="0" w:firstLine="380"/>
        <w:jc w:val="left"/>
      </w:pPr>
      <w:r>
        <w:rPr>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line="313" w:lineRule="exact"/>
        <w:ind w:left="0" w:right="0" w:firstLine="380"/>
        <w:jc w:val="left"/>
      </w:pPr>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9"/>
        <w:keepNext w:val="0"/>
        <w:keepLines w:val="0"/>
        <w:widowControl w:val="0"/>
        <w:shd w:val="clear" w:color="auto" w:fill="auto"/>
        <w:tabs>
          <w:tab w:pos="729" w:val="left"/>
        </w:tabs>
        <w:bidi w:val="0"/>
        <w:spacing w:before="0" w:line="313" w:lineRule="exact"/>
        <w:ind w:left="0" w:right="0" w:firstLine="380"/>
        <w:jc w:val="left"/>
      </w:pPr>
      <w:bookmarkStart w:id="800" w:name="bookmark800"/>
      <w:r>
        <w:rPr>
          <w:rFonts w:ascii="Times New Roman" w:eastAsia="Times New Roman" w:hAnsi="Times New Roman" w:cs="Times New Roman"/>
          <w:color w:val="000000"/>
          <w:spacing w:val="0"/>
          <w:w w:val="100"/>
          <w:position w:val="0"/>
        </w:rPr>
        <w:t>1</w:t>
      </w:r>
      <w:bookmarkEnd w:id="800"/>
      <w:r>
        <w:rPr>
          <w:color w:val="000000"/>
          <w:spacing w:val="0"/>
          <w:w w:val="100"/>
          <w:position w:val="0"/>
        </w:rPr>
        <w:t>）</w:t>
        <w:tab/>
        <w:t>债务工具</w:t>
      </w:r>
    </w:p>
    <w:p>
      <w:pPr>
        <w:pStyle w:val="Style29"/>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公司持有的债务工具是指从发行方角度分析符合金融负债定义的工具，分别采用以下三种方式进行计量：</w:t>
      </w:r>
    </w:p>
    <w:p>
      <w:pPr>
        <w:pStyle w:val="Style29"/>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&lt;1&gt;</w:t>
      </w:r>
      <w:r>
        <w:rPr>
          <w:color w:val="000000"/>
          <w:spacing w:val="0"/>
          <w:w w:val="100"/>
          <w:position w:val="0"/>
        </w:rPr>
        <w:t>以摊余成本计量：</w:t>
      </w:r>
    </w:p>
    <w:p>
      <w:pPr>
        <w:pStyle w:val="Style29"/>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公司管理此类金融资产的业务模式为以收取合同现金流量为目标，且此类金融资产的合同现金流量特征与基本借贷安排 相一致，即在特定日期产生的现金流量，仅为对本金和以未偿付本金金额为基础的利息的支付。公司对于此类金融资产按照 实际利率法确认利息收入。此类金融资产主要包括货币资金、应收票据及应收账款、其他应收款、债权投资和长期应收款等。 公司将自资产负债表日起一年内（含一年到期的债权投资和长期应收款，列示为一年内到期的非流动资产；取得时期限在一 年内（含一年）的债权投资列示为其他流动资产。</w:t>
      </w:r>
    </w:p>
    <w:p>
      <w:pPr>
        <w:pStyle w:val="Style29"/>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&lt;2&gt;</w:t>
      </w:r>
      <w:r>
        <w:rPr>
          <w:color w:val="000000"/>
          <w:spacing w:val="0"/>
          <w:w w:val="100"/>
          <w:position w:val="0"/>
        </w:rPr>
        <w:t>以公允价值计量且其变动计入其他综合收益：</w:t>
      </w:r>
    </w:p>
    <w:p>
      <w:pPr>
        <w:pStyle w:val="Style29"/>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公司管理此类金融资产的业务模式为既以收取合同现金流量为目标又以出售为目标，且此类金融资产的合同现金流量特 征与基本借贷安排相一致。此类金融资产按照公允价值计量且其变动计入其他综合收益，但减值损失或利得、汇兑损益和按 照实际利率法计算的利息收入计入当期损益。此类金融资产列示为其他债权投资，自资产负债表日起一年内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 其他债权投资，列示为一年内到期的非流动资产；取得时期限在一年内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的其他债权投资列示为其他流动资产。</w:t>
      </w:r>
    </w:p>
    <w:p>
      <w:pPr>
        <w:pStyle w:val="Style29"/>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rPr>
        <w:t>&lt;3&gt;</w:t>
      </w:r>
      <w:r>
        <w:rPr>
          <w:color w:val="000000"/>
          <w:spacing w:val="0"/>
          <w:w w:val="100"/>
          <w:position w:val="0"/>
        </w:rPr>
        <w:t>以公允价值计量且其变动计入当期损益：</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公司将持有的未划分为以摊余成本计量和以公允价值计量且其变动计入其他综合收益的债务工具，以公允价值计量且其 变动计入当期损益，列示为交易性金融资产。自资产负债表日起超过一年到期且预期持有超过一年的，列示为其他非流动金 融资产。</w:t>
      </w:r>
    </w:p>
    <w:p>
      <w:pPr>
        <w:pStyle w:val="Style29"/>
        <w:keepNext w:val="0"/>
        <w:keepLines w:val="0"/>
        <w:widowControl w:val="0"/>
        <w:shd w:val="clear" w:color="auto" w:fill="auto"/>
        <w:tabs>
          <w:tab w:pos="748" w:val="left"/>
        </w:tabs>
        <w:bidi w:val="0"/>
        <w:spacing w:before="0" w:line="313" w:lineRule="exact"/>
        <w:ind w:left="0" w:right="0" w:firstLine="380"/>
        <w:jc w:val="left"/>
      </w:pPr>
      <w:bookmarkStart w:id="801" w:name="bookmark801"/>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权益工具</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公司将对其没有控制、共同控制和重大影响的权益工具投资按照公允价值计量且其变动计入当期损益，列示为交易性金 融资产；自资产负债表日起预期持有超过一年的，列示为其他非流动金融资产。</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此外，公司将部分非交易性权益工具投资指定为以公允价值计量且其变动计入其他综合收益的金融资产，列示为其他权 </w:t>
      </w:r>
      <w:r>
        <w:rPr>
          <w:color w:val="000000"/>
          <w:spacing w:val="0"/>
          <w:w w:val="100"/>
          <w:position w:val="0"/>
        </w:rPr>
        <w:t>益工具投资。该类金融资产的相关股利收入计入当期损益。</w:t>
      </w:r>
    </w:p>
    <w:p>
      <w:pPr>
        <w:pStyle w:val="Style29"/>
        <w:keepNext w:val="0"/>
        <w:keepLines w:val="0"/>
        <w:widowControl w:val="0"/>
        <w:numPr>
          <w:ilvl w:val="0"/>
          <w:numId w:val="31"/>
        </w:numPr>
        <w:shd w:val="clear" w:color="auto" w:fill="auto"/>
        <w:bidi w:val="0"/>
        <w:spacing w:before="0" w:after="0" w:line="312" w:lineRule="exact"/>
        <w:ind w:left="0" w:right="0"/>
        <w:jc w:val="left"/>
      </w:pPr>
      <w:bookmarkStart w:id="802" w:name="bookmark802"/>
      <w:bookmarkEnd w:id="802"/>
      <w:r>
        <w:rPr>
          <w:color w:val="000000"/>
          <w:spacing w:val="0"/>
          <w:w w:val="100"/>
          <w:position w:val="0"/>
        </w:rPr>
        <w:t>减值</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公司对于以摊余成本计量的金融资产、以公允价值计量且其变动计入其他综合收益的债务工具投资和财务担保合同等， 以预期信用损失为基础确认损失准备。公司考虑有关过去事项、当前状况以及对未来经济状况的预测等合理且有依据的信息， 以发生违约的风险为权重，计算合同应收的现金流量与预期能收到的现金流量之间差额的现值的概率加权金额，确认预期信 用损失。</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于每个资产负债表日，公司对于处于不同阶段的金融工具的预期信用损失分别进行计量。金融工具自初始确认后信用风 险未显著增加的，处于第一阶段，公司按照未来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个月内的预期信用损失计量损失准备；金融工具自初始确认后信用风险已 显著增加但尚未发生信用减值的，处于第二阶段，公司按照该工具整个存续期的预期信用损失计量损失准备；金融工具自初 始确认后已经发生信用减值的，处于第三阶段，公司按照该工具整个存续期的预期信用损失计量损失准备。</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对于在资产负债表日具有较低信用风险的金融工具，公司假设其信用风险自初始确认后并未显著增加，按照未来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 内的预期信用损失计量损失准备。</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公司对于处于第一阶段和第二阶段、以及较低信用风险的金融工具，按照其未扣除减值准备的账面余额和实际利率计算 利息收入。对于处于第三阶段的金融工具，按照其账面余额减已计提减值准备后的摊余成本和实际利率计算利息收入。</w:t>
      </w:r>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对于因销售商品、提供劳务等日常经营活动形成的应收票据、应收账款、合同资产和应收款项融资，无论是否存在重大 融资成分，公司均可以按照整个存续期的预期信用损失计量损失准备。</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因预付款项无法收回转入的其他应收款，公司作为处于第三阶段的金融工具，按照整个存续期的预期信用损失计量损失 准备。</w:t>
      </w:r>
    </w:p>
    <w:p>
      <w:pPr>
        <w:pStyle w:val="Style29"/>
        <w:keepNext w:val="0"/>
        <w:keepLines w:val="0"/>
        <w:widowControl w:val="0"/>
        <w:shd w:val="clear" w:color="auto" w:fill="auto"/>
        <w:bidi w:val="0"/>
        <w:spacing w:before="0" w:after="80" w:line="312" w:lineRule="exact"/>
        <w:ind w:left="0" w:right="0"/>
        <w:jc w:val="left"/>
      </w:pPr>
      <w:r>
        <w:rPr>
          <w:color w:val="000000"/>
          <w:spacing w:val="0"/>
          <w:w w:val="100"/>
          <w:position w:val="0"/>
        </w:rPr>
        <w:t>当单项金融资产无法以合理成本评估预期信用损失的信息时，公司依据信用风险特征将应收款项划分为若干组合，在组</w:t>
      </w:r>
    </w:p>
    <w:tbl>
      <w:tblPr>
        <w:tblOverlap w:val="never"/>
        <w:jc w:val="center"/>
        <w:tblLayout w:type="fixed"/>
      </w:tblPr>
      <w:tblGrid>
        <w:gridCol w:w="4853"/>
        <w:gridCol w:w="4877"/>
      </w:tblGrid>
      <w:tr>
        <w:trPr>
          <w:trHeight w:val="317"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合基础上计算预期信用损失，确定组合的依据如下：</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应收合并范围内公司款项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按行业类型及客户信用等级组合分类的客户</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其他应收款项</w:t>
            </w:r>
          </w:p>
        </w:tc>
      </w:tr>
    </w:tbl>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对于划分为组合的应收账款，公司参考历史信用损失经验，结合当前状况以及对未来经济状况的预测，编制应收账款客 户信用等级与整个存续预期信用损失率对照表，计算预期信用损失。</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对于划分为组合的因销售商品、提供劳务等日常经营活动形成的应收票据和应收款项融资，公司参考历史信用损失经验， 结合当前状况以及对未来经济状况的预测，通过违约风险敞口和整个存续期预期信用损失率，计算预期信用损失。除此以外 的应收票据、应收款项融资和划分为组合的其他应收款，公司参考历史信用损失经验，结合当前状况以及对未来经济状况的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公司将计提或转回的损失准备计入当期损益。</w:t>
      </w:r>
    </w:p>
    <w:p>
      <w:pPr>
        <w:pStyle w:val="Style29"/>
        <w:keepNext w:val="0"/>
        <w:keepLines w:val="0"/>
        <w:widowControl w:val="0"/>
        <w:numPr>
          <w:ilvl w:val="0"/>
          <w:numId w:val="31"/>
        </w:numPr>
        <w:shd w:val="clear" w:color="auto" w:fill="auto"/>
        <w:bidi w:val="0"/>
        <w:spacing w:before="0" w:after="0" w:line="314" w:lineRule="exact"/>
        <w:ind w:left="0" w:right="0"/>
        <w:jc w:val="both"/>
      </w:pPr>
      <w:bookmarkStart w:id="803" w:name="bookmark803"/>
      <w:bookmarkEnd w:id="803"/>
      <w:r>
        <w:rPr>
          <w:color w:val="000000"/>
          <w:spacing w:val="0"/>
          <w:w w:val="100"/>
          <w:position w:val="0"/>
        </w:rPr>
        <w:t>终止确认</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金融资产满足下列条件之一的，予以终止确认：</w:t>
      </w:r>
    </w:p>
    <w:p>
      <w:pPr>
        <w:pStyle w:val="Style29"/>
        <w:keepNext w:val="0"/>
        <w:keepLines w:val="0"/>
        <w:widowControl w:val="0"/>
        <w:shd w:val="clear" w:color="auto" w:fill="auto"/>
        <w:tabs>
          <w:tab w:pos="686" w:val="left"/>
        </w:tabs>
        <w:bidi w:val="0"/>
        <w:spacing w:before="0" w:after="0"/>
        <w:ind w:left="0" w:right="0"/>
        <w:jc w:val="both"/>
      </w:pPr>
      <w:bookmarkStart w:id="804" w:name="bookmark804"/>
      <w:r>
        <w:rPr>
          <w:rFonts w:ascii="Times New Roman" w:eastAsia="Times New Roman" w:hAnsi="Times New Roman" w:cs="Times New Roman"/>
          <w:color w:val="000000"/>
          <w:spacing w:val="0"/>
          <w:w w:val="100"/>
          <w:position w:val="0"/>
        </w:rPr>
        <w:t>1</w:t>
      </w:r>
      <w:bookmarkEnd w:id="804"/>
      <w:r>
        <w:rPr>
          <w:color w:val="000000"/>
          <w:spacing w:val="0"/>
          <w:w w:val="100"/>
          <w:position w:val="0"/>
        </w:rPr>
        <w:t>）</w:t>
        <w:tab/>
        <w:t>收取该金融资产现金流量的合同权利终止；</w:t>
      </w:r>
    </w:p>
    <w:p>
      <w:pPr>
        <w:pStyle w:val="Style29"/>
        <w:keepNext w:val="0"/>
        <w:keepLines w:val="0"/>
        <w:widowControl w:val="0"/>
        <w:shd w:val="clear" w:color="auto" w:fill="auto"/>
        <w:tabs>
          <w:tab w:pos="705" w:val="left"/>
        </w:tabs>
        <w:bidi w:val="0"/>
        <w:spacing w:before="0" w:after="0"/>
        <w:ind w:left="0" w:right="0"/>
        <w:jc w:val="both"/>
      </w:pPr>
      <w:bookmarkStart w:id="805" w:name="bookmark805"/>
      <w:r>
        <w:rPr>
          <w:rFonts w:ascii="Times New Roman" w:eastAsia="Times New Roman" w:hAnsi="Times New Roman" w:cs="Times New Roman"/>
          <w:color w:val="000000"/>
          <w:spacing w:val="0"/>
          <w:w w:val="100"/>
          <w:position w:val="0"/>
        </w:rPr>
        <w:t>2</w:t>
      </w:r>
      <w:bookmarkEnd w:id="805"/>
      <w:r>
        <w:rPr>
          <w:color w:val="000000"/>
          <w:spacing w:val="0"/>
          <w:w w:val="100"/>
          <w:position w:val="0"/>
        </w:rPr>
        <w:t>）</w:t>
        <w:tab/>
        <w:t>该金融资产已转移，且公司将金融资产所有权上几乎所有的风险和报酬转移给转入方；</w:t>
      </w:r>
    </w:p>
    <w:p>
      <w:pPr>
        <w:pStyle w:val="Style29"/>
        <w:keepNext w:val="0"/>
        <w:keepLines w:val="0"/>
        <w:widowControl w:val="0"/>
        <w:shd w:val="clear" w:color="auto" w:fill="auto"/>
        <w:tabs>
          <w:tab w:pos="700" w:val="left"/>
        </w:tabs>
        <w:bidi w:val="0"/>
        <w:spacing w:before="0" w:after="0" w:line="326" w:lineRule="exact"/>
        <w:ind w:left="0" w:right="0"/>
        <w:jc w:val="both"/>
      </w:pPr>
      <w:bookmarkStart w:id="806" w:name="bookmark806"/>
      <w:r>
        <w:rPr>
          <w:rFonts w:ascii="Times New Roman" w:eastAsia="Times New Roman" w:hAnsi="Times New Roman" w:cs="Times New Roman"/>
          <w:color w:val="000000"/>
          <w:spacing w:val="0"/>
          <w:w w:val="100"/>
          <w:position w:val="0"/>
        </w:rPr>
        <w:t>3</w:t>
      </w:r>
      <w:bookmarkEnd w:id="806"/>
      <w:r>
        <w:rPr>
          <w:color w:val="000000"/>
          <w:spacing w:val="0"/>
          <w:w w:val="100"/>
          <w:position w:val="0"/>
        </w:rPr>
        <w:t>）</w:t>
        <w:tab/>
        <w:t>该金融资产已转移，虽然公司既没有转移也没有保留金融资产所有权上几乎所有的风险和报酬，但是放弃了对该金 融资产控制。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其他权益工具投资终止确认时，其账面价值与收到的对价以及原直接计入其他综合收益的公允价值变动累计额之和的差 额，计入留存收益；其余金融资产终止确认时，其账面价值与收到的对价以及原直接计入其他综合收益的公允价值变动累计 额之和的差额，计入当期损益。</w:t>
      </w:r>
    </w:p>
    <w:p>
      <w:pPr>
        <w:pStyle w:val="Style29"/>
        <w:keepNext w:val="0"/>
        <w:keepLines w:val="0"/>
        <w:widowControl w:val="0"/>
        <w:numPr>
          <w:ilvl w:val="0"/>
          <w:numId w:val="33"/>
        </w:numPr>
        <w:shd w:val="clear" w:color="auto" w:fill="auto"/>
        <w:bidi w:val="0"/>
        <w:spacing w:before="0" w:after="0" w:line="312" w:lineRule="exact"/>
        <w:ind w:left="0" w:right="0" w:firstLine="380"/>
        <w:jc w:val="both"/>
      </w:pPr>
      <w:bookmarkStart w:id="807" w:name="bookmark807"/>
      <w:bookmarkEnd w:id="807"/>
      <w:r>
        <w:rPr>
          <w:color w:val="000000"/>
          <w:spacing w:val="0"/>
          <w:w w:val="100"/>
          <w:position w:val="0"/>
        </w:rPr>
        <w:t>金融资产的核销</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如果公司及其子公司不再合理预期金融资产合同现金流量能够全部或部分收回，则直接减记该金融资产的账面余额。这 种减记构成相关金融资产的终止确认。这种情况通常发生在公司及其子公司确定债务人没有资产或收入来源可产生足够的现 金流量以偿还将被减记的金额。但是，按照公司及其子公司收回到期款项的程序，被减记的金融资产仍可能受到执行活动的 影响。</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已减记的金融资产以后又收回的，作为减值损失的转回计入收回当期的损益。</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金融负债于初始确认时分类为以摊余成本计量的金融负债和以公允价值计量且其变动计入当期损益的金融负债。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除下列各项外，公司将金融负债分类为以摊余成本计量的金融负债：</w:t>
      </w:r>
    </w:p>
    <w:p>
      <w:pPr>
        <w:pStyle w:val="Style29"/>
        <w:keepNext w:val="0"/>
        <w:keepLines w:val="0"/>
        <w:widowControl w:val="0"/>
        <w:numPr>
          <w:ilvl w:val="0"/>
          <w:numId w:val="35"/>
        </w:numPr>
        <w:shd w:val="clear" w:color="auto" w:fill="auto"/>
        <w:tabs>
          <w:tab w:pos="723" w:val="left"/>
        </w:tabs>
        <w:bidi w:val="0"/>
        <w:spacing w:before="0" w:after="0" w:line="312" w:lineRule="exact"/>
        <w:ind w:left="0" w:right="0" w:firstLine="380"/>
        <w:jc w:val="both"/>
      </w:pPr>
      <w:bookmarkStart w:id="809" w:name="bookmark809"/>
      <w:bookmarkEnd w:id="809"/>
      <w:r>
        <w:rPr>
          <w:color w:val="000000"/>
          <w:spacing w:val="0"/>
          <w:w w:val="100"/>
          <w:position w:val="0"/>
        </w:rPr>
        <w:t>以公允价值计量且其变动计入当期损益的金融负债，包括交易性金融负债（含属于金融负债的衍生工具）和指定为以 公允价值计量且其变动计入当期损益的金融负债。</w:t>
      </w:r>
    </w:p>
    <w:p>
      <w:pPr>
        <w:pStyle w:val="Style29"/>
        <w:keepNext w:val="0"/>
        <w:keepLines w:val="0"/>
        <w:widowControl w:val="0"/>
        <w:numPr>
          <w:ilvl w:val="0"/>
          <w:numId w:val="35"/>
        </w:numPr>
        <w:shd w:val="clear" w:color="auto" w:fill="auto"/>
        <w:tabs>
          <w:tab w:pos="753" w:val="left"/>
        </w:tabs>
        <w:bidi w:val="0"/>
        <w:spacing w:before="0" w:after="0" w:line="312" w:lineRule="exact"/>
        <w:ind w:left="0" w:right="0" w:firstLine="380"/>
        <w:jc w:val="both"/>
      </w:pPr>
      <w:bookmarkStart w:id="810" w:name="bookmark810"/>
      <w:bookmarkEnd w:id="810"/>
      <w:r>
        <w:rPr>
          <w:color w:val="000000"/>
          <w:spacing w:val="0"/>
          <w:w w:val="100"/>
          <w:position w:val="0"/>
        </w:rPr>
        <w:t>金融资产转移不符合终止确认条件或继续涉入被转移金融资产所形成的金融负债。</w:t>
      </w:r>
    </w:p>
    <w:p>
      <w:pPr>
        <w:pStyle w:val="Style29"/>
        <w:keepNext w:val="0"/>
        <w:keepLines w:val="0"/>
        <w:widowControl w:val="0"/>
        <w:numPr>
          <w:ilvl w:val="0"/>
          <w:numId w:val="35"/>
        </w:numPr>
        <w:shd w:val="clear" w:color="auto" w:fill="auto"/>
        <w:tabs>
          <w:tab w:pos="728" w:val="left"/>
        </w:tabs>
        <w:bidi w:val="0"/>
        <w:spacing w:before="0" w:after="0" w:line="310" w:lineRule="exact"/>
        <w:ind w:left="0" w:right="0" w:firstLine="380"/>
        <w:jc w:val="both"/>
      </w:pPr>
      <w:bookmarkStart w:id="811" w:name="bookmark811"/>
      <w:bookmarkEnd w:id="811"/>
      <w:r>
        <w:rPr>
          <w:color w:val="000000"/>
          <w:spacing w:val="0"/>
          <w:w w:val="100"/>
          <w:position w:val="0"/>
        </w:rPr>
        <w:t>不属于本条第①项或第②项情形的财务担保合同，以及不属于本条第①项情形的以低于市场利率贷款的贷款承诺。在 非同一控制下的企业合并中，公司作为购买方确认的或有对价形成金融负债的，该金融负债按照以公允价值计量且其变动计 入当期损益进行会计处理。</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在初始确认时，为了提供更相关的会计信息，公司可以将金融负债指定为以公允价值计量且其变动计入当期损益的金融 负债，该指定满足下列条件之一：</w:t>
      </w:r>
    </w:p>
    <w:p>
      <w:pPr>
        <w:pStyle w:val="Style29"/>
        <w:keepNext w:val="0"/>
        <w:keepLines w:val="0"/>
        <w:widowControl w:val="0"/>
        <w:shd w:val="clear" w:color="auto" w:fill="auto"/>
        <w:tabs>
          <w:tab w:pos="729" w:val="left"/>
        </w:tabs>
        <w:bidi w:val="0"/>
        <w:spacing w:before="0" w:after="0"/>
        <w:ind w:left="0" w:right="0" w:firstLine="380"/>
        <w:jc w:val="both"/>
      </w:pPr>
      <w:bookmarkStart w:id="812" w:name="bookmark812"/>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能够消除或显著减少会计错配。</w:t>
      </w:r>
    </w:p>
    <w:p>
      <w:pPr>
        <w:pStyle w:val="Style29"/>
        <w:keepNext w:val="0"/>
        <w:keepLines w:val="0"/>
        <w:widowControl w:val="0"/>
        <w:shd w:val="clear" w:color="auto" w:fill="auto"/>
        <w:tabs>
          <w:tab w:pos="718" w:val="left"/>
        </w:tabs>
        <w:bidi w:val="0"/>
        <w:spacing w:before="0" w:after="0" w:line="312" w:lineRule="exact"/>
        <w:ind w:left="0" w:right="0" w:firstLine="380"/>
        <w:jc w:val="both"/>
      </w:pPr>
      <w:bookmarkStart w:id="813" w:name="bookmark813"/>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根据正式书面文件载明的企业风险管理或投资策略，以公允价值为基础对金融负债组合或金融资产和金融负债组合 进行管理和业绩评价，并在公司内部以此为基础向关键管理人员报告。该指定一经做出，不得撤销。</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公司的金融负债主要为以摊余成本计量的金融负债，包括应付票据及应付账款、其他应付款、借款及应付债券等。该类 金融负债按其公允价值扣除交易费用后的金额进行初始计量，并采用实际利率法进行后续计量。期限在一年以下（含一年） 的，列示为流动负债；期限在一年以上但自资产负债表日起一年内（含一年）到期的，列示为一年内到期的非流动负债；其 余列示为非流动负债。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当金融负债的现时义务全部或部分已经解除时，公司终止确认该金融负债或义务已解除的部分。终止确认部分的账面价 值与支付的对价之间的差额，计入当期损益。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金融负债（或其一部分）的现时义务已经解除的，公司终止确认该金融负债（或该部分金融负债）。</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金融工具的公允价值确定</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允价值。在估值时，公司采用在当前情况下适用并且有足够可利用数据和其他信息支持的估值技术，选择与市场参与者在相 关资产或负债的交易中所考虑的资产或负债特征相一致的输入值，并尽可能优先使用相关可观察输入值。在相关可观察输入 值无法取得或取得不切实可行的情况下，使用不可观察输入值。</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4</w:t>
      </w:r>
      <w:r>
        <w:rPr>
          <w:color w:val="000000"/>
          <w:spacing w:val="0"/>
          <w:w w:val="100"/>
          <w:position w:val="0"/>
        </w:rPr>
        <w:t>）</w:t>
        <w:tab/>
        <w:t>后续计量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初始确认后，公司对不同类别的金融资产，分别以摊余成本、以公允价值计量且其变动计入其他综合收益或以公允价值 计量且其变动计入当期损益进行后续计量。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初始确认后，公司对不同类别的金融负债，分别以摊余成本、以公允价值计量且其变动计入当期损益或以其他适当方法 进行后续计量。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金融资产或金融负债的摊余成本，以该金融资产或金融负债的初始确认金额经下列调整后的结果确定：</w:t>
      </w:r>
    </w:p>
    <w:p>
      <w:pPr>
        <w:pStyle w:val="Style29"/>
        <w:keepNext w:val="0"/>
        <w:keepLines w:val="0"/>
        <w:widowControl w:val="0"/>
        <w:numPr>
          <w:ilvl w:val="0"/>
          <w:numId w:val="37"/>
        </w:numPr>
        <w:shd w:val="clear" w:color="auto" w:fill="auto"/>
        <w:tabs>
          <w:tab w:pos="753" w:val="left"/>
        </w:tabs>
        <w:bidi w:val="0"/>
        <w:spacing w:before="0" w:after="0" w:line="312" w:lineRule="exact"/>
        <w:ind w:left="0" w:right="0" w:firstLine="380"/>
        <w:jc w:val="both"/>
      </w:pPr>
      <w:bookmarkStart w:id="816" w:name="bookmark816"/>
      <w:bookmarkEnd w:id="816"/>
      <w:r>
        <w:rPr>
          <w:color w:val="000000"/>
          <w:spacing w:val="0"/>
          <w:w w:val="100"/>
          <w:position w:val="0"/>
        </w:rPr>
        <w:t>扣除已偿还的本金。</w:t>
      </w:r>
    </w:p>
    <w:p>
      <w:pPr>
        <w:pStyle w:val="Style29"/>
        <w:keepNext w:val="0"/>
        <w:keepLines w:val="0"/>
        <w:widowControl w:val="0"/>
        <w:numPr>
          <w:ilvl w:val="0"/>
          <w:numId w:val="37"/>
        </w:numPr>
        <w:shd w:val="clear" w:color="auto" w:fill="auto"/>
        <w:tabs>
          <w:tab w:pos="753" w:val="left"/>
        </w:tabs>
        <w:bidi w:val="0"/>
        <w:spacing w:before="0" w:after="0" w:line="312" w:lineRule="exact"/>
        <w:ind w:left="0" w:right="0" w:firstLine="380"/>
        <w:jc w:val="both"/>
      </w:pPr>
      <w:bookmarkStart w:id="817" w:name="bookmark817"/>
      <w:bookmarkEnd w:id="817"/>
      <w:r>
        <w:rPr>
          <w:color w:val="000000"/>
          <w:spacing w:val="0"/>
          <w:w w:val="100"/>
          <w:position w:val="0"/>
        </w:rPr>
        <w:t>加上或减去采用实际利率法将该初始确认金额与到期日金额之间的差额进行摊销形成的累计摊销额。</w:t>
      </w:r>
    </w:p>
    <w:p>
      <w:pPr>
        <w:pStyle w:val="Style29"/>
        <w:keepNext w:val="0"/>
        <w:keepLines w:val="0"/>
        <w:widowControl w:val="0"/>
        <w:numPr>
          <w:ilvl w:val="0"/>
          <w:numId w:val="37"/>
        </w:numPr>
        <w:shd w:val="clear" w:color="auto" w:fill="auto"/>
        <w:tabs>
          <w:tab w:pos="753" w:val="left"/>
        </w:tabs>
        <w:bidi w:val="0"/>
        <w:spacing w:before="0" w:after="0" w:line="312" w:lineRule="exact"/>
        <w:ind w:left="0" w:right="0" w:firstLine="380"/>
        <w:jc w:val="both"/>
      </w:pPr>
      <w:bookmarkStart w:id="818" w:name="bookmark818"/>
      <w:bookmarkEnd w:id="818"/>
      <w:r>
        <w:rPr>
          <w:color w:val="000000"/>
          <w:spacing w:val="0"/>
          <w:w w:val="100"/>
          <w:position w:val="0"/>
        </w:rPr>
        <w:t>扣除累计计提的损失准备（仅适用于金融资产）。</w:t>
      </w:r>
    </w:p>
    <w:p>
      <w:pPr>
        <w:pStyle w:val="Style29"/>
        <w:keepNext w:val="0"/>
        <w:keepLines w:val="0"/>
        <w:widowControl w:val="0"/>
        <w:shd w:val="clear" w:color="auto" w:fill="auto"/>
        <w:bidi w:val="0"/>
        <w:spacing w:before="0" w:line="315" w:lineRule="exact"/>
        <w:ind w:left="0" w:right="0" w:firstLine="380"/>
        <w:jc w:val="both"/>
      </w:pPr>
      <w:r>
        <w:rPr>
          <w:color w:val="000000"/>
          <w:spacing w:val="0"/>
          <w:w w:val="100"/>
          <w:position w:val="0"/>
        </w:rPr>
        <w:t>公司按照实际利率法确认利息收入。利息收入根据金融资产账面余额乘以实际利率计算确定，但下列情况除外：</w:t>
      </w:r>
    </w:p>
    <w:p>
      <w:pPr>
        <w:pStyle w:val="Style29"/>
        <w:keepNext w:val="0"/>
        <w:keepLines w:val="0"/>
        <w:widowControl w:val="0"/>
        <w:shd w:val="clear" w:color="auto" w:fill="auto"/>
        <w:tabs>
          <w:tab w:pos="709" w:val="left"/>
        </w:tabs>
        <w:bidi w:val="0"/>
        <w:spacing w:before="0" w:line="312" w:lineRule="exact"/>
        <w:ind w:left="0" w:right="0" w:firstLine="380"/>
        <w:jc w:val="both"/>
      </w:pPr>
      <w:bookmarkStart w:id="819" w:name="bookmark819"/>
      <w:r>
        <w:rPr>
          <w:rFonts w:ascii="Times New Roman" w:eastAsia="Times New Roman" w:hAnsi="Times New Roman" w:cs="Times New Roman"/>
          <w:color w:val="000000"/>
          <w:spacing w:val="0"/>
          <w:w w:val="100"/>
          <w:position w:val="0"/>
        </w:rPr>
        <w:t>1</w:t>
      </w:r>
      <w:bookmarkEnd w:id="819"/>
      <w:r>
        <w:rPr>
          <w:color w:val="000000"/>
          <w:spacing w:val="0"/>
          <w:w w:val="100"/>
          <w:position w:val="0"/>
        </w:rPr>
        <w:t>）</w:t>
        <w:tab/>
        <w:t>对于购入或源生的已发生信用减值的金融资产，公司自初始确认起，按照该金融资产的摊余成本和经信用调整的实 际利率计算确定其利息收入。</w:t>
      </w:r>
    </w:p>
    <w:p>
      <w:pPr>
        <w:pStyle w:val="Style29"/>
        <w:keepNext w:val="0"/>
        <w:keepLines w:val="0"/>
        <w:widowControl w:val="0"/>
        <w:shd w:val="clear" w:color="auto" w:fill="auto"/>
        <w:tabs>
          <w:tab w:pos="718" w:val="left"/>
        </w:tabs>
        <w:bidi w:val="0"/>
        <w:spacing w:before="0" w:after="720" w:line="315" w:lineRule="exact"/>
        <w:ind w:left="0" w:right="0" w:firstLine="380"/>
        <w:jc w:val="both"/>
      </w:pPr>
      <w:bookmarkStart w:id="820" w:name="bookmark820"/>
      <w:r>
        <w:rPr>
          <w:rFonts w:ascii="Times New Roman" w:eastAsia="Times New Roman" w:hAnsi="Times New Roman" w:cs="Times New Roman"/>
          <w:color w:val="000000"/>
          <w:spacing w:val="0"/>
          <w:w w:val="100"/>
          <w:position w:val="0"/>
        </w:rPr>
        <w:t>2</w:t>
      </w:r>
      <w:bookmarkEnd w:id="820"/>
      <w:r>
        <w:rPr>
          <w:color w:val="000000"/>
          <w:spacing w:val="0"/>
          <w:w w:val="100"/>
          <w:position w:val="0"/>
        </w:rPr>
        <w:t>）</w:t>
        <w:tab/>
        <w:t>对于购入或源生的未发生信用减值、但在后续期间成为已发生信用减值的金融资产，公司在后续期间，按照该金融 资产的摊余成本和实际利率计算确定其利息收入。公司按照上述政策对金融资产的摊余成本运用实际利率法计算利息收入 的，若该金融工具在后续期间因其信用风险有所改善而不再存在信用减值，并且这一改善在客观上可与应用上述政策之后发 生的某一事件相联系（如债务人的信用评级被上调），公司转按实际利率乘以该金融资产账面余额来计算确定利息收入。</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1"/>
      <w:bookmarkEnd w:id="822"/>
      <w:bookmarkEnd w:id="824"/>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详见重要会计政策及估计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5"/>
      <w:bookmarkEnd w:id="826"/>
      <w:bookmarkEnd w:id="828"/>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详见重要会计政策及估计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9"/>
      <w:bookmarkEnd w:id="830"/>
      <w:bookmarkEnd w:id="832"/>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详见重要会计政策及估计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3"/>
      <w:bookmarkEnd w:id="834"/>
      <w:bookmarkEnd w:id="836"/>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其他应收款的预期信用损失的确定方法及会计处理方法 详见重要会计政策及估计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7"/>
      <w:bookmarkEnd w:id="838"/>
      <w:bookmarkEnd w:id="840"/>
    </w:p>
    <w:p>
      <w:pPr>
        <w:pStyle w:val="Style29"/>
        <w:keepNext w:val="0"/>
        <w:keepLines w:val="0"/>
        <w:widowControl w:val="0"/>
        <w:shd w:val="clear" w:color="auto" w:fill="auto"/>
        <w:tabs>
          <w:tab w:pos="896" w:val="left"/>
        </w:tabs>
        <w:bidi w:val="0"/>
        <w:spacing w:before="0" w:line="312" w:lineRule="exact"/>
        <w:ind w:left="0" w:right="0" w:firstLine="38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存货是指在日常活动中持有以备出售的产成品或商品、处在生产过程中的在产品、在生产过程及提供劳务过程中 耗用的材料和物料。存货同时满足下列条件的，予以确认：</w:t>
      </w:r>
    </w:p>
    <w:p>
      <w:pPr>
        <w:pStyle w:val="Style29"/>
        <w:keepNext w:val="0"/>
        <w:keepLines w:val="0"/>
        <w:widowControl w:val="0"/>
        <w:numPr>
          <w:ilvl w:val="0"/>
          <w:numId w:val="39"/>
        </w:numPr>
        <w:shd w:val="clear" w:color="auto" w:fill="auto"/>
        <w:tabs>
          <w:tab w:pos="753" w:val="left"/>
        </w:tabs>
        <w:bidi w:val="0"/>
        <w:spacing w:before="0" w:line="314" w:lineRule="exact"/>
        <w:ind w:left="0" w:right="0" w:firstLine="380"/>
        <w:jc w:val="both"/>
      </w:pPr>
      <w:bookmarkStart w:id="842" w:name="bookmark842"/>
      <w:bookmarkEnd w:id="842"/>
      <w:r>
        <w:rPr>
          <w:color w:val="000000"/>
          <w:spacing w:val="0"/>
          <w:w w:val="100"/>
          <w:position w:val="0"/>
        </w:rPr>
        <w:t>与该存货有关的经济利益很可能流入企业；</w:t>
      </w:r>
    </w:p>
    <w:p>
      <w:pPr>
        <w:pStyle w:val="Style29"/>
        <w:keepNext w:val="0"/>
        <w:keepLines w:val="0"/>
        <w:widowControl w:val="0"/>
        <w:numPr>
          <w:ilvl w:val="0"/>
          <w:numId w:val="39"/>
        </w:numPr>
        <w:shd w:val="clear" w:color="auto" w:fill="auto"/>
        <w:tabs>
          <w:tab w:pos="753" w:val="left"/>
        </w:tabs>
        <w:bidi w:val="0"/>
        <w:spacing w:before="0" w:line="314" w:lineRule="exact"/>
        <w:ind w:left="0" w:right="0" w:firstLine="380"/>
        <w:jc w:val="both"/>
      </w:pPr>
      <w:bookmarkStart w:id="843" w:name="bookmark843"/>
      <w:bookmarkEnd w:id="843"/>
      <w:r>
        <w:rPr>
          <w:color w:val="000000"/>
          <w:spacing w:val="0"/>
          <w:w w:val="100"/>
          <w:position w:val="0"/>
        </w:rPr>
        <w:t>该存货的成本能够可靠地计量。</w:t>
      </w:r>
    </w:p>
    <w:p>
      <w:pPr>
        <w:pStyle w:val="Style29"/>
        <w:keepNext w:val="0"/>
        <w:keepLines w:val="0"/>
        <w:widowControl w:val="0"/>
        <w:shd w:val="clear" w:color="auto" w:fill="auto"/>
        <w:tabs>
          <w:tab w:pos="820" w:val="left"/>
        </w:tabs>
        <w:bidi w:val="0"/>
        <w:spacing w:before="0" w:line="314" w:lineRule="exact"/>
        <w:ind w:left="0" w:right="0" w:firstLine="38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存货的分类</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存货包括原材料、在产品、半成品、库存商品以及周转材料。</w:t>
      </w:r>
    </w:p>
    <w:p>
      <w:pPr>
        <w:pStyle w:val="Style29"/>
        <w:keepNext w:val="0"/>
        <w:keepLines w:val="0"/>
        <w:widowControl w:val="0"/>
        <w:shd w:val="clear" w:color="auto" w:fill="auto"/>
        <w:tabs>
          <w:tab w:pos="820" w:val="left"/>
        </w:tabs>
        <w:bidi w:val="0"/>
        <w:spacing w:before="0" w:line="314" w:lineRule="exact"/>
        <w:ind w:left="0" w:right="0" w:firstLine="38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发出存货的计价方法</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发出存货时按月末一次加权平均法计价。</w:t>
      </w:r>
    </w:p>
    <w:p>
      <w:pPr>
        <w:pStyle w:val="Style29"/>
        <w:keepNext w:val="0"/>
        <w:keepLines w:val="0"/>
        <w:widowControl w:val="0"/>
        <w:shd w:val="clear" w:color="auto" w:fill="auto"/>
        <w:tabs>
          <w:tab w:pos="820" w:val="left"/>
        </w:tabs>
        <w:bidi w:val="0"/>
        <w:spacing w:before="0" w:line="314" w:lineRule="exact"/>
        <w:ind w:left="0" w:right="0" w:firstLine="38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于资产负债表日，存货按照成本与可变现净值孰低计量，存货成本高于其可变现净值的，应当计提存货跌价准备，计入 当期损益。可变现净值，是指在日常活动中，存货的估计售价减去至完工时估计将要发生的成本、估计的销售费用以及相关 税费后的金额。</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各类存货可变现净值的确定依据如下：</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①产成品、商品和用于出售的材料等直接用于出售的商品存货，在正常生产经营过程中，以该存货的估计售价减去估计 的销售费用和相关税费后的金额，确定其可变现净值。</w:t>
      </w:r>
    </w:p>
    <w:p>
      <w:pPr>
        <w:pStyle w:val="Style29"/>
        <w:keepNext w:val="0"/>
        <w:keepLines w:val="0"/>
        <w:widowControl w:val="0"/>
        <w:numPr>
          <w:ilvl w:val="0"/>
          <w:numId w:val="41"/>
        </w:numPr>
        <w:shd w:val="clear" w:color="auto" w:fill="auto"/>
        <w:tabs>
          <w:tab w:pos="728" w:val="left"/>
        </w:tabs>
        <w:bidi w:val="0"/>
        <w:spacing w:before="0" w:after="0" w:line="312" w:lineRule="exact"/>
        <w:ind w:left="0" w:right="0"/>
        <w:jc w:val="left"/>
      </w:pPr>
      <w:bookmarkStart w:id="847" w:name="bookmark847"/>
      <w:bookmarkEnd w:id="847"/>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w:t>
      </w:r>
    </w:p>
    <w:p>
      <w:pPr>
        <w:pStyle w:val="Style29"/>
        <w:keepNext w:val="0"/>
        <w:keepLines w:val="0"/>
        <w:widowControl w:val="0"/>
        <w:numPr>
          <w:ilvl w:val="0"/>
          <w:numId w:val="41"/>
        </w:numPr>
        <w:shd w:val="clear" w:color="auto" w:fill="auto"/>
        <w:tabs>
          <w:tab w:pos="723" w:val="left"/>
        </w:tabs>
        <w:bidi w:val="0"/>
        <w:spacing w:before="0" w:after="0" w:line="307" w:lineRule="exact"/>
        <w:ind w:left="0" w:right="0"/>
        <w:jc w:val="left"/>
      </w:pPr>
      <w:bookmarkStart w:id="848" w:name="bookmark848"/>
      <w:bookmarkEnd w:id="848"/>
      <w:r>
        <w:rPr>
          <w:color w:val="000000"/>
          <w:spacing w:val="0"/>
          <w:w w:val="100"/>
          <w:position w:val="0"/>
        </w:rPr>
        <w:t>资产负债表日，同一项存货中一部分有合同价格约定、其他部分不存在合同价格的，应当分别确定其可变现净值，并 与其相对应的成本进行比较，分别确定存货跌价准备的计提或转回的金额。</w:t>
      </w:r>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存货跌价准备按单个存货项目计提，与在同一地区生产和销售的产品系列相关、具有相同或类似最终用途或目的，且难 以与其他项目分开计量的存货，合并计提存货跌价准备。</w:t>
      </w:r>
    </w:p>
    <w:p>
      <w:pPr>
        <w:pStyle w:val="Style29"/>
        <w:keepNext w:val="0"/>
        <w:keepLines w:val="0"/>
        <w:widowControl w:val="0"/>
        <w:shd w:val="clear" w:color="auto" w:fill="auto"/>
        <w:tabs>
          <w:tab w:pos="800" w:val="left"/>
        </w:tabs>
        <w:bidi w:val="0"/>
        <w:spacing w:before="0" w:after="0" w:line="314" w:lineRule="exact"/>
        <w:ind w:left="0" w:right="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存货的盘存制度</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采用永续盘存制。</w:t>
      </w:r>
    </w:p>
    <w:p>
      <w:pPr>
        <w:pStyle w:val="Style29"/>
        <w:keepNext w:val="0"/>
        <w:keepLines w:val="0"/>
        <w:widowControl w:val="0"/>
        <w:shd w:val="clear" w:color="auto" w:fill="auto"/>
        <w:tabs>
          <w:tab w:pos="800" w:val="left"/>
        </w:tabs>
        <w:bidi w:val="0"/>
        <w:spacing w:before="0" w:after="0" w:line="314" w:lineRule="exact"/>
        <w:ind w:left="0" w:right="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低值易耗品和包装物的摊销方法</w:t>
      </w:r>
    </w:p>
    <w:p>
      <w:pPr>
        <w:pStyle w:val="Style29"/>
        <w:keepNext w:val="0"/>
        <w:keepLines w:val="0"/>
        <w:widowControl w:val="0"/>
        <w:shd w:val="clear" w:color="auto" w:fill="auto"/>
        <w:bidi w:val="0"/>
        <w:spacing w:before="0" w:after="720" w:line="314" w:lineRule="exact"/>
        <w:ind w:left="0" w:right="0"/>
        <w:jc w:val="left"/>
      </w:pPr>
      <w:r>
        <w:rPr>
          <w:color w:val="000000"/>
          <w:spacing w:val="0"/>
          <w:w w:val="100"/>
          <w:position w:val="0"/>
        </w:rPr>
        <w:t>对低值易耗品和包装物采用一次转销法进行摊销。</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1"/>
      <w:bookmarkEnd w:id="852"/>
      <w:bookmarkEnd w:id="854"/>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合同资产会计政策适用于</w:t>
      </w:r>
      <w:r>
        <w:rPr>
          <w:rFonts w:ascii="Times New Roman" w:eastAsia="Times New Roman" w:hAnsi="Times New Roman" w:cs="Times New Roman"/>
          <w:color w:val="000000"/>
          <w:spacing w:val="0"/>
          <w:w w:val="100"/>
          <w:position w:val="0"/>
        </w:rPr>
        <w:t>2020</w:t>
      </w:r>
      <w:r>
        <w:rPr>
          <w:color w:val="000000"/>
          <w:spacing w:val="0"/>
          <w:w w:val="100"/>
          <w:position w:val="0"/>
        </w:rPr>
        <w:t>年度及以后。</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9"/>
        <w:keepNext w:val="0"/>
        <w:keepLines w:val="0"/>
        <w:widowControl w:val="0"/>
        <w:shd w:val="clear" w:color="auto" w:fill="auto"/>
        <w:bidi w:val="0"/>
        <w:spacing w:before="0" w:after="720" w:line="314" w:lineRule="exact"/>
        <w:ind w:left="0" w:right="0"/>
        <w:jc w:val="left"/>
      </w:pPr>
      <w:r>
        <w:rPr>
          <w:color w:val="000000"/>
          <w:spacing w:val="0"/>
          <w:w w:val="100"/>
          <w:position w:val="0"/>
        </w:rPr>
        <w:t>合同资产预期信用损失的确定方法和会计处理方法参见附注五、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5"/>
      <w:bookmarkEnd w:id="856"/>
      <w:bookmarkEnd w:id="858"/>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合同成本会计政策适用于</w:t>
      </w:r>
      <w:r>
        <w:rPr>
          <w:rFonts w:ascii="Times New Roman" w:eastAsia="Times New Roman" w:hAnsi="Times New Roman" w:cs="Times New Roman"/>
          <w:color w:val="000000"/>
          <w:spacing w:val="0"/>
          <w:w w:val="100"/>
          <w:position w:val="0"/>
        </w:rPr>
        <w:t>2020</w:t>
      </w:r>
      <w:r>
        <w:rPr>
          <w:color w:val="000000"/>
          <w:spacing w:val="0"/>
          <w:w w:val="100"/>
          <w:position w:val="0"/>
        </w:rPr>
        <w:t>年度及以后。</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本公司为取得合同发生的增量成本预期能够收回的，作为合同取得成本确认为一项资产。</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年修订）》之外的其他企业会计准则规范范围且同 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29"/>
        <w:keepNext w:val="0"/>
        <w:keepLines w:val="0"/>
        <w:widowControl w:val="0"/>
        <w:shd w:val="clear" w:color="auto" w:fill="auto"/>
        <w:bidi w:val="0"/>
        <w:spacing w:before="0" w:after="360" w:line="314" w:lineRule="exact"/>
        <w:ind w:left="0" w:right="0"/>
        <w:jc w:val="left"/>
      </w:pPr>
      <w:r>
        <w:rPr>
          <w:color w:val="000000"/>
          <w:spacing w:val="0"/>
          <w:w w:val="100"/>
          <w:position w:val="0"/>
        </w:rPr>
        <w:t>与合同成本有关的资产采用与该资产相关的商品收入确认相同的基础进行摊销，计入当期损益。</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9"/>
      <w:bookmarkEnd w:id="860"/>
      <w:bookmarkEnd w:id="862"/>
    </w:p>
    <w:p>
      <w:pPr>
        <w:pStyle w:val="Style29"/>
        <w:keepNext w:val="0"/>
        <w:keepLines w:val="0"/>
        <w:widowControl w:val="0"/>
        <w:shd w:val="clear" w:color="auto" w:fill="auto"/>
        <w:bidi w:val="0"/>
        <w:spacing w:before="0" w:after="0" w:line="314" w:lineRule="exact"/>
        <w:ind w:left="0" w:right="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）持有待售的非流动资产和处置组确认标准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公司若主要通过出售（包括具有商业实质的非货币性资产交换，下同）而非持续使用一项非流动资产或处置组收回其账 面价值的，则将其划分为持有待售类别。具体标准为同时满足以下条件：</w:t>
      </w:r>
    </w:p>
    <w:p>
      <w:pPr>
        <w:pStyle w:val="Style29"/>
        <w:keepNext w:val="0"/>
        <w:keepLines w:val="0"/>
        <w:widowControl w:val="0"/>
        <w:numPr>
          <w:ilvl w:val="0"/>
          <w:numId w:val="43"/>
        </w:numPr>
        <w:shd w:val="clear" w:color="auto" w:fill="auto"/>
        <w:tabs>
          <w:tab w:pos="733" w:val="left"/>
        </w:tabs>
        <w:bidi w:val="0"/>
        <w:spacing w:before="0" w:after="0" w:line="314" w:lineRule="exact"/>
        <w:ind w:left="0" w:right="0"/>
        <w:jc w:val="both"/>
      </w:pPr>
      <w:bookmarkStart w:id="864" w:name="bookmark864"/>
      <w:bookmarkEnd w:id="864"/>
      <w:r>
        <w:rPr>
          <w:color w:val="000000"/>
          <w:spacing w:val="0"/>
          <w:w w:val="100"/>
          <w:position w:val="0"/>
        </w:rPr>
        <w:t>根据类似交易中出售此类资产或处置组的惯例，在当前状况下即可立即出售；</w:t>
      </w:r>
    </w:p>
    <w:p>
      <w:pPr>
        <w:pStyle w:val="Style29"/>
        <w:keepNext w:val="0"/>
        <w:keepLines w:val="0"/>
        <w:widowControl w:val="0"/>
        <w:numPr>
          <w:ilvl w:val="0"/>
          <w:numId w:val="43"/>
        </w:numPr>
        <w:shd w:val="clear" w:color="auto" w:fill="auto"/>
        <w:tabs>
          <w:tab w:pos="733" w:val="left"/>
        </w:tabs>
        <w:bidi w:val="0"/>
        <w:spacing w:before="0" w:after="0" w:line="314" w:lineRule="exact"/>
        <w:ind w:left="0" w:right="0"/>
        <w:jc w:val="both"/>
      </w:pPr>
      <w:bookmarkStart w:id="865" w:name="bookmark865"/>
      <w:bookmarkEnd w:id="865"/>
      <w:r>
        <w:rPr>
          <w:color w:val="000000"/>
          <w:spacing w:val="0"/>
          <w:w w:val="100"/>
          <w:position w:val="0"/>
        </w:rPr>
        <w:t>出售极可能发生，即企业已经就一项出售计划作出决议且获得确定的购买承诺，预计出售将在一年内完成。</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其中，处置组是指在一项交易中作为整体通过出售或其他方式一并处置的一组资产，以及在该交易中转让的与这些资产 直接相关的负债。处置组所属的资产组或资产组组合按照《企业会计准则第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资产减值》分摊了企业合并中取得的商誉 的，该处置组应当包含分摊至处置组的商誉。</w: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 xml:space="preserve">因出售对子公司的投资等原因导致丧失对子公司控制权的，无论出售后是否保留部分权益性投资，在拟出售的对子公司 </w:t>
      </w:r>
      <w:r>
        <w:rPr>
          <w:color w:val="000000"/>
          <w:spacing w:val="0"/>
          <w:w w:val="100"/>
          <w:position w:val="0"/>
        </w:rPr>
        <w:t>投资满足持有待售类别划分条件时，在母公司个别财务报表中将对子公司投资整体划分为持有待售类别，在合并财务报表中 将子公司所有资产和负债划分为持有待售类别。</w:t>
      </w:r>
    </w:p>
    <w:p>
      <w:pPr>
        <w:pStyle w:val="Style29"/>
        <w:keepNext w:val="0"/>
        <w:keepLines w:val="0"/>
        <w:widowControl w:val="0"/>
        <w:shd w:val="clear" w:color="auto" w:fill="auto"/>
        <w:bidi w:val="0"/>
        <w:spacing w:before="0" w:line="312" w:lineRule="exact"/>
        <w:ind w:left="0" w:right="0" w:firstLine="38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）会计处理方法</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初始计量或在资产负债表日重新计量划分为持有待售的非流动资产和处置组时，其账面价值高于公允价值减去出售费用 后的净额的，将账面价值减记至公允价值减去出售费用后的净额，减记的金额确认为资产减值损失，计入当期损益，同时计 提持有待售资产减值准备。对于处置组，所确认的资产减值损失先抵减处置组中商誉的账面价值，再按比例抵减该处置组内 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w:t>
      </w:r>
      <w:r>
        <w:rPr>
          <w:color w:val="000000"/>
          <w:spacing w:val="0"/>
          <w:w w:val="100"/>
          <w:position w:val="0"/>
        </w:rPr>
        <w:t>一</w:t>
      </w:r>
      <w:r>
        <w:rPr>
          <w:color w:val="000000"/>
          <w:spacing w:val="0"/>
          <w:w w:val="100"/>
          <w:position w:val="0"/>
        </w:rPr>
        <w:t>持有待售的非流动资产、处置组和终止经营》（以下简称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）的计量规定的各项 非流动资产的账面价值。后续资产负债表日持有待售的处置组公允价值减去出售费用后的净额增加的，以前减记的金额应当 予以恢复，并在划分为持有待售类别后适用持有待售准则计量规定的非流动资产确认的资产减值损失金额内转回，转回金额 计入当期损益，并根据处置组中除商誉外适用持有待售准则计量规定的各项非流动资产账面价值所占比重按比例增加其账面 价值；已抵减的商誉账面价值，以及适用持有待售准则计量规定的非流动资产在划分为持有待售类别前确认的资产减值损失 不得转回。</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非流动资产或处置组不再满足持有待售类别的划分条件时，不再将其继续划分为持有待售类别或将非流动资产从持有待 售的处置组中移除，并按照以下两者孰低计量：</w:t>
      </w:r>
    </w:p>
    <w:p>
      <w:pPr>
        <w:pStyle w:val="Style29"/>
        <w:keepNext w:val="0"/>
        <w:keepLines w:val="0"/>
        <w:widowControl w:val="0"/>
        <w:numPr>
          <w:ilvl w:val="0"/>
          <w:numId w:val="45"/>
        </w:numPr>
        <w:shd w:val="clear" w:color="auto" w:fill="auto"/>
        <w:tabs>
          <w:tab w:pos="728" w:val="left"/>
        </w:tabs>
        <w:bidi w:val="0"/>
        <w:spacing w:before="0" w:line="317" w:lineRule="exact"/>
        <w:ind w:left="0" w:right="0" w:firstLine="380"/>
        <w:jc w:val="both"/>
      </w:pPr>
      <w:bookmarkStart w:id="867" w:name="bookmark867"/>
      <w:bookmarkEnd w:id="867"/>
      <w:r>
        <w:rPr>
          <w:color w:val="000000"/>
          <w:spacing w:val="0"/>
          <w:w w:val="100"/>
          <w:position w:val="0"/>
        </w:rPr>
        <w:t>划分为持有待售类别前的账面价值，按照假定不划分为持有待售类别情况下本应确认的折旧、摊销或减值等进行调整 后的金额；</w:t>
      </w:r>
    </w:p>
    <w:p>
      <w:pPr>
        <w:pStyle w:val="Style29"/>
        <w:keepNext w:val="0"/>
        <w:keepLines w:val="0"/>
        <w:widowControl w:val="0"/>
        <w:numPr>
          <w:ilvl w:val="0"/>
          <w:numId w:val="45"/>
        </w:numPr>
        <w:shd w:val="clear" w:color="auto" w:fill="auto"/>
        <w:tabs>
          <w:tab w:pos="753" w:val="left"/>
        </w:tabs>
        <w:bidi w:val="0"/>
        <w:spacing w:before="0" w:after="720" w:line="312" w:lineRule="exact"/>
        <w:ind w:left="0" w:right="0" w:firstLine="380"/>
        <w:jc w:val="both"/>
      </w:pPr>
      <w:bookmarkStart w:id="868" w:name="bookmark868"/>
      <w:bookmarkEnd w:id="868"/>
      <w:r>
        <w:rPr>
          <w:color w:val="000000"/>
          <w:spacing w:val="0"/>
          <w:w w:val="100"/>
          <w:position w:val="0"/>
        </w:rPr>
        <w:t>可收回金额。</w:t>
      </w:r>
    </w:p>
    <w:p>
      <w:pPr>
        <w:pStyle w:val="Style32"/>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869"/>
      <w:bookmarkEnd w:id="870"/>
      <w:bookmarkEnd w:id="872"/>
    </w:p>
    <w:p>
      <w:pPr>
        <w:pStyle w:val="Style29"/>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873"/>
      <w:bookmarkEnd w:id="874"/>
      <w:bookmarkEnd w:id="876"/>
    </w:p>
    <w:p>
      <w:pPr>
        <w:pStyle w:val="Style29"/>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77"/>
      <w:bookmarkEnd w:id="878"/>
      <w:bookmarkEnd w:id="880"/>
    </w:p>
    <w:p>
      <w:pPr>
        <w:pStyle w:val="Style29"/>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81"/>
      <w:bookmarkEnd w:id="882"/>
      <w:bookmarkEnd w:id="884"/>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长期股权投资是指公司对被投资单位实施控制、重大影响的权益性投资，以及对其合营企业的投资。</w:t>
      </w:r>
    </w:p>
    <w:p>
      <w:pPr>
        <w:pStyle w:val="Style29"/>
        <w:keepNext w:val="0"/>
        <w:keepLines w:val="0"/>
        <w:widowControl w:val="0"/>
        <w:shd w:val="clear" w:color="auto" w:fill="auto"/>
        <w:bidi w:val="0"/>
        <w:spacing w:before="0" w:after="120" w:line="240" w:lineRule="auto"/>
        <w:ind w:left="0" w:right="0" w:firstLine="38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）初始投资成本确定</w:t>
      </w:r>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除对外合并形成的长期股权投资以外，其他方式取得的长期股权投资，按照下列规定确定其初始投资成本：</w:t>
      </w:r>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 xml:space="preserve">①以支付现金取得的长期股权投资，按照实际支付的购买价款作为初始投资成本。初始投资成本包括与取得长期股权投 </w:t>
      </w:r>
      <w:r>
        <w:rPr>
          <w:color w:val="000000"/>
          <w:spacing w:val="0"/>
          <w:w w:val="100"/>
          <w:position w:val="0"/>
        </w:rPr>
        <w:t>资直接相关的费用、税金及其他必要支出;</w:t>
      </w:r>
    </w:p>
    <w:p>
      <w:pPr>
        <w:pStyle w:val="Style29"/>
        <w:keepNext w:val="0"/>
        <w:keepLines w:val="0"/>
        <w:widowControl w:val="0"/>
        <w:numPr>
          <w:ilvl w:val="0"/>
          <w:numId w:val="47"/>
        </w:numPr>
        <w:shd w:val="clear" w:color="auto" w:fill="auto"/>
        <w:tabs>
          <w:tab w:pos="732" w:val="left"/>
        </w:tabs>
        <w:bidi w:val="0"/>
        <w:spacing w:before="0" w:after="0" w:line="322" w:lineRule="exact"/>
        <w:ind w:left="0" w:right="0" w:firstLine="380"/>
        <w:jc w:val="both"/>
      </w:pPr>
      <w:bookmarkStart w:id="886" w:name="bookmark886"/>
      <w:bookmarkEnd w:id="886"/>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numPr>
          <w:ilvl w:val="0"/>
          <w:numId w:val="47"/>
        </w:numPr>
        <w:shd w:val="clear" w:color="auto" w:fill="auto"/>
        <w:tabs>
          <w:tab w:pos="707" w:val="left"/>
        </w:tabs>
        <w:bidi w:val="0"/>
        <w:spacing w:before="0" w:after="0" w:line="322" w:lineRule="exact"/>
        <w:ind w:left="0" w:right="0" w:firstLine="380"/>
        <w:jc w:val="both"/>
      </w:pPr>
      <w:bookmarkStart w:id="887" w:name="bookmark887"/>
      <w:bookmarkEnd w:id="887"/>
      <w:r>
        <w:rPr>
          <w:color w:val="000000"/>
          <w:spacing w:val="0"/>
          <w:w w:val="100"/>
          <w:position w:val="0"/>
        </w:rPr>
        <w:t>通过非货币性资产交换取得的长期股权投资，其初始投资成本应当按照《企业会计准则第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color w:val="000000"/>
          <w:spacing w:val="0"/>
          <w:w w:val="100"/>
          <w:position w:val="0"/>
        </w:rPr>
        <w:t>一</w:t>
      </w:r>
      <w:r>
        <w:rPr>
          <w:color w:val="000000"/>
          <w:spacing w:val="0"/>
          <w:w w:val="100"/>
          <w:position w:val="0"/>
        </w:rPr>
        <w:t>非货币性资产交换》 确定；</w:t>
      </w:r>
    </w:p>
    <w:p>
      <w:pPr>
        <w:pStyle w:val="Style29"/>
        <w:keepNext w:val="0"/>
        <w:keepLines w:val="0"/>
        <w:widowControl w:val="0"/>
        <w:numPr>
          <w:ilvl w:val="0"/>
          <w:numId w:val="47"/>
        </w:numPr>
        <w:shd w:val="clear" w:color="auto" w:fill="auto"/>
        <w:tabs>
          <w:tab w:pos="732" w:val="left"/>
        </w:tabs>
        <w:bidi w:val="0"/>
        <w:spacing w:before="0" w:after="0" w:line="322" w:lineRule="exact"/>
        <w:ind w:left="0" w:right="0" w:firstLine="380"/>
        <w:jc w:val="both"/>
      </w:pPr>
      <w:bookmarkStart w:id="888" w:name="bookmark888"/>
      <w:bookmarkEnd w:id="888"/>
      <w:r>
        <w:rPr>
          <w:color w:val="000000"/>
          <w:spacing w:val="0"/>
          <w:w w:val="100"/>
          <w:position w:val="0"/>
        </w:rPr>
        <w:t>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债务重组》确定。</w:t>
      </w:r>
    </w:p>
    <w:p>
      <w:pPr>
        <w:pStyle w:val="Style29"/>
        <w:keepNext w:val="0"/>
        <w:keepLines w:val="0"/>
        <w:widowControl w:val="0"/>
        <w:shd w:val="clear" w:color="auto" w:fill="auto"/>
        <w:tabs>
          <w:tab w:pos="799" w:val="left"/>
        </w:tabs>
        <w:bidi w:val="0"/>
        <w:spacing w:before="0" w:after="0" w:line="312" w:lineRule="exact"/>
        <w:ind w:left="0" w:right="0" w:firstLine="38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29"/>
        <w:keepNext w:val="0"/>
        <w:keepLines w:val="0"/>
        <w:widowControl w:val="0"/>
        <w:numPr>
          <w:ilvl w:val="0"/>
          <w:numId w:val="49"/>
        </w:numPr>
        <w:shd w:val="clear" w:color="auto" w:fill="auto"/>
        <w:tabs>
          <w:tab w:pos="732" w:val="left"/>
        </w:tabs>
        <w:bidi w:val="0"/>
        <w:spacing w:before="0" w:after="0" w:line="312" w:lineRule="exact"/>
        <w:ind w:left="0" w:right="0" w:firstLine="380"/>
        <w:jc w:val="both"/>
      </w:pPr>
      <w:bookmarkStart w:id="890" w:name="bookmark890"/>
      <w:bookmarkEnd w:id="890"/>
      <w:r>
        <w:rPr>
          <w:color w:val="000000"/>
          <w:spacing w:val="0"/>
          <w:w w:val="100"/>
          <w:position w:val="0"/>
        </w:rPr>
        <w:t>下列长期股权投资采用成本法核算：</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公司能够对被投资单位实施控制的长期股权投资。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采用成本法核算的长期股权投资按照初始投资成本计价。追加或收回投资应当调整长期股权投资的成本。被投资单位宣 告分派的现金股利或利润，确认为当期投资收益。</w:t>
      </w:r>
    </w:p>
    <w:p>
      <w:pPr>
        <w:pStyle w:val="Style29"/>
        <w:keepNext w:val="0"/>
        <w:keepLines w:val="0"/>
        <w:widowControl w:val="0"/>
        <w:numPr>
          <w:ilvl w:val="0"/>
          <w:numId w:val="49"/>
        </w:numPr>
        <w:shd w:val="clear" w:color="auto" w:fill="auto"/>
        <w:tabs>
          <w:tab w:pos="732" w:val="left"/>
        </w:tabs>
        <w:bidi w:val="0"/>
        <w:spacing w:before="0" w:after="0" w:line="312" w:lineRule="exact"/>
        <w:ind w:left="0" w:right="0" w:firstLine="380"/>
        <w:jc w:val="both"/>
      </w:pPr>
      <w:bookmarkStart w:id="891" w:name="bookmark891"/>
      <w:bookmarkEnd w:id="891"/>
      <w:r>
        <w:rPr>
          <w:color w:val="000000"/>
          <w:spacing w:val="0"/>
          <w:w w:val="100"/>
          <w:position w:val="0"/>
        </w:rPr>
        <w:t>对被投资单位具有共同控制</w:t>
      </w:r>
      <w:r>
        <w:rPr>
          <w:rFonts w:ascii="Times New Roman" w:eastAsia="Times New Roman" w:hAnsi="Times New Roman" w:cs="Times New Roman"/>
          <w:color w:val="000000"/>
          <w:spacing w:val="0"/>
          <w:w w:val="100"/>
          <w:position w:val="0"/>
        </w:rPr>
        <w:t>（</w:t>
      </w:r>
      <w:r>
        <w:rPr>
          <w:color w:val="000000"/>
          <w:spacing w:val="0"/>
          <w:w w:val="100"/>
          <w:position w:val="0"/>
        </w:rPr>
        <w:t>指合营企业</w:t>
      </w:r>
      <w:r>
        <w:rPr>
          <w:rFonts w:ascii="Times New Roman" w:eastAsia="Times New Roman" w:hAnsi="Times New Roman" w:cs="Times New Roman"/>
          <w:color w:val="000000"/>
          <w:spacing w:val="0"/>
          <w:w w:val="100"/>
          <w:position w:val="0"/>
        </w:rPr>
        <w:t>）</w:t>
      </w:r>
      <w:r>
        <w:rPr>
          <w:color w:val="000000"/>
          <w:spacing w:val="0"/>
          <w:w w:val="100"/>
          <w:position w:val="0"/>
        </w:rPr>
        <w:t>或重大影响的长期股权投资，采用权益法核算。</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长期股权投资采用权益法核算时，对长期股权投资的投资成本大于投资时应享有被投资单位可辨认净资产公允价值份额 的，不调整长期股权投资的投资成本；对长期股权投资的投资成本小于投资时应享有被投资单位可辨认净资产公允价值份额 的，对长期股权投资的账面价值进行调整，差额计入投资当期的损益。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在权益法核算时，当取得长期股权投资后，按照应享有或应分担的被投资单位实现的净损益和其他综合收益的份额，分 别确认投资损益和其他综合收益，并调整长期股权投资的账面价值。投资企业按照被投资单位宣告分派的利润或现金股利计 算应分得的部分，相应减少长期股权投资的账面价值。投资方对于被投资单位除净损益、其他综合收益和利润分配以外所有 者权益的其他变动，应当调整长期股权投资的账面价值并计入所有者权益。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确认被投资单位发生的净亏损，以长期股权投资的账面价值以及其他实质上构成对被投资单位净投资的长期权益减记至 零为限，公司对被投资企业负有承担额外损失义务的除外。被投资单位以后实现净利润的，投资企业在其收益分享额弥补未 确认的亏损分担额后，恢复确认收益分享额。</w:t>
      </w:r>
    </w:p>
    <w:p>
      <w:pPr>
        <w:pStyle w:val="Style29"/>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对于被投资单位除净损益、其他综合收益和利润分配以外所有者权益的其他变动，调整长期股权投资的账面价值并计入 所有者权益。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长期股权投资按照权益法核算在确认投资损益时，先对被投资单位的净利润进行取得投资时被投资单位各项可辨认资产 等的公允价值、会计政策和会计期间方面的调整，再按应享有或应分担的被投资单位的净损益份额确认当期投资损益。</w:t>
      </w:r>
    </w:p>
    <w:p>
      <w:pPr>
        <w:pStyle w:val="Style2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 xml:space="preserve">与联营企业及合营企业之间发生的未实现内部交易损益按照持股比例计算归属于公司的部分，在抵销基础上确认投资损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tabs>
          <w:tab w:pos="799" w:val="left"/>
        </w:tabs>
        <w:bidi w:val="0"/>
        <w:spacing w:before="0" w:after="0" w:line="312"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29"/>
        <w:keepNext w:val="0"/>
        <w:keepLines w:val="0"/>
        <w:widowControl w:val="0"/>
        <w:shd w:val="clear" w:color="auto" w:fill="auto"/>
        <w:bidi w:val="0"/>
        <w:spacing w:before="0" w:after="720" w:line="310" w:lineRule="exact"/>
        <w:ind w:left="0" w:right="0" w:firstLine="380"/>
        <w:jc w:val="both"/>
      </w:pPr>
      <w:r>
        <w:rPr>
          <w:color w:val="000000"/>
          <w:spacing w:val="0"/>
          <w:w w:val="100"/>
          <w:position w:val="0"/>
        </w:rPr>
        <w:t>重大影响，是指对一个企业的财务和经营政策有参与决策的权力，但并不能够控制或者与其他方一起共同控制这些政策 的制定。在确定能否对被投资单位施加重大影响时，考虑投资方直接或间接持有被投资单位的表决权股份以及投资方及其他 方持有的当期可执行潜在表决权在假定转换为对被投资方单位的股权后产生的影响，包括被投资单位发行的当期可转换的认 股权证、股份期权及可转换公司债券等的影响。</w:t>
      </w:r>
    </w:p>
    <w:p>
      <w:pPr>
        <w:pStyle w:val="Style32"/>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93"/>
      <w:bookmarkEnd w:id="894"/>
      <w:bookmarkEnd w:id="89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97"/>
      <w:bookmarkEnd w:id="898"/>
      <w:bookmarkEnd w:id="900"/>
    </w:p>
    <w:p>
      <w:pPr>
        <w:pStyle w:val="Style32"/>
        <w:keepNext/>
        <w:keepLines/>
        <w:widowControl w:val="0"/>
        <w:shd w:val="clear" w:color="auto" w:fill="auto"/>
        <w:bidi w:val="0"/>
        <w:spacing w:before="0" w:after="280" w:line="240" w:lineRule="auto"/>
        <w:ind w:left="0" w:right="0" w:firstLine="0"/>
        <w:jc w:val="left"/>
      </w:pPr>
      <w:bookmarkStart w:id="897" w:name="bookmark897"/>
      <w:bookmarkStart w:id="898" w:name="bookmark898"/>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7"/>
      <w:bookmarkEnd w:id="898"/>
      <w:bookmarkEnd w:id="902"/>
    </w:p>
    <w:p>
      <w:pPr>
        <w:pStyle w:val="Style29"/>
        <w:keepNext w:val="0"/>
        <w:keepLines w:val="0"/>
        <w:widowControl w:val="0"/>
        <w:shd w:val="clear" w:color="auto" w:fill="auto"/>
        <w:tabs>
          <w:tab w:pos="3202" w:val="left"/>
          <w:tab w:pos="7603" w:val="left"/>
        </w:tabs>
        <w:bidi w:val="0"/>
        <w:spacing w:before="0" w:after="0" w:line="312"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固定资产指为生产商品、提供劳务、出租或经营管理而持有，并且使用寿命超过一个会计年度的有形资产。固定资产同 时满足下列条件的，才能予以确认：</w:t>
        <w:tab/>
        <w:t>①与该固定资产有关的经济利益很可能流入企业；</w:t>
        <w:tab/>
        <w:t>②该固定资产的成本能够</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可靠地计量。</w:t>
      </w:r>
    </w:p>
    <w:p>
      <w:pPr>
        <w:pStyle w:val="Style32"/>
        <w:keepNext/>
        <w:keepLines/>
        <w:widowControl w:val="0"/>
        <w:shd w:val="clear" w:color="auto" w:fill="auto"/>
        <w:bidi w:val="0"/>
        <w:spacing w:before="0" w:after="360" w:line="240" w:lineRule="auto"/>
        <w:ind w:left="0" w:right="0" w:firstLine="14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3"/>
      <w:bookmarkEnd w:id="904"/>
      <w:bookmarkEnd w:id="906"/>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7"/>
      <w:bookmarkEnd w:id="908"/>
      <w:bookmarkEnd w:id="910"/>
    </w:p>
    <w:p>
      <w:pPr>
        <w:pStyle w:val="Style29"/>
        <w:keepNext w:val="0"/>
        <w:keepLines w:val="0"/>
        <w:widowControl w:val="0"/>
        <w:shd w:val="clear" w:color="auto" w:fill="auto"/>
        <w:tabs>
          <w:tab w:pos="1730" w:val="left"/>
          <w:tab w:pos="6617" w:val="left"/>
        </w:tabs>
        <w:bidi w:val="0"/>
        <w:spacing w:before="0" w:after="0" w:line="310" w:lineRule="exact"/>
        <w:ind w:left="0" w:right="0" w:firstLine="380"/>
        <w:jc w:val="both"/>
      </w:pPr>
      <w:r>
        <w:rPr>
          <w:color w:val="000000"/>
          <w:spacing w:val="0"/>
          <w:w w:val="100"/>
          <w:position w:val="0"/>
        </w:rPr>
        <w:t>融资租入固定资产的认定依据：实质上转移了与资产所有权有关的全部风险和报酬的租赁。具体认定依据为符合下列一 项或数项条件的：</w:t>
        <w:tab/>
        <w:t>①在租赁期届满时，租赁资产的所有权转移给承租人；</w:t>
        <w:tab/>
        <w:t>②承租人有购买租赁资产的选择权，所</w:t>
      </w:r>
    </w:p>
    <w:p>
      <w:pPr>
        <w:pStyle w:val="Style29"/>
        <w:keepNext w:val="0"/>
        <w:keepLines w:val="0"/>
        <w:widowControl w:val="0"/>
        <w:shd w:val="clear" w:color="auto" w:fill="auto"/>
        <w:tabs>
          <w:tab w:pos="672" w:val="left"/>
          <w:tab w:pos="6617" w:val="left"/>
        </w:tabs>
        <w:bidi w:val="0"/>
        <w:spacing w:before="0" w:after="0" w:line="310" w:lineRule="exact"/>
        <w:ind w:left="0" w:right="0" w:firstLine="0"/>
        <w:jc w:val="both"/>
      </w:pPr>
      <w:r>
        <w:rPr>
          <w:color w:val="000000"/>
          <w:spacing w:val="0"/>
          <w:w w:val="100"/>
          <w:position w:val="0"/>
        </w:rPr>
        <w:t>订立的购买价款预计将远低于行使选择权时租赁资产的公允价值，因而在租赁开始日就可以合理确定承租人会行使这种选择 权；</w:t>
        <w:tab/>
        <w:t>③即使资产的所有权不转移，但租赁期占租赁资产使用寿命的大部分；</w:t>
        <w:tab/>
        <w:t>④承租人在租赁开始日的最低租赁付</w:t>
      </w:r>
    </w:p>
    <w:p>
      <w:pPr>
        <w:pStyle w:val="Style29"/>
        <w:keepNext w:val="0"/>
        <w:keepLines w:val="0"/>
        <w:widowControl w:val="0"/>
        <w:shd w:val="clear" w:color="auto" w:fill="auto"/>
        <w:tabs>
          <w:tab w:pos="4690" w:val="left"/>
        </w:tabs>
        <w:bidi w:val="0"/>
        <w:spacing w:before="0" w:after="0" w:line="310" w:lineRule="exact"/>
        <w:ind w:left="0" w:right="0" w:firstLine="0"/>
        <w:jc w:val="both"/>
      </w:pPr>
      <w:r>
        <w:rPr>
          <w:color w:val="000000"/>
          <w:spacing w:val="0"/>
          <w:w w:val="100"/>
          <w:position w:val="0"/>
        </w:rPr>
        <w:t>款额现值，几乎相当于租赁开始日租赁资产公允价值；</w:t>
        <w:tab/>
        <w:t>⑤租赁资产性质特殊，如不作较大改造只有承租人才能使用。</w:t>
      </w:r>
    </w:p>
    <w:p>
      <w:pPr>
        <w:pStyle w:val="Style29"/>
        <w:keepNext w:val="0"/>
        <w:keepLines w:val="0"/>
        <w:widowControl w:val="0"/>
        <w:shd w:val="clear" w:color="auto" w:fill="auto"/>
        <w:tabs>
          <w:tab w:pos="1730" w:val="left"/>
        </w:tabs>
        <w:bidi w:val="0"/>
        <w:spacing w:before="0" w:after="360" w:line="310" w:lineRule="exact"/>
        <w:ind w:left="0" w:right="0" w:firstLine="0"/>
        <w:jc w:val="both"/>
      </w:pPr>
      <w:r>
        <w:rPr>
          <w:color w:val="000000"/>
          <w:spacing w:val="0"/>
          <w:w w:val="100"/>
          <w:position w:val="0"/>
        </w:rPr>
        <w:t>融资租入固定资产的计价方法:融资租入固定资产初始计价为租赁期开始日租赁资产公允价值与最低租赁付款额现值较低者 作为入账价值。</w:t>
        <w:tab/>
        <w:t>融资租入固定资产后续计价采用与自有固定资产相一致的折旧政策计提折旧及减值准备。</w:t>
      </w:r>
    </w:p>
    <w:p>
      <w:pPr>
        <w:pStyle w:val="Style32"/>
        <w:keepNext/>
        <w:keepLines/>
        <w:widowControl w:val="0"/>
        <w:shd w:val="clear" w:color="auto" w:fill="auto"/>
        <w:bidi w:val="0"/>
        <w:spacing w:before="0" w:after="28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11"/>
      <w:bookmarkEnd w:id="912"/>
      <w:bookmarkEnd w:id="914"/>
    </w:p>
    <w:p>
      <w:pPr>
        <w:pStyle w:val="Style29"/>
        <w:keepNext w:val="0"/>
        <w:keepLines w:val="0"/>
        <w:widowControl w:val="0"/>
        <w:shd w:val="clear" w:color="auto" w:fill="auto"/>
        <w:tabs>
          <w:tab w:pos="820" w:val="left"/>
        </w:tabs>
        <w:bidi w:val="0"/>
        <w:spacing w:before="0" w:after="0" w:line="310" w:lineRule="exact"/>
        <w:ind w:left="0" w:right="0" w:firstLine="38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包括公司基建、更新改造等发生的支出，该项支出包含工程物资；</w:t>
      </w:r>
    </w:p>
    <w:p>
      <w:pPr>
        <w:pStyle w:val="Style29"/>
        <w:keepNext w:val="0"/>
        <w:keepLines w:val="0"/>
        <w:widowControl w:val="0"/>
        <w:shd w:val="clear" w:color="auto" w:fill="auto"/>
        <w:tabs>
          <w:tab w:pos="820" w:val="left"/>
        </w:tabs>
        <w:bidi w:val="0"/>
        <w:spacing w:before="0" w:after="680" w:line="310" w:lineRule="exact"/>
        <w:ind w:left="0" w:right="0" w:firstLine="3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在建工程达到预定可使用状态时转入固定资产。</w:t>
      </w:r>
    </w:p>
    <w:p>
      <w:pPr>
        <w:pStyle w:val="Style32"/>
        <w:keepNext/>
        <w:keepLines/>
        <w:widowControl w:val="0"/>
        <w:shd w:val="clear" w:color="auto" w:fill="auto"/>
        <w:bidi w:val="0"/>
        <w:spacing w:before="0" w:after="2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17"/>
      <w:bookmarkEnd w:id="918"/>
      <w:bookmarkEnd w:id="920"/>
    </w:p>
    <w:p>
      <w:pPr>
        <w:pStyle w:val="Style29"/>
        <w:keepNext w:val="0"/>
        <w:keepLines w:val="0"/>
        <w:widowControl w:val="0"/>
        <w:shd w:val="clear" w:color="auto" w:fill="auto"/>
        <w:tabs>
          <w:tab w:pos="901" w:val="left"/>
        </w:tabs>
        <w:bidi w:val="0"/>
        <w:spacing w:before="0" w:after="0" w:line="312" w:lineRule="exact"/>
        <w:ind w:left="0" w:right="0" w:firstLine="38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公司发生的借款费用，可直接归属于符合资本化条件的资产的购建或者生产的，予以资本化，计入相关资产成本。 符合资本化条件的资产，是指需要经过相当长的时间的（通常是指</w:t>
      </w:r>
      <w:r>
        <w:rPr>
          <w:rFonts w:ascii="Times New Roman" w:eastAsia="Times New Roman" w:hAnsi="Times New Roman" w:cs="Times New Roman"/>
          <w:color w:val="000000"/>
          <w:spacing w:val="0"/>
          <w:w w:val="100"/>
          <w:position w:val="0"/>
        </w:rPr>
        <w:t>1</w:t>
      </w:r>
      <w:r>
        <w:rPr>
          <w:color w:val="000000"/>
          <w:spacing w:val="0"/>
          <w:w w:val="100"/>
          <w:position w:val="0"/>
        </w:rPr>
        <w:t>年及</w:t>
      </w:r>
      <w:r>
        <w:rPr>
          <w:rFonts w:ascii="Times New Roman" w:eastAsia="Times New Roman" w:hAnsi="Times New Roman" w:cs="Times New Roman"/>
          <w:color w:val="000000"/>
          <w:spacing w:val="0"/>
          <w:w w:val="100"/>
          <w:position w:val="0"/>
        </w:rPr>
        <w:t>1</w:t>
      </w:r>
      <w:r>
        <w:rPr>
          <w:color w:val="000000"/>
          <w:spacing w:val="0"/>
          <w:w w:val="100"/>
          <w:position w:val="0"/>
        </w:rPr>
        <w:t>年以上）购建或者生产活动才能达到预定可使用可 销售状态的固定资产、投资性房地产和存货等资产。其他借款费用，应当在发生时根据其发生额确认为费用，计入当期损益。 借款费用包括借款利息、折价或者溢价的摊销、辅助费用以及因外币借款而发生的汇兑差额等。</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借款费用同时满足下列条件的，开始资本化：</w:t>
      </w:r>
    </w:p>
    <w:p>
      <w:pPr>
        <w:pStyle w:val="Style29"/>
        <w:keepNext w:val="0"/>
        <w:keepLines w:val="0"/>
        <w:widowControl w:val="0"/>
        <w:numPr>
          <w:ilvl w:val="0"/>
          <w:numId w:val="51"/>
        </w:numPr>
        <w:shd w:val="clear" w:color="auto" w:fill="auto"/>
        <w:tabs>
          <w:tab w:pos="728" w:val="left"/>
        </w:tabs>
        <w:bidi w:val="0"/>
        <w:spacing w:before="0" w:after="0" w:line="317" w:lineRule="exact"/>
        <w:ind w:left="0" w:right="0" w:firstLine="380"/>
        <w:jc w:val="both"/>
      </w:pPr>
      <w:bookmarkStart w:id="923" w:name="bookmark923"/>
      <w:bookmarkEnd w:id="923"/>
      <w:r>
        <w:rPr>
          <w:color w:val="000000"/>
          <w:spacing w:val="0"/>
          <w:w w:val="100"/>
          <w:position w:val="0"/>
        </w:rPr>
        <w:t>资产支出已发生，资产支出包括为购建或者生产符合资本化条件的资产而支付的现金、转移非现金资产或者承担带息 债务形式发生的支出；</w:t>
      </w:r>
    </w:p>
    <w:p>
      <w:pPr>
        <w:pStyle w:val="Style29"/>
        <w:keepNext w:val="0"/>
        <w:keepLines w:val="0"/>
        <w:widowControl w:val="0"/>
        <w:numPr>
          <w:ilvl w:val="0"/>
          <w:numId w:val="51"/>
        </w:numPr>
        <w:shd w:val="clear" w:color="auto" w:fill="auto"/>
        <w:tabs>
          <w:tab w:pos="753" w:val="left"/>
        </w:tabs>
        <w:bidi w:val="0"/>
        <w:spacing w:before="0" w:after="0" w:line="312" w:lineRule="exact"/>
        <w:ind w:left="0" w:right="0" w:firstLine="380"/>
        <w:jc w:val="both"/>
      </w:pPr>
      <w:bookmarkStart w:id="924" w:name="bookmark924"/>
      <w:bookmarkEnd w:id="924"/>
      <w:r>
        <w:rPr>
          <w:color w:val="000000"/>
          <w:spacing w:val="0"/>
          <w:w w:val="100"/>
          <w:position w:val="0"/>
        </w:rPr>
        <w:t>借款费用已经发生；</w:t>
      </w:r>
    </w:p>
    <w:p>
      <w:pPr>
        <w:pStyle w:val="Style29"/>
        <w:keepNext w:val="0"/>
        <w:keepLines w:val="0"/>
        <w:widowControl w:val="0"/>
        <w:numPr>
          <w:ilvl w:val="0"/>
          <w:numId w:val="51"/>
        </w:numPr>
        <w:shd w:val="clear" w:color="auto" w:fill="auto"/>
        <w:tabs>
          <w:tab w:pos="753" w:val="left"/>
        </w:tabs>
        <w:bidi w:val="0"/>
        <w:spacing w:before="0" w:after="280" w:line="312" w:lineRule="exact"/>
        <w:ind w:left="0" w:right="0" w:firstLine="380"/>
        <w:jc w:val="both"/>
      </w:pPr>
      <w:bookmarkStart w:id="925" w:name="bookmark925"/>
      <w:bookmarkEnd w:id="925"/>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产的符合资本化条件的资产达到预定可使用或可销售状态必要的程序，借款费用的资本化则继续进行。</w:t>
      </w:r>
    </w:p>
    <w:p>
      <w:pPr>
        <w:pStyle w:val="Style29"/>
        <w:keepNext w:val="0"/>
        <w:keepLines w:val="0"/>
        <w:widowControl w:val="0"/>
        <w:shd w:val="clear" w:color="auto" w:fill="auto"/>
        <w:tabs>
          <w:tab w:pos="820" w:val="left"/>
        </w:tabs>
        <w:bidi w:val="0"/>
        <w:spacing w:before="0" w:after="0" w:line="313" w:lineRule="exact"/>
        <w:ind w:left="0" w:right="0" w:firstLine="38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3</w:t>
      </w:r>
      <w:r>
        <w:rPr>
          <w:color w:val="000000"/>
          <w:spacing w:val="0"/>
          <w:w w:val="100"/>
          <w:position w:val="0"/>
        </w:rPr>
        <w:t>）</w:t>
        <w:tab/>
        <w:t>在资本化期间内，每一会计期间的利息（包括折价或溢价的摊销）资本化金额，按照下列规定确定：</w:t>
      </w:r>
    </w:p>
    <w:p>
      <w:pPr>
        <w:pStyle w:val="Style29"/>
        <w:keepNext w:val="0"/>
        <w:keepLines w:val="0"/>
        <w:widowControl w:val="0"/>
        <w:numPr>
          <w:ilvl w:val="0"/>
          <w:numId w:val="53"/>
        </w:numPr>
        <w:shd w:val="clear" w:color="auto" w:fill="auto"/>
        <w:tabs>
          <w:tab w:pos="728" w:val="left"/>
        </w:tabs>
        <w:bidi w:val="0"/>
        <w:spacing w:before="0" w:after="0" w:line="312" w:lineRule="exact"/>
        <w:ind w:left="0" w:right="0" w:firstLine="380"/>
        <w:jc w:val="left"/>
      </w:pPr>
      <w:bookmarkStart w:id="927" w:name="bookmark927"/>
      <w:bookmarkEnd w:id="927"/>
      <w:r>
        <w:rPr>
          <w:color w:val="000000"/>
          <w:spacing w:val="0"/>
          <w:w w:val="100"/>
          <w:position w:val="0"/>
        </w:rPr>
        <w:t>为购建或者生产符合资本化条件的资产而借入专门借款的，以专门借款当期实际发生的利息费用，减去尚未动用的借 款资金存入银行取得的利息收入或进行暂时性投资取得的投资收益后的金额确定。</w:t>
      </w:r>
    </w:p>
    <w:p>
      <w:pPr>
        <w:pStyle w:val="Style29"/>
        <w:keepNext w:val="0"/>
        <w:keepLines w:val="0"/>
        <w:widowControl w:val="0"/>
        <w:numPr>
          <w:ilvl w:val="0"/>
          <w:numId w:val="53"/>
        </w:numPr>
        <w:shd w:val="clear" w:color="auto" w:fill="auto"/>
        <w:tabs>
          <w:tab w:pos="728" w:val="left"/>
        </w:tabs>
        <w:bidi w:val="0"/>
        <w:spacing w:before="0" w:after="0" w:line="312" w:lineRule="exact"/>
        <w:ind w:left="0" w:right="0" w:firstLine="380"/>
        <w:jc w:val="left"/>
      </w:pPr>
      <w:bookmarkStart w:id="928" w:name="bookmark928"/>
      <w:bookmarkEnd w:id="928"/>
      <w:r>
        <w:rPr>
          <w:color w:val="000000"/>
          <w:spacing w:val="0"/>
          <w:w w:val="100"/>
          <w:position w:val="0"/>
        </w:rPr>
        <w:t>为购建或者生产符合资本化条件的资产而占用了一般借款的，根据累计资产支出超过专门借款部分的资产支出加权平 均数乘以所占用的一般借款的资本化率，计算确定一般借款应予资本化的利息金额。资本化率根据一般借款加权平均利率确 定。</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借款存在折价或溢价的，按照实际利率法确定每一会计期间相应摊销的折价或者溢价的金额，调整每期利息金额。</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在资本化期间内，每一会计期间的利息资本化金额，不超过当期相关借款实际发生的利息金额。</w:t>
      </w:r>
    </w:p>
    <w:p>
      <w:pPr>
        <w:pStyle w:val="Style29"/>
        <w:keepNext w:val="0"/>
        <w:keepLines w:val="0"/>
        <w:widowControl w:val="0"/>
        <w:shd w:val="clear" w:color="auto" w:fill="auto"/>
        <w:tabs>
          <w:tab w:pos="901" w:val="left"/>
        </w:tabs>
        <w:bidi w:val="0"/>
        <w:spacing w:before="0" w:after="360" w:line="314" w:lineRule="exact"/>
        <w:ind w:left="0" w:right="0" w:firstLine="38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专门借款发生的辅助费用，在所购建或者生产的符合资本化条件的资产达到预定可使用或者可销售状态之前发生 的，在发生时根据其发生额予以资本化，计入符合资本化条件的资产的成本；在所购建或者生产的符合资本化条件的资产达 到预定可使用或者可销售状态之后发生的，在发生时根据其发生额确认为费用，计入当期损益。一般借款发生的辅助费用， 在发生时根据其发生额确认为费用，计入当期损益。</w:t>
      </w:r>
    </w:p>
    <w:p>
      <w:pPr>
        <w:pStyle w:val="Style32"/>
        <w:keepNext/>
        <w:keepLines/>
        <w:widowControl w:val="0"/>
        <w:shd w:val="clear" w:color="auto" w:fill="auto"/>
        <w:tabs>
          <w:tab w:pos="575"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0"/>
      <w:bookmarkEnd w:id="931"/>
      <w:bookmarkEnd w:id="933"/>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2"/>
        <w:keepNext/>
        <w:keepLines/>
        <w:widowControl w:val="0"/>
        <w:shd w:val="clear" w:color="auto" w:fill="auto"/>
        <w:tabs>
          <w:tab w:pos="575"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4"/>
      <w:bookmarkEnd w:id="935"/>
      <w:bookmarkEnd w:id="937"/>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2"/>
        <w:keepNext/>
        <w:keepLines/>
        <w:widowControl w:val="0"/>
        <w:shd w:val="clear" w:color="auto" w:fill="auto"/>
        <w:tabs>
          <w:tab w:pos="575"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38"/>
      <w:bookmarkEnd w:id="939"/>
      <w:bookmarkEnd w:id="941"/>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2"/>
        <w:keepNext/>
        <w:keepLines/>
        <w:widowControl w:val="0"/>
        <w:shd w:val="clear" w:color="auto" w:fill="auto"/>
        <w:tabs>
          <w:tab w:pos="575" w:val="left"/>
        </w:tabs>
        <w:bidi w:val="0"/>
        <w:spacing w:before="0" w:after="3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42"/>
      <w:bookmarkEnd w:id="943"/>
      <w:bookmarkEnd w:id="945"/>
    </w:p>
    <w:p>
      <w:pPr>
        <w:pStyle w:val="Style32"/>
        <w:keepNext/>
        <w:keepLines/>
        <w:widowControl w:val="0"/>
        <w:shd w:val="clear" w:color="auto" w:fill="auto"/>
        <w:bidi w:val="0"/>
        <w:spacing w:before="0" w:after="280" w:line="240" w:lineRule="auto"/>
        <w:ind w:left="0" w:right="0" w:firstLine="0"/>
        <w:jc w:val="left"/>
      </w:pPr>
      <w:bookmarkStart w:id="942" w:name="bookmark942"/>
      <w:bookmarkStart w:id="943" w:name="bookmark943"/>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2"/>
      <w:bookmarkEnd w:id="943"/>
      <w:bookmarkEnd w:id="947"/>
    </w:p>
    <w:p>
      <w:pPr>
        <w:pStyle w:val="Style29"/>
        <w:keepNext w:val="0"/>
        <w:keepLines w:val="0"/>
        <w:widowControl w:val="0"/>
        <w:numPr>
          <w:ilvl w:val="0"/>
          <w:numId w:val="55"/>
        </w:numPr>
        <w:shd w:val="clear" w:color="auto" w:fill="auto"/>
        <w:tabs>
          <w:tab w:pos="728" w:val="left"/>
        </w:tabs>
        <w:bidi w:val="0"/>
        <w:spacing w:before="0" w:after="0" w:line="312" w:lineRule="exact"/>
        <w:ind w:left="0" w:right="0" w:firstLine="380"/>
        <w:jc w:val="both"/>
      </w:pPr>
      <w:bookmarkStart w:id="948" w:name="bookmark948"/>
      <w:bookmarkEnd w:id="948"/>
      <w:r>
        <w:rPr>
          <w:color w:val="000000"/>
          <w:spacing w:val="0"/>
          <w:w w:val="100"/>
          <w:position w:val="0"/>
        </w:rPr>
        <w:t>无形资产，是指企业拥有或者控制的没有实物形态的可辨认非货币性资产。无形资产按照成本进行初始计量，于取得 无形资产时分析判断其使用寿命。</w:t>
      </w:r>
    </w:p>
    <w:p>
      <w:pPr>
        <w:pStyle w:val="Style29"/>
        <w:keepNext w:val="0"/>
        <w:keepLines w:val="0"/>
        <w:widowControl w:val="0"/>
        <w:numPr>
          <w:ilvl w:val="0"/>
          <w:numId w:val="55"/>
        </w:numPr>
        <w:shd w:val="clear" w:color="auto" w:fill="auto"/>
        <w:tabs>
          <w:tab w:pos="753" w:val="left"/>
        </w:tabs>
        <w:bidi w:val="0"/>
        <w:spacing w:before="0" w:after="120" w:line="313" w:lineRule="exact"/>
        <w:ind w:left="0" w:right="0" w:firstLine="380"/>
        <w:jc w:val="both"/>
      </w:pPr>
      <w:bookmarkStart w:id="949" w:name="bookmark949"/>
      <w:bookmarkEnd w:id="949"/>
      <w:r>
        <w:rPr>
          <w:color w:val="000000"/>
          <w:spacing w:val="0"/>
          <w:w w:val="100"/>
          <w:position w:val="0"/>
        </w:rPr>
        <w:t>公司确定无形资产使用寿命通常考虑的因素：</w:t>
      </w:r>
    </w:p>
    <w:p>
      <w:pPr>
        <w:pStyle w:val="Style29"/>
        <w:keepNext w:val="0"/>
        <w:keepLines w:val="0"/>
        <w:widowControl w:val="0"/>
        <w:shd w:val="clear" w:color="auto" w:fill="auto"/>
        <w:tabs>
          <w:tab w:pos="729" w:val="left"/>
        </w:tabs>
        <w:bidi w:val="0"/>
        <w:spacing w:before="0" w:after="0"/>
        <w:ind w:left="0" w:right="0" w:firstLine="380"/>
        <w:jc w:val="both"/>
      </w:pPr>
      <w:bookmarkStart w:id="950" w:name="bookmark950"/>
      <w:r>
        <w:rPr>
          <w:rFonts w:ascii="Times New Roman" w:eastAsia="Times New Roman" w:hAnsi="Times New Roman" w:cs="Times New Roman"/>
          <w:color w:val="000000"/>
          <w:spacing w:val="0"/>
          <w:w w:val="100"/>
          <w:position w:val="0"/>
        </w:rPr>
        <w:t>1</w:t>
      </w:r>
      <w:bookmarkEnd w:id="950"/>
      <w:r>
        <w:rPr>
          <w:color w:val="000000"/>
          <w:spacing w:val="0"/>
          <w:w w:val="100"/>
          <w:position w:val="0"/>
        </w:rPr>
        <w:t>）</w:t>
        <w:tab/>
        <w:t>运用该资产生产的产品通常的寿命周期、可获得的类似资产使用寿命的信息；</w:t>
      </w:r>
    </w:p>
    <w:p>
      <w:pPr>
        <w:pStyle w:val="Style29"/>
        <w:keepNext w:val="0"/>
        <w:keepLines w:val="0"/>
        <w:widowControl w:val="0"/>
        <w:shd w:val="clear" w:color="auto" w:fill="auto"/>
        <w:tabs>
          <w:tab w:pos="748" w:val="left"/>
        </w:tabs>
        <w:bidi w:val="0"/>
        <w:spacing w:before="0" w:after="0"/>
        <w:ind w:left="0" w:right="0" w:firstLine="380"/>
        <w:jc w:val="both"/>
      </w:pPr>
      <w:bookmarkStart w:id="951" w:name="bookmark951"/>
      <w:r>
        <w:rPr>
          <w:rFonts w:ascii="Times New Roman" w:eastAsia="Times New Roman" w:hAnsi="Times New Roman" w:cs="Times New Roman"/>
          <w:color w:val="000000"/>
          <w:spacing w:val="0"/>
          <w:w w:val="100"/>
          <w:position w:val="0"/>
        </w:rPr>
        <w:t>2</w:t>
      </w:r>
      <w:bookmarkEnd w:id="951"/>
      <w:r>
        <w:rPr>
          <w:color w:val="000000"/>
          <w:spacing w:val="0"/>
          <w:w w:val="100"/>
          <w:position w:val="0"/>
        </w:rPr>
        <w:t>）</w:t>
        <w:tab/>
        <w:t>技术、工艺等方面的现阶段情况及对未来发展趋势的估计；</w:t>
      </w:r>
    </w:p>
    <w:p>
      <w:pPr>
        <w:pStyle w:val="Style29"/>
        <w:keepNext w:val="0"/>
        <w:keepLines w:val="0"/>
        <w:widowControl w:val="0"/>
        <w:shd w:val="clear" w:color="auto" w:fill="auto"/>
        <w:tabs>
          <w:tab w:pos="748" w:val="left"/>
        </w:tabs>
        <w:bidi w:val="0"/>
        <w:spacing w:before="0" w:after="0"/>
        <w:ind w:left="0" w:right="0" w:firstLine="380"/>
        <w:jc w:val="both"/>
      </w:pPr>
      <w:bookmarkStart w:id="952" w:name="bookmark952"/>
      <w:r>
        <w:rPr>
          <w:rFonts w:ascii="Times New Roman" w:eastAsia="Times New Roman" w:hAnsi="Times New Roman" w:cs="Times New Roman"/>
          <w:color w:val="000000"/>
          <w:spacing w:val="0"/>
          <w:w w:val="100"/>
          <w:position w:val="0"/>
        </w:rPr>
        <w:t>3</w:t>
      </w:r>
      <w:bookmarkEnd w:id="952"/>
      <w:r>
        <w:rPr>
          <w:color w:val="000000"/>
          <w:spacing w:val="0"/>
          <w:w w:val="100"/>
          <w:position w:val="0"/>
        </w:rPr>
        <w:t>）</w:t>
        <w:tab/>
        <w:t>以该资产生产的产品或提供服务的市场需求情况；</w:t>
      </w:r>
    </w:p>
    <w:p>
      <w:pPr>
        <w:pStyle w:val="Style29"/>
        <w:keepNext w:val="0"/>
        <w:keepLines w:val="0"/>
        <w:widowControl w:val="0"/>
        <w:shd w:val="clear" w:color="auto" w:fill="auto"/>
        <w:tabs>
          <w:tab w:pos="748" w:val="left"/>
        </w:tabs>
        <w:bidi w:val="0"/>
        <w:spacing w:before="0" w:after="0"/>
        <w:ind w:left="0" w:right="0" w:firstLine="380"/>
        <w:jc w:val="both"/>
      </w:pPr>
      <w:bookmarkStart w:id="953" w:name="bookmark953"/>
      <w:r>
        <w:rPr>
          <w:rFonts w:ascii="Times New Roman" w:eastAsia="Times New Roman" w:hAnsi="Times New Roman" w:cs="Times New Roman"/>
          <w:color w:val="000000"/>
          <w:spacing w:val="0"/>
          <w:w w:val="100"/>
          <w:position w:val="0"/>
        </w:rPr>
        <w:t>4</w:t>
      </w:r>
      <w:bookmarkEnd w:id="953"/>
      <w:r>
        <w:rPr>
          <w:color w:val="000000"/>
          <w:spacing w:val="0"/>
          <w:w w:val="100"/>
          <w:position w:val="0"/>
        </w:rPr>
        <w:t>）</w:t>
        <w:tab/>
        <w:t>在或潜在的竞争者预期采取的行动；</w:t>
      </w:r>
    </w:p>
    <w:p>
      <w:pPr>
        <w:pStyle w:val="Style29"/>
        <w:keepNext w:val="0"/>
        <w:keepLines w:val="0"/>
        <w:widowControl w:val="0"/>
        <w:shd w:val="clear" w:color="auto" w:fill="auto"/>
        <w:tabs>
          <w:tab w:pos="748" w:val="left"/>
        </w:tabs>
        <w:bidi w:val="0"/>
        <w:spacing w:before="0" w:after="0"/>
        <w:ind w:left="0" w:right="0" w:firstLine="380"/>
        <w:jc w:val="both"/>
      </w:pPr>
      <w:bookmarkStart w:id="954" w:name="bookmark954"/>
      <w:r>
        <w:rPr>
          <w:rFonts w:ascii="Times New Roman" w:eastAsia="Times New Roman" w:hAnsi="Times New Roman" w:cs="Times New Roman"/>
          <w:color w:val="000000"/>
          <w:spacing w:val="0"/>
          <w:w w:val="100"/>
          <w:position w:val="0"/>
        </w:rPr>
        <w:t>5</w:t>
      </w:r>
      <w:bookmarkEnd w:id="954"/>
      <w:r>
        <w:rPr>
          <w:color w:val="000000"/>
          <w:spacing w:val="0"/>
          <w:w w:val="100"/>
          <w:position w:val="0"/>
        </w:rPr>
        <w:t>）</w:t>
        <w:tab/>
        <w:t>为维持该资产带来经济利益能力的预期维护支出，以及公司预计支付有关支出的能力；</w:t>
      </w:r>
    </w:p>
    <w:p>
      <w:pPr>
        <w:pStyle w:val="Style29"/>
        <w:keepNext w:val="0"/>
        <w:keepLines w:val="0"/>
        <w:widowControl w:val="0"/>
        <w:shd w:val="clear" w:color="auto" w:fill="auto"/>
        <w:tabs>
          <w:tab w:pos="748" w:val="left"/>
        </w:tabs>
        <w:bidi w:val="0"/>
        <w:spacing w:before="0" w:after="0"/>
        <w:ind w:left="0" w:right="0" w:firstLine="380"/>
        <w:jc w:val="both"/>
      </w:pPr>
      <w:bookmarkStart w:id="955" w:name="bookmark955"/>
      <w:r>
        <w:rPr>
          <w:rFonts w:ascii="Times New Roman" w:eastAsia="Times New Roman" w:hAnsi="Times New Roman" w:cs="Times New Roman"/>
          <w:color w:val="000000"/>
          <w:spacing w:val="0"/>
          <w:w w:val="100"/>
          <w:position w:val="0"/>
        </w:rPr>
        <w:t>6</w:t>
      </w:r>
      <w:bookmarkEnd w:id="955"/>
      <w:r>
        <w:rPr>
          <w:color w:val="000000"/>
          <w:spacing w:val="0"/>
          <w:w w:val="100"/>
          <w:position w:val="0"/>
        </w:rPr>
        <w:t>）</w:t>
        <w:tab/>
        <w:t>对该资产控制期限的相关法律规定或类似限制，如特许使用期、租赁期等；</w:t>
      </w:r>
    </w:p>
    <w:p>
      <w:pPr>
        <w:pStyle w:val="Style29"/>
        <w:keepNext w:val="0"/>
        <w:keepLines w:val="0"/>
        <w:widowControl w:val="0"/>
        <w:shd w:val="clear" w:color="auto" w:fill="auto"/>
        <w:tabs>
          <w:tab w:pos="748" w:val="left"/>
        </w:tabs>
        <w:bidi w:val="0"/>
        <w:spacing w:before="0" w:after="0"/>
        <w:ind w:left="0" w:right="0" w:firstLine="380"/>
        <w:jc w:val="both"/>
      </w:pPr>
      <w:bookmarkStart w:id="956" w:name="bookmark956"/>
      <w:r>
        <w:rPr>
          <w:rFonts w:ascii="Times New Roman" w:eastAsia="Times New Roman" w:hAnsi="Times New Roman" w:cs="Times New Roman"/>
          <w:color w:val="000000"/>
          <w:spacing w:val="0"/>
          <w:w w:val="100"/>
          <w:position w:val="0"/>
        </w:rPr>
        <w:t>7</w:t>
      </w:r>
      <w:bookmarkEnd w:id="956"/>
      <w:r>
        <w:rPr>
          <w:color w:val="000000"/>
          <w:spacing w:val="0"/>
          <w:w w:val="100"/>
          <w:position w:val="0"/>
        </w:rPr>
        <w:t>）</w:t>
        <w:tab/>
        <w:t>与企业持有其他资产使用寿命的关联性等。</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无法预见无形资产为公司带来经济利益期限的，视为使用寿命不确定的无形资产。</w:t>
      </w:r>
    </w:p>
    <w:p>
      <w:pPr>
        <w:pStyle w:val="Style29"/>
        <w:keepNext w:val="0"/>
        <w:keepLines w:val="0"/>
        <w:widowControl w:val="0"/>
        <w:numPr>
          <w:ilvl w:val="0"/>
          <w:numId w:val="55"/>
        </w:numPr>
        <w:shd w:val="clear" w:color="auto" w:fill="auto"/>
        <w:bidi w:val="0"/>
        <w:spacing w:before="0" w:after="140" w:line="317" w:lineRule="exact"/>
        <w:ind w:left="0" w:right="0" w:firstLine="380"/>
        <w:jc w:val="both"/>
      </w:pPr>
      <w:bookmarkStart w:id="957" w:name="bookmark957"/>
      <w:bookmarkEnd w:id="957"/>
      <w:r>
        <w:rPr>
          <w:color w:val="000000"/>
          <w:spacing w:val="0"/>
          <w:w w:val="100"/>
          <w:position w:val="0"/>
        </w:rPr>
        <w:t xml:space="preserve">对于使用寿命有限的无形资产，在使用寿命内按直线法摊销。公司于每年年度终了，对使用寿命有限的无形资产的使 用寿命及摊销方法进行复核。无形资产的使用寿命及摊销方法与以前估计不同的，将改变摊销期限和摊销方法。使用寿命不 </w:t>
      </w:r>
      <w:r>
        <w:rPr>
          <w:color w:val="000000"/>
          <w:spacing w:val="0"/>
          <w:w w:val="100"/>
          <w:position w:val="0"/>
        </w:rPr>
        <w:t>确定的无形资产不进行摊销。</w:t>
      </w:r>
    </w:p>
    <w:p>
      <w:pPr>
        <w:pStyle w:val="Style29"/>
        <w:keepNext w:val="0"/>
        <w:keepLines w:val="0"/>
        <w:widowControl w:val="0"/>
        <w:numPr>
          <w:ilvl w:val="0"/>
          <w:numId w:val="55"/>
        </w:numPr>
        <w:shd w:val="clear" w:color="auto" w:fill="auto"/>
        <w:bidi w:val="0"/>
        <w:spacing w:before="0" w:after="80" w:line="240" w:lineRule="auto"/>
        <w:ind w:left="0" w:right="0" w:firstLine="380"/>
        <w:jc w:val="both"/>
      </w:pPr>
      <w:bookmarkStart w:id="958" w:name="bookmark958"/>
      <w:bookmarkEnd w:id="958"/>
      <w:r>
        <w:rPr>
          <w:color w:val="000000"/>
          <w:spacing w:val="0"/>
          <w:w w:val="100"/>
          <w:position w:val="0"/>
        </w:rPr>
        <w:t>使用寿命有限的无形资产项目的使用寿命及摊销方法如下:</w:t>
      </w:r>
    </w:p>
    <w:tbl>
      <w:tblPr>
        <w:tblOverlap w:val="never"/>
        <w:jc w:val="center"/>
        <w:tblLayout w:type="fixed"/>
      </w:tblPr>
      <w:tblGrid>
        <w:gridCol w:w="2558"/>
        <w:gridCol w:w="2482"/>
        <w:gridCol w:w="4214"/>
      </w:tblGrid>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bl>
    <w:p>
      <w:pPr>
        <w:widowControl w:val="0"/>
        <w:spacing w:after="1019" w:line="1" w:lineRule="exact"/>
      </w:pPr>
    </w:p>
    <w:p>
      <w:pPr>
        <w:pStyle w:val="Style32"/>
        <w:keepNext/>
        <w:keepLines/>
        <w:widowControl w:val="0"/>
        <w:shd w:val="clear" w:color="auto" w:fill="auto"/>
        <w:bidi w:val="0"/>
        <w:spacing w:before="0" w:after="2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9"/>
      <w:bookmarkEnd w:id="960"/>
      <w:bookmarkEnd w:id="962"/>
    </w:p>
    <w:p>
      <w:pPr>
        <w:pStyle w:val="Style29"/>
        <w:keepNext w:val="0"/>
        <w:keepLines w:val="0"/>
        <w:widowControl w:val="0"/>
        <w:numPr>
          <w:ilvl w:val="0"/>
          <w:numId w:val="57"/>
        </w:numPr>
        <w:shd w:val="clear" w:color="auto" w:fill="auto"/>
        <w:tabs>
          <w:tab w:pos="753" w:val="left"/>
        </w:tabs>
        <w:bidi w:val="0"/>
        <w:spacing w:before="0" w:after="0" w:line="314" w:lineRule="exact"/>
        <w:ind w:left="0" w:right="0" w:firstLine="380"/>
        <w:jc w:val="both"/>
      </w:pPr>
      <w:bookmarkStart w:id="963" w:name="bookmark963"/>
      <w:bookmarkEnd w:id="963"/>
      <w:r>
        <w:rPr>
          <w:color w:val="000000"/>
          <w:spacing w:val="0"/>
          <w:w w:val="100"/>
          <w:position w:val="0"/>
        </w:rPr>
        <w:t>内部研究开发项目的支出，包括研究阶段支出与开发阶段支出，其中：</w:t>
      </w:r>
    </w:p>
    <w:p>
      <w:pPr>
        <w:pStyle w:val="Style29"/>
        <w:keepNext w:val="0"/>
        <w:keepLines w:val="0"/>
        <w:widowControl w:val="0"/>
        <w:shd w:val="clear" w:color="auto" w:fill="auto"/>
        <w:tabs>
          <w:tab w:pos="729" w:val="left"/>
        </w:tabs>
        <w:bidi w:val="0"/>
        <w:spacing w:before="0" w:after="0" w:line="314" w:lineRule="exact"/>
        <w:ind w:left="0" w:right="0" w:firstLine="380"/>
        <w:jc w:val="both"/>
      </w:pPr>
      <w:bookmarkStart w:id="964" w:name="bookmark964"/>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研究是指为获取并理解新的科学或技术知识而进行的独创性的有计划调查。</w:t>
      </w:r>
    </w:p>
    <w:p>
      <w:pPr>
        <w:pStyle w:val="Style29"/>
        <w:keepNext w:val="0"/>
        <w:keepLines w:val="0"/>
        <w:widowControl w:val="0"/>
        <w:shd w:val="clear" w:color="auto" w:fill="auto"/>
        <w:tabs>
          <w:tab w:pos="714" w:val="left"/>
        </w:tabs>
        <w:bidi w:val="0"/>
        <w:spacing w:before="0" w:after="0" w:line="322" w:lineRule="exact"/>
        <w:ind w:left="0" w:right="0" w:firstLine="380"/>
        <w:jc w:val="both"/>
      </w:pPr>
      <w:bookmarkStart w:id="965" w:name="bookmark965"/>
      <w:r>
        <w:rPr>
          <w:rFonts w:ascii="Times New Roman" w:eastAsia="Times New Roman" w:hAnsi="Times New Roman" w:cs="Times New Roman"/>
          <w:color w:val="000000"/>
          <w:spacing w:val="0"/>
          <w:w w:val="100"/>
          <w:position w:val="0"/>
        </w:rPr>
        <w:t>2</w:t>
      </w:r>
      <w:bookmarkEnd w:id="965"/>
      <w:r>
        <w:rPr>
          <w:color w:val="000000"/>
          <w:spacing w:val="0"/>
          <w:w w:val="100"/>
          <w:position w:val="0"/>
        </w:rPr>
        <w:t>）</w:t>
        <w:tab/>
        <w:t>开发是指在进行商业性生产或使用前，将研究成果或其他知识应用于某项计划或设计，以生产出新的或具有实质性 改进的材料、装置、产品等。</w:t>
      </w:r>
    </w:p>
    <w:p>
      <w:pPr>
        <w:pStyle w:val="Style29"/>
        <w:keepNext w:val="0"/>
        <w:keepLines w:val="0"/>
        <w:widowControl w:val="0"/>
        <w:numPr>
          <w:ilvl w:val="0"/>
          <w:numId w:val="57"/>
        </w:numPr>
        <w:shd w:val="clear" w:color="auto" w:fill="auto"/>
        <w:tabs>
          <w:tab w:pos="728" w:val="left"/>
        </w:tabs>
        <w:bidi w:val="0"/>
        <w:spacing w:before="0" w:after="0" w:line="312" w:lineRule="exact"/>
        <w:ind w:left="0" w:right="0" w:firstLine="380"/>
        <w:jc w:val="both"/>
      </w:pPr>
      <w:bookmarkStart w:id="966" w:name="bookmark966"/>
      <w:bookmarkEnd w:id="966"/>
      <w:r>
        <w:rPr>
          <w:color w:val="000000"/>
          <w:spacing w:val="0"/>
          <w:w w:val="100"/>
          <w:position w:val="0"/>
        </w:rPr>
        <w:t>内部研究开发项目在研究阶段的支出于发生时计入当期损益；开发阶段的支出，同时满足下列条件的，确认为无形资 产：</w:t>
      </w:r>
    </w:p>
    <w:p>
      <w:pPr>
        <w:pStyle w:val="Style29"/>
        <w:keepNext w:val="0"/>
        <w:keepLines w:val="0"/>
        <w:widowControl w:val="0"/>
        <w:shd w:val="clear" w:color="auto" w:fill="auto"/>
        <w:tabs>
          <w:tab w:pos="729" w:val="left"/>
        </w:tabs>
        <w:bidi w:val="0"/>
        <w:spacing w:before="0" w:after="0" w:line="314" w:lineRule="exact"/>
        <w:ind w:left="0" w:right="0" w:firstLine="380"/>
        <w:jc w:val="both"/>
      </w:pPr>
      <w:bookmarkStart w:id="967" w:name="bookmark967"/>
      <w:r>
        <w:rPr>
          <w:rFonts w:ascii="Times New Roman" w:eastAsia="Times New Roman" w:hAnsi="Times New Roman" w:cs="Times New Roman"/>
          <w:color w:val="000000"/>
          <w:spacing w:val="0"/>
          <w:w w:val="100"/>
          <w:position w:val="0"/>
        </w:rPr>
        <w:t>1</w:t>
      </w:r>
      <w:bookmarkEnd w:id="967"/>
      <w:r>
        <w:rPr>
          <w:color w:val="000000"/>
          <w:spacing w:val="0"/>
          <w:w w:val="100"/>
          <w:position w:val="0"/>
        </w:rPr>
        <w:t>）</w:t>
        <w:tab/>
        <w:t>完成该无形资产以使其能够使用或出售在技术上具有可行性；</w:t>
      </w:r>
    </w:p>
    <w:p>
      <w:pPr>
        <w:pStyle w:val="Style29"/>
        <w:keepNext w:val="0"/>
        <w:keepLines w:val="0"/>
        <w:widowControl w:val="0"/>
        <w:shd w:val="clear" w:color="auto" w:fill="auto"/>
        <w:tabs>
          <w:tab w:pos="748" w:val="left"/>
        </w:tabs>
        <w:bidi w:val="0"/>
        <w:spacing w:before="0" w:after="0" w:line="314" w:lineRule="exact"/>
        <w:ind w:left="0" w:right="0" w:firstLine="380"/>
        <w:jc w:val="both"/>
      </w:pPr>
      <w:bookmarkStart w:id="968" w:name="bookmark968"/>
      <w:r>
        <w:rPr>
          <w:rFonts w:ascii="Times New Roman" w:eastAsia="Times New Roman" w:hAnsi="Times New Roman" w:cs="Times New Roman"/>
          <w:color w:val="000000"/>
          <w:spacing w:val="0"/>
          <w:w w:val="100"/>
          <w:position w:val="0"/>
        </w:rPr>
        <w:t>2</w:t>
      </w:r>
      <w:bookmarkEnd w:id="968"/>
      <w:r>
        <w:rPr>
          <w:color w:val="000000"/>
          <w:spacing w:val="0"/>
          <w:w w:val="100"/>
          <w:position w:val="0"/>
        </w:rPr>
        <w:t>）</w:t>
        <w:tab/>
        <w:t>具有完成该无形资产并使用或出售的意图；</w:t>
      </w:r>
    </w:p>
    <w:p>
      <w:pPr>
        <w:pStyle w:val="Style29"/>
        <w:keepNext w:val="0"/>
        <w:keepLines w:val="0"/>
        <w:widowControl w:val="0"/>
        <w:shd w:val="clear" w:color="auto" w:fill="auto"/>
        <w:tabs>
          <w:tab w:pos="723" w:val="left"/>
        </w:tabs>
        <w:bidi w:val="0"/>
        <w:spacing w:before="0" w:after="0" w:line="322" w:lineRule="exact"/>
        <w:ind w:left="0" w:right="0" w:firstLine="380"/>
        <w:jc w:val="both"/>
      </w:pPr>
      <w:bookmarkStart w:id="969" w:name="bookmark969"/>
      <w:r>
        <w:rPr>
          <w:rFonts w:ascii="Times New Roman" w:eastAsia="Times New Roman" w:hAnsi="Times New Roman" w:cs="Times New Roman"/>
          <w:color w:val="000000"/>
          <w:spacing w:val="0"/>
          <w:w w:val="100"/>
          <w:position w:val="0"/>
        </w:rPr>
        <w:t>3</w:t>
      </w:r>
      <w:bookmarkEnd w:id="969"/>
      <w:r>
        <w:rPr>
          <w:color w:val="000000"/>
          <w:spacing w:val="0"/>
          <w:w w:val="100"/>
          <w:position w:val="0"/>
        </w:rPr>
        <w:t>）</w:t>
        <w:tab/>
        <w:t>无形资产产生经济利益的方式，包括能够证明运用该无形资产生产的产品存在市场或无形资产自身存在市场，无形 资产将在内部使用的，应当证明其有用性；</w:t>
      </w:r>
    </w:p>
    <w:p>
      <w:pPr>
        <w:pStyle w:val="Style29"/>
        <w:keepNext w:val="0"/>
        <w:keepLines w:val="0"/>
        <w:widowControl w:val="0"/>
        <w:shd w:val="clear" w:color="auto" w:fill="auto"/>
        <w:tabs>
          <w:tab w:pos="748" w:val="left"/>
        </w:tabs>
        <w:bidi w:val="0"/>
        <w:spacing w:before="0" w:after="0" w:line="314" w:lineRule="exact"/>
        <w:ind w:left="0" w:right="0" w:firstLine="380"/>
        <w:jc w:val="both"/>
      </w:pPr>
      <w:bookmarkStart w:id="970" w:name="bookmark970"/>
      <w:r>
        <w:rPr>
          <w:rFonts w:ascii="Times New Roman" w:eastAsia="Times New Roman" w:hAnsi="Times New Roman" w:cs="Times New Roman"/>
          <w:color w:val="000000"/>
          <w:spacing w:val="0"/>
          <w:w w:val="100"/>
          <w:position w:val="0"/>
        </w:rPr>
        <w:t>4</w:t>
      </w:r>
      <w:bookmarkEnd w:id="970"/>
      <w:r>
        <w:rPr>
          <w:color w:val="000000"/>
          <w:spacing w:val="0"/>
          <w:w w:val="100"/>
          <w:position w:val="0"/>
        </w:rPr>
        <w:t>）</w:t>
        <w:tab/>
        <w:t>有足够的技术、财务资源和其他资源支持，以完成该无形资产的开发，并有能力使用或出售该无形资产；</w:t>
      </w:r>
    </w:p>
    <w:p>
      <w:pPr>
        <w:pStyle w:val="Style29"/>
        <w:keepNext w:val="0"/>
        <w:keepLines w:val="0"/>
        <w:widowControl w:val="0"/>
        <w:shd w:val="clear" w:color="auto" w:fill="auto"/>
        <w:tabs>
          <w:tab w:pos="748" w:val="left"/>
        </w:tabs>
        <w:bidi w:val="0"/>
        <w:spacing w:before="0" w:after="700" w:line="314" w:lineRule="exact"/>
        <w:ind w:left="0" w:right="0" w:firstLine="380"/>
        <w:jc w:val="both"/>
      </w:pPr>
      <w:bookmarkStart w:id="971" w:name="bookmark971"/>
      <w:r>
        <w:rPr>
          <w:rFonts w:ascii="Times New Roman" w:eastAsia="Times New Roman" w:hAnsi="Times New Roman" w:cs="Times New Roman"/>
          <w:color w:val="000000"/>
          <w:spacing w:val="0"/>
          <w:w w:val="100"/>
          <w:position w:val="0"/>
        </w:rPr>
        <w:t>5</w:t>
      </w:r>
      <w:bookmarkEnd w:id="971"/>
      <w:r>
        <w:rPr>
          <w:color w:val="000000"/>
          <w:spacing w:val="0"/>
          <w:w w:val="100"/>
          <w:position w:val="0"/>
        </w:rPr>
        <w:t>）</w:t>
        <w:tab/>
        <w:t>归属于该无形资产开发阶段的支出能够可靠地计量。</w:t>
      </w:r>
    </w:p>
    <w:p>
      <w:pPr>
        <w:pStyle w:val="Style32"/>
        <w:keepNext/>
        <w:keepLines/>
        <w:widowControl w:val="0"/>
        <w:shd w:val="clear" w:color="auto" w:fill="auto"/>
        <w:bidi w:val="0"/>
        <w:spacing w:before="0" w:after="26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72"/>
      <w:bookmarkEnd w:id="973"/>
      <w:bookmarkEnd w:id="975"/>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业的长期股权投资等非流动非金融资产，公司于资产负债表日判断是否存在减值迹象。如存在减值迹象的，则估计其可收回 金额，进行减值测试。商誉、使用寿命不确定的无形资产和尚未达到可使用状态的无形资产，无论是否存在减值迹象，每年 均进行减值测试。</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w:t>
      </w:r>
      <w:r>
        <w:rPr>
          <w:color w:val="000000"/>
          <w:spacing w:val="0"/>
          <w:w w:val="100"/>
          <w:position w:val="0"/>
        </w:rPr>
        <w:t>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益的资产组或者资产组组合，且不大于公司确定的报告分部。</w:t>
      </w:r>
    </w:p>
    <w:p>
      <w:pPr>
        <w:pStyle w:val="Style29"/>
        <w:keepNext w:val="0"/>
        <w:keepLines w:val="0"/>
        <w:widowControl w:val="0"/>
        <w:shd w:val="clear" w:color="auto" w:fill="auto"/>
        <w:bidi w:val="0"/>
        <w:spacing w:before="0" w:line="311" w:lineRule="exact"/>
        <w:ind w:left="0" w:right="0" w:firstLine="380"/>
        <w:jc w:val="both"/>
      </w:pPr>
      <w:r>
        <w:rPr>
          <w:color w:val="000000"/>
          <w:spacing w:val="0"/>
          <w:w w:val="100"/>
          <w:position w:val="0"/>
        </w:rPr>
        <w:t>对包含商誉的相关资产组或者资产组组合进行减值测试时，如与商誉相关的资产组或者资产组组合存在减值迹象的，首 先对不包含商誉的资产组或者资产组组合进行减值测试，计算可收回金额，确认相应的减值损失。然后对包含商誉的资产组 或者资产组组合进行减值测试，比较其账面价值与可收回金额，如可收回金额低于账面价值的，减值损失金额首先抵减分摊 至资产组或资产组组合中商誉的账面价值，再根据资产组或资产组组合中除商誉之外的其他各项资产的账面价值所占比重， 按比例抵减其他各项资产的账面价值，但抵减后的各资产的账面价值不得低于该资产的公允价值减去处置费用后的净额（如 可确定的）和该资产预计未来现金流量的现值（如可确定的）两者之间较高者，同时也不低于零。</w:t>
      </w:r>
    </w:p>
    <w:p>
      <w:pPr>
        <w:pStyle w:val="Style29"/>
        <w:keepNext w:val="0"/>
        <w:keepLines w:val="0"/>
        <w:widowControl w:val="0"/>
        <w:shd w:val="clear" w:color="auto" w:fill="auto"/>
        <w:bidi w:val="0"/>
        <w:spacing w:before="0" w:after="700" w:line="311" w:lineRule="exact"/>
        <w:ind w:left="0" w:right="0" w:firstLine="38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76"/>
      <w:bookmarkEnd w:id="977"/>
      <w:bookmarkEnd w:id="979"/>
    </w:p>
    <w:p>
      <w:pPr>
        <w:pStyle w:val="Style29"/>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长期待摊费用是公司已经发生但应由本期和以后各期负担的分摊期限在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年）的各项费用。本公司的长期 待摊费用主要包括装修费、预付房租及服务费、产品推广费等。长期待摊费用在预计受益期内按直线法摊销，如果长期待摊 费用项目不能使以后会计期间受益的，则将其尚未摊销的摊余价值全部转入当期损益。</w:t>
      </w:r>
    </w:p>
    <w:p>
      <w:pPr>
        <w:pStyle w:val="Style32"/>
        <w:keepNext/>
        <w:keepLines/>
        <w:widowControl w:val="0"/>
        <w:shd w:val="clear" w:color="auto" w:fill="auto"/>
        <w:bidi w:val="0"/>
        <w:spacing w:before="0" w:after="28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80"/>
      <w:bookmarkEnd w:id="981"/>
      <w:bookmarkEnd w:id="983"/>
    </w:p>
    <w:p>
      <w:pPr>
        <w:pStyle w:val="Style29"/>
        <w:keepNext w:val="0"/>
        <w:keepLines w:val="0"/>
        <w:widowControl w:val="0"/>
        <w:shd w:val="clear" w:color="auto" w:fill="auto"/>
        <w:bidi w:val="0"/>
        <w:spacing w:before="0" w:line="314" w:lineRule="exact"/>
        <w:ind w:left="0" w:right="0" w:firstLine="380"/>
        <w:jc w:val="left"/>
      </w:pPr>
      <w:r>
        <w:rPr>
          <w:color w:val="000000"/>
          <w:spacing w:val="0"/>
          <w:w w:val="100"/>
          <w:position w:val="0"/>
        </w:rPr>
        <w:t>合同负债会计政策适用于</w:t>
      </w:r>
      <w:r>
        <w:rPr>
          <w:rFonts w:ascii="Times New Roman" w:eastAsia="Times New Roman" w:hAnsi="Times New Roman" w:cs="Times New Roman"/>
          <w:color w:val="000000"/>
          <w:spacing w:val="0"/>
          <w:w w:val="100"/>
          <w:position w:val="0"/>
        </w:rPr>
        <w:t>2020</w:t>
      </w:r>
      <w:r>
        <w:rPr>
          <w:color w:val="000000"/>
          <w:spacing w:val="0"/>
          <w:w w:val="100"/>
          <w:position w:val="0"/>
        </w:rPr>
        <w:t>年度及以后。</w:t>
      </w:r>
    </w:p>
    <w:p>
      <w:pPr>
        <w:pStyle w:val="Style29"/>
        <w:keepNext w:val="0"/>
        <w:keepLines w:val="0"/>
        <w:widowControl w:val="0"/>
        <w:shd w:val="clear" w:color="auto" w:fill="auto"/>
        <w:bidi w:val="0"/>
        <w:spacing w:before="0" w:after="1060" w:line="314" w:lineRule="exact"/>
        <w:ind w:left="0" w:right="0" w:firstLine="38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32"/>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84"/>
      <w:bookmarkEnd w:id="985"/>
      <w:bookmarkEnd w:id="987"/>
    </w:p>
    <w:p>
      <w:pPr>
        <w:pStyle w:val="Style32"/>
        <w:keepNext/>
        <w:keepLines/>
        <w:widowControl w:val="0"/>
        <w:shd w:val="clear" w:color="auto" w:fill="auto"/>
        <w:bidi w:val="0"/>
        <w:spacing w:before="0" w:after="280" w:line="240" w:lineRule="auto"/>
        <w:ind w:left="0" w:right="0" w:firstLine="0"/>
        <w:jc w:val="left"/>
      </w:pPr>
      <w:bookmarkStart w:id="984" w:name="bookmark984"/>
      <w:bookmarkStart w:id="985" w:name="bookmark985"/>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84"/>
      <w:bookmarkEnd w:id="985"/>
      <w:bookmarkEnd w:id="989"/>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短期薪酬是指公司在职工提供相关服务的年度报告期间结束后十二个月内需要全部予以支付的职工薪酬。</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短期薪酬包括职工工资、奖金、津贴和补贴，职工福利费、医疗保险费、工伤保险费和生育保险费等社会保险费，住房 公积金、工会经费和职工教育经费，短期带薪缺勤、短期利润分享计划，非货币性福利以及其他短期薪酬。</w:t>
      </w:r>
    </w:p>
    <w:p>
      <w:pPr>
        <w:pStyle w:val="Style29"/>
        <w:keepNext w:val="0"/>
        <w:keepLines w:val="0"/>
        <w:widowControl w:val="0"/>
        <w:shd w:val="clear" w:color="auto" w:fill="auto"/>
        <w:bidi w:val="0"/>
        <w:spacing w:before="0" w:after="280" w:line="307" w:lineRule="exact"/>
        <w:ind w:left="0" w:right="0" w:firstLine="380"/>
        <w:jc w:val="both"/>
      </w:pPr>
      <w:r>
        <w:rPr>
          <w:color w:val="000000"/>
          <w:spacing w:val="0"/>
          <w:w w:val="100"/>
          <w:position w:val="0"/>
        </w:rPr>
        <w:t>短期薪酬在职工为公司提供服务的会计期间，将实际发生的短期薪酬确认为负债，并计入当期损益或相关资产成本。</w:t>
      </w:r>
    </w:p>
    <w:p>
      <w:pPr>
        <w:pStyle w:val="Style32"/>
        <w:keepNext/>
        <w:keepLines/>
        <w:widowControl w:val="0"/>
        <w:shd w:val="clear" w:color="auto" w:fill="auto"/>
        <w:tabs>
          <w:tab w:pos="551"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0"/>
      <w:bookmarkEnd w:id="991"/>
      <w:bookmarkEnd w:id="993"/>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离职后福利是指公司为获得员工提供的服务而在职工退休或与公司解除劳动关系后，提供的各种形式的报酬和福利，短 期薪酬和辞退福利除外。</w:t>
      </w:r>
    </w:p>
    <w:p>
      <w:pPr>
        <w:pStyle w:val="Style29"/>
        <w:keepNext w:val="0"/>
        <w:keepLines w:val="0"/>
        <w:widowControl w:val="0"/>
        <w:shd w:val="clear" w:color="auto" w:fill="auto"/>
        <w:bidi w:val="0"/>
        <w:spacing w:before="0" w:line="317" w:lineRule="exact"/>
        <w:ind w:left="0" w:right="0" w:firstLine="380"/>
        <w:jc w:val="left"/>
      </w:pPr>
      <w:r>
        <w:rPr>
          <w:color w:val="000000"/>
          <w:spacing w:val="0"/>
          <w:w w:val="100"/>
          <w:position w:val="0"/>
        </w:rPr>
        <w:t>离职后福利计划包括设定提存计划和设定受益计划。其中，设定提存计划，是指向独立的基金缴存固定费用后，公司不 再承担进一步支付义务的离职后福利计划；设定受益计划，是指除设定提存计划以外的离职后福利计划。</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设定提存计划包括基本养老保险、失业保险等。在职工提供服务的会计期间，根据设定提存计划计算的应缴存金额确认 为负债，并计入当期损益或相关资产成本。</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于报告期末，将设定受益计划产生的职工薪酬成本确认为下列组成部分：</w:t>
      </w:r>
    </w:p>
    <w:p>
      <w:pPr>
        <w:pStyle w:val="Style29"/>
        <w:keepNext w:val="0"/>
        <w:keepLines w:val="0"/>
        <w:widowControl w:val="0"/>
        <w:numPr>
          <w:ilvl w:val="0"/>
          <w:numId w:val="59"/>
        </w:numPr>
        <w:shd w:val="clear" w:color="auto" w:fill="auto"/>
        <w:tabs>
          <w:tab w:pos="753" w:val="left"/>
        </w:tabs>
        <w:bidi w:val="0"/>
        <w:spacing w:before="0" w:line="312" w:lineRule="exact"/>
        <w:ind w:left="0" w:right="0" w:firstLine="380"/>
        <w:jc w:val="left"/>
      </w:pPr>
      <w:bookmarkStart w:id="994" w:name="bookmark994"/>
      <w:bookmarkEnd w:id="994"/>
      <w:r>
        <w:rPr>
          <w:color w:val="000000"/>
          <w:spacing w:val="0"/>
          <w:w w:val="100"/>
          <w:position w:val="0"/>
        </w:rPr>
        <w:t>服务成本，包括当期服务成本、过去服务成本和结算利得或损失；</w:t>
      </w:r>
    </w:p>
    <w:p>
      <w:pPr>
        <w:pStyle w:val="Style29"/>
        <w:keepNext w:val="0"/>
        <w:keepLines w:val="0"/>
        <w:widowControl w:val="0"/>
        <w:numPr>
          <w:ilvl w:val="0"/>
          <w:numId w:val="59"/>
        </w:numPr>
        <w:shd w:val="clear" w:color="auto" w:fill="auto"/>
        <w:tabs>
          <w:tab w:pos="723" w:val="left"/>
        </w:tabs>
        <w:bidi w:val="0"/>
        <w:spacing w:before="0" w:line="312" w:lineRule="exact"/>
        <w:ind w:left="0" w:right="0" w:firstLine="380"/>
        <w:jc w:val="left"/>
      </w:pPr>
      <w:bookmarkStart w:id="995" w:name="bookmark995"/>
      <w:bookmarkEnd w:id="995"/>
      <w:r>
        <w:rPr>
          <w:color w:val="000000"/>
          <w:spacing w:val="0"/>
          <w:w w:val="100"/>
          <w:position w:val="0"/>
        </w:rPr>
        <w:t>设定受益计划净负债或净资产的利息净额，包括计划资产的利息收益、设定受益计划义务的利息费用以及资产上限影 响的利息；</w:t>
      </w:r>
    </w:p>
    <w:p>
      <w:pPr>
        <w:pStyle w:val="Style29"/>
        <w:keepNext w:val="0"/>
        <w:keepLines w:val="0"/>
        <w:widowControl w:val="0"/>
        <w:numPr>
          <w:ilvl w:val="0"/>
          <w:numId w:val="59"/>
        </w:numPr>
        <w:shd w:val="clear" w:color="auto" w:fill="auto"/>
        <w:tabs>
          <w:tab w:pos="753" w:val="left"/>
        </w:tabs>
        <w:bidi w:val="0"/>
        <w:spacing w:before="0" w:line="312" w:lineRule="exact"/>
        <w:ind w:left="0" w:right="0" w:firstLine="380"/>
        <w:jc w:val="left"/>
      </w:pPr>
      <w:bookmarkStart w:id="996" w:name="bookmark996"/>
      <w:bookmarkEnd w:id="996"/>
      <w:r>
        <w:rPr>
          <w:color w:val="000000"/>
          <w:spacing w:val="0"/>
          <w:w w:val="100"/>
          <w:position w:val="0"/>
        </w:rPr>
        <w:t>重新计量设定受益计划净负债或净资产所产生的变动。</w:t>
      </w:r>
    </w:p>
    <w:p>
      <w:pPr>
        <w:pStyle w:val="Style29"/>
        <w:keepNext w:val="0"/>
        <w:keepLines w:val="0"/>
        <w:widowControl w:val="0"/>
        <w:shd w:val="clear" w:color="auto" w:fill="auto"/>
        <w:bidi w:val="0"/>
        <w:spacing w:before="0" w:line="307" w:lineRule="exact"/>
        <w:ind w:left="0" w:right="0" w:firstLine="380"/>
        <w:jc w:val="left"/>
      </w:pPr>
      <w:r>
        <w:rPr>
          <w:color w:val="000000"/>
          <w:spacing w:val="0"/>
          <w:w w:val="100"/>
          <w:position w:val="0"/>
        </w:rPr>
        <w:t>除非其他会计准则要求或允许职工福利成本计入资产成本，上述第①项和第②项应计入当期损益；第③项应计入其他综 合收益，并且在后续会计期间不允许转回至损益，但可以在权益范围内转移这些在其他综合收益中确认的金额。</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在设定受益计划下，在下列日期孰早日将过去服务成本确认为当期费用：</w:t>
      </w:r>
    </w:p>
    <w:p>
      <w:pPr>
        <w:pStyle w:val="Style29"/>
        <w:keepNext w:val="0"/>
        <w:keepLines w:val="0"/>
        <w:widowControl w:val="0"/>
        <w:shd w:val="clear" w:color="auto" w:fill="auto"/>
        <w:tabs>
          <w:tab w:pos="729" w:val="left"/>
        </w:tabs>
        <w:bidi w:val="0"/>
        <w:spacing w:before="0" w:line="312" w:lineRule="exact"/>
        <w:ind w:left="0" w:right="0" w:firstLine="380"/>
        <w:jc w:val="left"/>
      </w:pPr>
      <w:bookmarkStart w:id="997" w:name="bookmark997"/>
      <w:r>
        <w:rPr>
          <w:rFonts w:ascii="Times New Roman" w:eastAsia="Times New Roman" w:hAnsi="Times New Roman" w:cs="Times New Roman"/>
          <w:color w:val="000000"/>
          <w:spacing w:val="0"/>
          <w:w w:val="100"/>
          <w:position w:val="0"/>
        </w:rPr>
        <w:t>1</w:t>
      </w:r>
      <w:bookmarkEnd w:id="997"/>
      <w:r>
        <w:rPr>
          <w:color w:val="000000"/>
          <w:spacing w:val="0"/>
          <w:w w:val="100"/>
          <w:position w:val="0"/>
        </w:rPr>
        <w:t>）</w:t>
        <w:tab/>
        <w:t>修改设定受益计划时；</w:t>
      </w:r>
    </w:p>
    <w:p>
      <w:pPr>
        <w:pStyle w:val="Style29"/>
        <w:keepNext w:val="0"/>
        <w:keepLines w:val="0"/>
        <w:widowControl w:val="0"/>
        <w:shd w:val="clear" w:color="auto" w:fill="auto"/>
        <w:tabs>
          <w:tab w:pos="748" w:val="left"/>
        </w:tabs>
        <w:bidi w:val="0"/>
        <w:spacing w:before="0" w:line="312" w:lineRule="exact"/>
        <w:ind w:left="0" w:right="0" w:firstLine="380"/>
        <w:jc w:val="left"/>
      </w:pPr>
      <w:bookmarkStart w:id="998" w:name="bookmark998"/>
      <w:r>
        <w:rPr>
          <w:rFonts w:ascii="Times New Roman" w:eastAsia="Times New Roman" w:hAnsi="Times New Roman" w:cs="Times New Roman"/>
          <w:color w:val="000000"/>
          <w:spacing w:val="0"/>
          <w:w w:val="100"/>
          <w:position w:val="0"/>
        </w:rPr>
        <w:t>2</w:t>
      </w:r>
      <w:bookmarkEnd w:id="998"/>
      <w:r>
        <w:rPr>
          <w:color w:val="000000"/>
          <w:spacing w:val="0"/>
          <w:w w:val="100"/>
          <w:position w:val="0"/>
        </w:rPr>
        <w:t>）</w:t>
        <w:tab/>
        <w:t>企业确认相关重组费用或辞退福利时。</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在设定受益计划结算时，确认一项结算利得或损失。</w:t>
      </w:r>
    </w:p>
    <w:p>
      <w:pPr>
        <w:pStyle w:val="Style32"/>
        <w:keepNext/>
        <w:keepLines/>
        <w:widowControl w:val="0"/>
        <w:shd w:val="clear" w:color="auto" w:fill="auto"/>
        <w:tabs>
          <w:tab w:pos="551"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0"/>
      <w:bookmarkEnd w:id="1002"/>
      <w:bookmarkEnd w:id="999"/>
    </w:p>
    <w:p>
      <w:pPr>
        <w:pStyle w:val="Style29"/>
        <w:keepNext w:val="0"/>
        <w:keepLines w:val="0"/>
        <w:widowControl w:val="0"/>
        <w:shd w:val="clear" w:color="auto" w:fill="auto"/>
        <w:bidi w:val="0"/>
        <w:spacing w:before="0" w:after="1060" w:line="334" w:lineRule="exact"/>
        <w:ind w:left="0" w:right="0" w:firstLine="380"/>
        <w:jc w:val="left"/>
      </w:pPr>
      <w:r>
        <w:rPr>
          <w:color w:val="000000"/>
          <w:spacing w:val="0"/>
          <w:w w:val="100"/>
          <w:position w:val="0"/>
        </w:rPr>
        <w:t>辞退福利是指公司在职工劳动合同到期之前解除与职工的劳动关系，或者为鼓励职工自愿接受裁减而给予职工的补偿。 公司向职工提供辞退福利的，在下列两者孰早日确认辞退福利产生的职工薪酬负债，并计入当期损益：公司不能单方面 撤回因解除劳动关系计划或裁减建议所提供的辞退福利时；公司确认与涉及支付辞退福利的重组相关的成本或费用时。</w:t>
      </w:r>
    </w:p>
    <w:p>
      <w:pPr>
        <w:pStyle w:val="Style32"/>
        <w:keepNext/>
        <w:keepLines/>
        <w:widowControl w:val="0"/>
        <w:shd w:val="clear" w:color="auto" w:fill="auto"/>
        <w:bidi w:val="0"/>
        <w:spacing w:before="0" w:after="2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03"/>
      <w:bookmarkEnd w:id="1004"/>
      <w:bookmarkEnd w:id="1006"/>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29"/>
        <w:keepNext w:val="0"/>
        <w:keepLines w:val="0"/>
        <w:widowControl w:val="0"/>
        <w:shd w:val="clear" w:color="auto" w:fill="auto"/>
        <w:bidi w:val="0"/>
        <w:spacing w:before="0" w:line="310" w:lineRule="exact"/>
        <w:ind w:left="0" w:right="0" w:firstLine="380"/>
        <w:jc w:val="left"/>
      </w:pPr>
      <w:r>
        <w:rPr>
          <w:color w:val="000000"/>
          <w:spacing w:val="0"/>
          <w:w w:val="100"/>
          <w:position w:val="0"/>
        </w:rPr>
        <w:t>企业向职工提供的其他长期职工福利，符合设定提存计划条件的，适用于上述设定提存计划的有关规定进行处理。</w:t>
      </w:r>
    </w:p>
    <w:p>
      <w:pPr>
        <w:pStyle w:val="Style29"/>
        <w:keepNext w:val="0"/>
        <w:keepLines w:val="0"/>
        <w:widowControl w:val="0"/>
        <w:shd w:val="clear" w:color="auto" w:fill="auto"/>
        <w:bidi w:val="0"/>
        <w:spacing w:before="0" w:line="307" w:lineRule="exact"/>
        <w:ind w:left="0" w:right="0" w:firstLine="380"/>
        <w:jc w:val="left"/>
      </w:pPr>
      <w:r>
        <w:rPr>
          <w:color w:val="000000"/>
          <w:spacing w:val="0"/>
          <w:w w:val="100"/>
          <w:position w:val="0"/>
        </w:rPr>
        <w:t>除符合设定提存计划条件的情形外，按照设定受益计划的有关规定，确认和计量其他长期职工福利净负债或净资产。在 报告期末，企业应当将其他长期职工福利产生的职工薪酬成本确认为下列组成部分：</w:t>
      </w:r>
    </w:p>
    <w:p>
      <w:pPr>
        <w:pStyle w:val="Style29"/>
        <w:keepNext w:val="0"/>
        <w:keepLines w:val="0"/>
        <w:widowControl w:val="0"/>
        <w:numPr>
          <w:ilvl w:val="0"/>
          <w:numId w:val="61"/>
        </w:numPr>
        <w:shd w:val="clear" w:color="auto" w:fill="auto"/>
        <w:tabs>
          <w:tab w:pos="753" w:val="left"/>
        </w:tabs>
        <w:bidi w:val="0"/>
        <w:spacing w:before="0" w:line="310" w:lineRule="exact"/>
        <w:ind w:left="0" w:right="0" w:firstLine="380"/>
        <w:jc w:val="left"/>
      </w:pPr>
      <w:bookmarkStart w:id="1007" w:name="bookmark1007"/>
      <w:bookmarkEnd w:id="1007"/>
      <w:r>
        <w:rPr>
          <w:color w:val="000000"/>
          <w:spacing w:val="0"/>
          <w:w w:val="100"/>
          <w:position w:val="0"/>
        </w:rPr>
        <w:t>服务成本；</w:t>
      </w:r>
    </w:p>
    <w:p>
      <w:pPr>
        <w:pStyle w:val="Style29"/>
        <w:keepNext w:val="0"/>
        <w:keepLines w:val="0"/>
        <w:widowControl w:val="0"/>
        <w:numPr>
          <w:ilvl w:val="0"/>
          <w:numId w:val="61"/>
        </w:numPr>
        <w:shd w:val="clear" w:color="auto" w:fill="auto"/>
        <w:tabs>
          <w:tab w:pos="753" w:val="left"/>
        </w:tabs>
        <w:bidi w:val="0"/>
        <w:spacing w:before="0" w:line="310" w:lineRule="exact"/>
        <w:ind w:left="0" w:right="0" w:firstLine="380"/>
        <w:jc w:val="left"/>
      </w:pPr>
      <w:bookmarkStart w:id="1008" w:name="bookmark1008"/>
      <w:bookmarkEnd w:id="1008"/>
      <w:r>
        <w:rPr>
          <w:color w:val="000000"/>
          <w:spacing w:val="0"/>
          <w:w w:val="100"/>
          <w:position w:val="0"/>
        </w:rPr>
        <w:t>其他长期职工福利净负债或净资产的利息净额；</w:t>
      </w:r>
    </w:p>
    <w:p>
      <w:pPr>
        <w:pStyle w:val="Style29"/>
        <w:keepNext w:val="0"/>
        <w:keepLines w:val="0"/>
        <w:widowControl w:val="0"/>
        <w:numPr>
          <w:ilvl w:val="0"/>
          <w:numId w:val="61"/>
        </w:numPr>
        <w:shd w:val="clear" w:color="auto" w:fill="auto"/>
        <w:tabs>
          <w:tab w:pos="753" w:val="left"/>
        </w:tabs>
        <w:bidi w:val="0"/>
        <w:spacing w:before="0" w:line="310" w:lineRule="exact"/>
        <w:ind w:left="0" w:right="0" w:firstLine="380"/>
        <w:jc w:val="left"/>
      </w:pPr>
      <w:bookmarkStart w:id="1009" w:name="bookmark1009"/>
      <w:bookmarkEnd w:id="1009"/>
      <w:r>
        <w:rPr>
          <w:color w:val="000000"/>
          <w:spacing w:val="0"/>
          <w:w w:val="100"/>
          <w:position w:val="0"/>
        </w:rPr>
        <w:t>重新计量其他长期职工福利净负债或净资产所产生的变动。</w:t>
      </w:r>
    </w:p>
    <w:p>
      <w:pPr>
        <w:pStyle w:val="Style29"/>
        <w:keepNext w:val="0"/>
        <w:keepLines w:val="0"/>
        <w:widowControl w:val="0"/>
        <w:shd w:val="clear" w:color="auto" w:fill="auto"/>
        <w:bidi w:val="0"/>
        <w:spacing w:before="0" w:line="310" w:lineRule="exact"/>
        <w:ind w:left="0" w:right="0" w:firstLine="380"/>
        <w:jc w:val="left"/>
      </w:pPr>
      <w:r>
        <w:rPr>
          <w:color w:val="000000"/>
          <w:spacing w:val="0"/>
          <w:w w:val="100"/>
          <w:position w:val="0"/>
        </w:rPr>
        <w:t>为简化相关会计处理，上述项目的总净额计入当期损益或相关资产成本。</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0"/>
      <w:bookmarkEnd w:id="1011"/>
      <w:bookmarkEnd w:id="1013"/>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4"/>
      <w:bookmarkEnd w:id="1015"/>
      <w:bookmarkEnd w:id="1017"/>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与或有事项相关的义务同时满足下列条件的，确认为预计负债：</w:t>
      </w:r>
    </w:p>
    <w:p>
      <w:pPr>
        <w:pStyle w:val="Style29"/>
        <w:keepNext w:val="0"/>
        <w:keepLines w:val="0"/>
        <w:widowControl w:val="0"/>
        <w:shd w:val="clear" w:color="auto" w:fill="auto"/>
        <w:tabs>
          <w:tab w:pos="820" w:val="left"/>
        </w:tabs>
        <w:bidi w:val="0"/>
        <w:spacing w:before="0" w:after="0" w:line="312" w:lineRule="exact"/>
        <w:ind w:left="0" w:right="0" w:firstLine="38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t>该义务是企业承担的现时义务；</w:t>
      </w:r>
    </w:p>
    <w:p>
      <w:pPr>
        <w:pStyle w:val="Style29"/>
        <w:keepNext w:val="0"/>
        <w:keepLines w:val="0"/>
        <w:widowControl w:val="0"/>
        <w:shd w:val="clear" w:color="auto" w:fill="auto"/>
        <w:tabs>
          <w:tab w:pos="820" w:val="left"/>
        </w:tabs>
        <w:bidi w:val="0"/>
        <w:spacing w:before="0" w:after="0" w:line="312" w:lineRule="exact"/>
        <w:ind w:left="0" w:right="0" w:firstLine="38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履行该义务很可能导致经济利益流出企业；</w:t>
      </w:r>
    </w:p>
    <w:p>
      <w:pPr>
        <w:pStyle w:val="Style29"/>
        <w:keepNext w:val="0"/>
        <w:keepLines w:val="0"/>
        <w:widowControl w:val="0"/>
        <w:shd w:val="clear" w:color="auto" w:fill="auto"/>
        <w:tabs>
          <w:tab w:pos="820" w:val="left"/>
        </w:tabs>
        <w:bidi w:val="0"/>
        <w:spacing w:before="0" w:after="0" w:line="312" w:lineRule="exact"/>
        <w:ind w:left="0" w:right="0" w:firstLine="38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9"/>
        <w:keepNext w:val="0"/>
        <w:keepLines w:val="0"/>
        <w:widowControl w:val="0"/>
        <w:shd w:val="clear" w:color="auto" w:fill="auto"/>
        <w:bidi w:val="0"/>
        <w:spacing w:before="0" w:after="720" w:line="312" w:lineRule="exact"/>
        <w:ind w:left="0" w:right="0" w:firstLine="380"/>
        <w:jc w:val="left"/>
      </w:pPr>
      <w:r>
        <w:rPr>
          <w:color w:val="000000"/>
          <w:spacing w:val="0"/>
          <w:w w:val="100"/>
          <w:position w:val="0"/>
        </w:rPr>
        <w:t>预计负债应当按照履行相关现时义务所需支出的最佳估计数进行初始计量。</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1"/>
      <w:bookmarkEnd w:id="1022"/>
      <w:bookmarkEnd w:id="1024"/>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25"/>
      <w:bookmarkEnd w:id="1026"/>
      <w:bookmarkEnd w:id="1028"/>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9"/>
      <w:bookmarkEnd w:id="1030"/>
      <w:bookmarkEnd w:id="103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9"/>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以下收入会计政策适用于</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年度及以后：</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本公司与客户之间的合同同时满足下列条件时，在客户取得相关商品控制权时确认收入：合同各方已批准该合同并承诺 将履行各自义务；合同明确了合同各方与所转让商品或提供劳务相关的权利和义务；合同有明确的与所转让商品相关的支付 条款；合同具有商业实质，即履行该合同将改变本公司未来现金流量的风险、时间分布或金额；本公司因向客户转让商品而 有权取得的对价很可能收回。</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约义务的交易价格确认为收入：客户在本公司履约的同时即取得并消耗本公司履约所带来的经济利益；客户能够控制本公司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即客户已实物占有该商品；企业已将该商品所有权上的主要风险和报酬转移给客户，即客户已取得该商品所有权上的主要风 险和报酬；客户已接受该商品；其他表明客户已取得商品控制权的迹象。</w:t>
      </w:r>
    </w:p>
    <w:p>
      <w:pPr>
        <w:pStyle w:val="Style29"/>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基于以上原则，本公司收入确认的具体政策如下：</w:t>
      </w:r>
    </w:p>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公司国内商品销售收入确认的具体原则为：公司已根据合同约定将产品交付给客户且客户已接受，该商品的法定所有权 已转移，实物已转移，商品所有权上的主要风险已转移，已经收回货款或取得收款权利凭证且相关的经济利益很可能流入。 公司出口商品销售收入确认的具体原则为：公司已根据合同约定将产品报关，经商检、报关确认通关后，该商品的法定所有 权已转移，实物已转移，商品所有权上的主要风险已转移，本公司就该商品享有现时收款权利。</w:t>
      </w:r>
      <w:r>
        <w:rPr>
          <w:rFonts w:ascii="Times New Roman" w:eastAsia="Times New Roman" w:hAnsi="Times New Roman" w:cs="Times New Roman"/>
          <w:color w:val="000000"/>
          <w:spacing w:val="0"/>
          <w:w w:val="100"/>
          <w:position w:val="0"/>
        </w:rPr>
        <w:t>n</w:t>
      </w:r>
    </w:p>
    <w:p>
      <w:pPr>
        <w:pStyle w:val="Style2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以下收入会计政策适用于</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p>
      <w:pPr>
        <w:pStyle w:val="Style29"/>
        <w:keepNext w:val="0"/>
        <w:keepLines w:val="0"/>
        <w:widowControl w:val="0"/>
        <w:shd w:val="clear" w:color="auto" w:fill="auto"/>
        <w:tabs>
          <w:tab w:pos="820" w:val="left"/>
        </w:tabs>
        <w:bidi w:val="0"/>
        <w:spacing w:before="0" w:after="0" w:line="314" w:lineRule="exact"/>
        <w:ind w:left="0" w:right="0" w:firstLine="38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w:t>
        <w:tab/>
        <w:t>营业收入包括销售商品收入、提供劳务收入以及让渡资产使用权收入。</w:t>
      </w:r>
    </w:p>
    <w:p>
      <w:pPr>
        <w:pStyle w:val="Style29"/>
        <w:keepNext w:val="0"/>
        <w:keepLines w:val="0"/>
        <w:widowControl w:val="0"/>
        <w:numPr>
          <w:ilvl w:val="0"/>
          <w:numId w:val="63"/>
        </w:numPr>
        <w:shd w:val="clear" w:color="auto" w:fill="auto"/>
        <w:tabs>
          <w:tab w:pos="753" w:val="left"/>
        </w:tabs>
        <w:bidi w:val="0"/>
        <w:spacing w:before="0" w:after="0" w:line="314" w:lineRule="exact"/>
        <w:ind w:left="0" w:right="0" w:firstLine="380"/>
        <w:jc w:val="both"/>
      </w:pPr>
      <w:bookmarkStart w:id="1034" w:name="bookmark1034"/>
      <w:bookmarkEnd w:id="1034"/>
      <w:r>
        <w:rPr>
          <w:color w:val="000000"/>
          <w:spacing w:val="0"/>
          <w:w w:val="100"/>
          <w:position w:val="0"/>
        </w:rPr>
        <w:t>商品销售收入</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29"/>
        <w:keepNext w:val="0"/>
        <w:keepLines w:val="0"/>
        <w:widowControl w:val="0"/>
        <w:numPr>
          <w:ilvl w:val="0"/>
          <w:numId w:val="63"/>
        </w:numPr>
        <w:shd w:val="clear" w:color="auto" w:fill="auto"/>
        <w:tabs>
          <w:tab w:pos="753" w:val="left"/>
        </w:tabs>
        <w:bidi w:val="0"/>
        <w:spacing w:before="0" w:after="0" w:line="314" w:lineRule="exact"/>
        <w:ind w:left="0" w:right="0" w:firstLine="380"/>
        <w:jc w:val="both"/>
      </w:pPr>
      <w:bookmarkStart w:id="1035" w:name="bookmark1035"/>
      <w:bookmarkEnd w:id="1035"/>
      <w:r>
        <w:rPr>
          <w:color w:val="000000"/>
          <w:spacing w:val="0"/>
          <w:w w:val="100"/>
          <w:position w:val="0"/>
        </w:rPr>
        <w:t>提供劳务收入</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劳务总收入和总成本能够可靠地计量；与交易相关的经济利益能够流入公司；劳务的完成程度能够可靠地确定时，确认 劳务收入的实现。</w:t>
      </w:r>
    </w:p>
    <w:p>
      <w:pPr>
        <w:pStyle w:val="Style29"/>
        <w:keepNext w:val="0"/>
        <w:keepLines w:val="0"/>
        <w:widowControl w:val="0"/>
        <w:numPr>
          <w:ilvl w:val="0"/>
          <w:numId w:val="63"/>
        </w:numPr>
        <w:shd w:val="clear" w:color="auto" w:fill="auto"/>
        <w:tabs>
          <w:tab w:pos="753" w:val="left"/>
        </w:tabs>
        <w:bidi w:val="0"/>
        <w:spacing w:before="0" w:after="0" w:line="314" w:lineRule="exact"/>
        <w:ind w:left="0" w:right="0" w:firstLine="380"/>
        <w:jc w:val="both"/>
      </w:pPr>
      <w:bookmarkStart w:id="1036" w:name="bookmark1036"/>
      <w:bookmarkEnd w:id="1036"/>
      <w:r>
        <w:rPr>
          <w:color w:val="000000"/>
          <w:spacing w:val="0"/>
          <w:w w:val="100"/>
          <w:position w:val="0"/>
        </w:rPr>
        <w:t>让渡资产使用权收入的确认</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让渡资产使用权收入包括利息收入、使用费收入等。相关的经济利益很可能流入公司；收入的金额能够可靠地计量时， 确认让渡资产使用权收入的实现。</w:t>
      </w:r>
    </w:p>
    <w:p>
      <w:pPr>
        <w:pStyle w:val="Style29"/>
        <w:keepNext w:val="0"/>
        <w:keepLines w:val="0"/>
        <w:widowControl w:val="0"/>
        <w:shd w:val="clear" w:color="auto" w:fill="auto"/>
        <w:tabs>
          <w:tab w:pos="820" w:val="left"/>
        </w:tabs>
        <w:bidi w:val="0"/>
        <w:spacing w:before="0" w:after="0" w:line="317" w:lineRule="exact"/>
        <w:ind w:left="0" w:right="0" w:firstLine="38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基于以上原则，本公司收入确认的具体政策如下：</w:t>
      </w:r>
    </w:p>
    <w:p>
      <w:pPr>
        <w:pStyle w:val="Style29"/>
        <w:keepNext w:val="0"/>
        <w:keepLines w:val="0"/>
        <w:widowControl w:val="0"/>
        <w:numPr>
          <w:ilvl w:val="0"/>
          <w:numId w:val="65"/>
        </w:numPr>
        <w:shd w:val="clear" w:color="auto" w:fill="auto"/>
        <w:tabs>
          <w:tab w:pos="753" w:val="left"/>
        </w:tabs>
        <w:bidi w:val="0"/>
        <w:spacing w:before="0" w:after="0" w:line="314" w:lineRule="exact"/>
        <w:ind w:left="0" w:right="0" w:firstLine="380"/>
        <w:jc w:val="both"/>
      </w:pPr>
      <w:bookmarkStart w:id="1038" w:name="bookmark1038"/>
      <w:bookmarkEnd w:id="1038"/>
      <w:r>
        <w:rPr>
          <w:color w:val="000000"/>
          <w:spacing w:val="0"/>
          <w:w w:val="100"/>
          <w:position w:val="0"/>
        </w:rPr>
        <w:t>销售商品</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公司国内商品销售收入确认的具体原则为：于产品已经发出，客户验收完成，开具发票确认收入；</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公司出口商品销售收入确认的具体原则为：于产品运至客户指定交货地点，且取得海关审批返回的出口报关单时确认收 入。</w:t>
      </w:r>
    </w:p>
    <w:p>
      <w:pPr>
        <w:pStyle w:val="Style29"/>
        <w:keepNext w:val="0"/>
        <w:keepLines w:val="0"/>
        <w:widowControl w:val="0"/>
        <w:numPr>
          <w:ilvl w:val="0"/>
          <w:numId w:val="65"/>
        </w:numPr>
        <w:shd w:val="clear" w:color="auto" w:fill="auto"/>
        <w:tabs>
          <w:tab w:pos="753" w:val="left"/>
        </w:tabs>
        <w:bidi w:val="0"/>
        <w:spacing w:before="0" w:after="0" w:line="314" w:lineRule="exact"/>
        <w:ind w:left="0" w:right="0" w:firstLine="380"/>
        <w:jc w:val="both"/>
      </w:pPr>
      <w:bookmarkStart w:id="1039" w:name="bookmark1039"/>
      <w:bookmarkEnd w:id="1039"/>
      <w:r>
        <w:rPr>
          <w:color w:val="000000"/>
          <w:spacing w:val="0"/>
          <w:w w:val="100"/>
          <w:position w:val="0"/>
        </w:rPr>
        <w:t>让渡资产使用权</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使用费收入，按照有关合同或协议约定的收费时间和方法计算确定收入。</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4</w:t>
      </w:r>
      <w:bookmarkEnd w:id="104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0"/>
      <w:bookmarkEnd w:id="1041"/>
      <w:bookmarkEnd w:id="1043"/>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政府补助，是公司从政府无偿取得的货币性资产或非货币性资产。分为与资产相关的政府补助和与收益相关的政府补助。</w:t>
      </w:r>
    </w:p>
    <w:p>
      <w:pPr>
        <w:pStyle w:val="Style29"/>
        <w:keepNext w:val="0"/>
        <w:keepLines w:val="0"/>
        <w:widowControl w:val="0"/>
        <w:shd w:val="clear" w:color="auto" w:fill="auto"/>
        <w:tabs>
          <w:tab w:pos="820" w:val="left"/>
        </w:tabs>
        <w:bidi w:val="0"/>
        <w:spacing w:before="0" w:after="0" w:line="314" w:lineRule="exact"/>
        <w:ind w:left="0" w:right="0" w:firstLine="38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与资产相关的政府补助，是指企业取得的、用于购建或以其他方式形成长期资产的政府补助。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与资产相关的政府补助，应当确认为递延收益。与资产相关的政府补助确认为递延收益的，应当在相关资产使用寿命内 按照合理、系统的方法分期计入损益。按照名义金额计量的政府补助，直接计入当期损益。</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相关资产在使用寿命结束前被出售、转让、报废或发生毁损的，应当将尚未分配的相关递延收益余额转入资产处置当期 的损益。</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与公司日常活动相关的政府补助，应当按照经济业务实质，计入其他收益。与公司日常活动无关的政府补助，应当计入 营业外收支。</w:t>
      </w:r>
    </w:p>
    <w:p>
      <w:pPr>
        <w:pStyle w:val="Style29"/>
        <w:keepNext w:val="0"/>
        <w:keepLines w:val="0"/>
        <w:widowControl w:val="0"/>
        <w:shd w:val="clear" w:color="auto" w:fill="auto"/>
        <w:tabs>
          <w:tab w:pos="820" w:val="left"/>
        </w:tabs>
        <w:bidi w:val="0"/>
        <w:spacing w:before="0" w:after="0" w:line="314" w:lineRule="exact"/>
        <w:ind w:left="0" w:right="0" w:firstLine="38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与收益相关的政府补助，是指除与资产相关的政府补助之外的政府补助。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企业对于综合性项目的政府补助，需要将其分解为与资产相关的部分和与收益相关的部分，分别进行会计处理；难以区 分的，应当整体归类为与收益相关的政府补助。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与收益相关的政府补助，用于补偿企业以后期间的相关费用或损失的，取得时确认为递延收益，并在确认相关成本费用 或损失的期间计入当期损益；用于补偿企业已发生的相关费用或损失的，直接计入当期损益。</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与公司日常活动相关的政府补助，应当按照经济业务实质计入其他收益。与公司日常活动无关的政府补助，应当计入营 业外收支。</w:t>
      </w:r>
    </w:p>
    <w:p>
      <w:pPr>
        <w:pStyle w:val="Style29"/>
        <w:keepNext w:val="0"/>
        <w:keepLines w:val="0"/>
        <w:widowControl w:val="0"/>
        <w:shd w:val="clear" w:color="auto" w:fill="auto"/>
        <w:bidi w:val="0"/>
        <w:spacing w:before="0" w:after="0" w:line="312" w:lineRule="exact"/>
        <w:ind w:left="0" w:right="0" w:firstLine="38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）政府补助的确认时点</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政府补助为货币性资产的，应当按照收到的金额计量。按照应收金额计量的政府补助，在期末有确凿证据表明能够符合 财政扶持政策规定的相关条件且预计能够收到财政扶持资金时予以确认；政府补助为非货币性资产的，应当按照取得非货币 性资产所有权风险和报酬转移时确认政府补助实现。其中非货币性资产按公允价值计量；公允价值不能可靠取得的，按照名 义金额计量。</w:t>
      </w:r>
    </w:p>
    <w:p>
      <w:pPr>
        <w:pStyle w:val="Style29"/>
        <w:keepNext w:val="0"/>
        <w:keepLines w:val="0"/>
        <w:widowControl w:val="0"/>
        <w:shd w:val="clear" w:color="auto" w:fill="auto"/>
        <w:bidi w:val="0"/>
        <w:spacing w:before="0" w:after="1080" w:line="312"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2"/>
        <w:keepNext/>
        <w:keepLines/>
        <w:widowControl w:val="0"/>
        <w:shd w:val="clear" w:color="auto" w:fill="auto"/>
        <w:bidi w:val="0"/>
        <w:spacing w:before="0" w:after="2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7"/>
      <w:bookmarkEnd w:id="1048"/>
      <w:bookmarkEnd w:id="1050"/>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企业所得税采用资产负债表债务法进行核算。于资产负债表日，分析比较资产、负债的账面价值与其计税基础，两者之 间存在差异的，确认递延所得税资产、递延所得税负债及相应的递延所得税费用（或收益）。在计算确定当期所得税（即当 期应交所得税）以及递延所得税费用（或收益）的基础上，将两者之和确认为利润表中的所得税费用（或收益），但不包括 直接计入所有者权益的交易或事项的所得税影响。</w:t>
      </w:r>
    </w:p>
    <w:p>
      <w:pPr>
        <w:pStyle w:val="Style29"/>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资产负债表日，对递延所得税资产的账面价值进行复核。如果未来期间很可能无法获得足够的应纳税所得额用以抵扣递 延所得税资产的利益，应当减记递延所得税资产的账面价值。</w:t>
      </w:r>
    </w:p>
    <w:p>
      <w:pPr>
        <w:pStyle w:val="Style32"/>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51"/>
      <w:bookmarkEnd w:id="1052"/>
      <w:bookmarkEnd w:id="1054"/>
    </w:p>
    <w:p>
      <w:pPr>
        <w:pStyle w:val="Style32"/>
        <w:keepNext/>
        <w:keepLines/>
        <w:widowControl w:val="0"/>
        <w:shd w:val="clear" w:color="auto" w:fill="auto"/>
        <w:bidi w:val="0"/>
        <w:spacing w:before="0" w:after="280" w:line="240" w:lineRule="auto"/>
        <w:ind w:left="0" w:right="0" w:firstLine="0"/>
        <w:jc w:val="left"/>
      </w:pPr>
      <w:bookmarkStart w:id="1051" w:name="bookmark1051"/>
      <w:bookmarkStart w:id="1052" w:name="bookmark1052"/>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1"/>
      <w:bookmarkEnd w:id="1052"/>
      <w:bookmarkEnd w:id="1056"/>
    </w:p>
    <w:p>
      <w:pPr>
        <w:pStyle w:val="Style29"/>
        <w:keepNext w:val="0"/>
        <w:keepLines w:val="0"/>
        <w:widowControl w:val="0"/>
        <w:numPr>
          <w:ilvl w:val="0"/>
          <w:numId w:val="67"/>
        </w:numPr>
        <w:shd w:val="clear" w:color="auto" w:fill="auto"/>
        <w:tabs>
          <w:tab w:pos="753" w:val="left"/>
        </w:tabs>
        <w:bidi w:val="0"/>
        <w:spacing w:before="0" w:after="0" w:line="314" w:lineRule="exact"/>
        <w:ind w:left="0" w:right="0" w:firstLine="380"/>
        <w:jc w:val="both"/>
      </w:pPr>
      <w:bookmarkStart w:id="1057" w:name="bookmark1057"/>
      <w:bookmarkEnd w:id="1057"/>
      <w:r>
        <w:rPr>
          <w:color w:val="000000"/>
          <w:spacing w:val="0"/>
          <w:w w:val="100"/>
          <w:position w:val="0"/>
        </w:rPr>
        <w:t>公司作为承租人对经营租赁的处理</w:t>
      </w:r>
    </w:p>
    <w:p>
      <w:pPr>
        <w:pStyle w:val="Style29"/>
        <w:keepNext w:val="0"/>
        <w:keepLines w:val="0"/>
        <w:widowControl w:val="0"/>
        <w:shd w:val="clear" w:color="auto" w:fill="auto"/>
        <w:tabs>
          <w:tab w:pos="729" w:val="left"/>
        </w:tabs>
        <w:bidi w:val="0"/>
        <w:spacing w:before="0" w:after="0" w:line="314" w:lineRule="exact"/>
        <w:ind w:left="0" w:right="0" w:firstLine="380"/>
        <w:jc w:val="both"/>
      </w:pPr>
      <w:bookmarkStart w:id="1058" w:name="bookmark1058"/>
      <w:r>
        <w:rPr>
          <w:color w:val="000000"/>
          <w:spacing w:val="0"/>
          <w:w w:val="100"/>
          <w:position w:val="0"/>
          <w:sz w:val="18"/>
          <w:szCs w:val="18"/>
        </w:rPr>
        <w:t>1</w:t>
      </w:r>
      <w:bookmarkEnd w:id="1058"/>
      <w:r>
        <w:rPr>
          <w:color w:val="000000"/>
          <w:spacing w:val="0"/>
          <w:w w:val="100"/>
          <w:position w:val="0"/>
          <w:sz w:val="18"/>
          <w:szCs w:val="18"/>
        </w:rPr>
        <w:t>）</w:t>
        <w:tab/>
      </w:r>
      <w:r>
        <w:rPr>
          <w:color w:val="000000"/>
          <w:spacing w:val="0"/>
          <w:w w:val="100"/>
          <w:position w:val="0"/>
        </w:rPr>
        <w:t>租金的处理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在经营租赁下需将支付或应付的租金计入相关资产成本或当期损益。</w:t>
      </w:r>
    </w:p>
    <w:p>
      <w:pPr>
        <w:pStyle w:val="Style29"/>
        <w:keepNext w:val="0"/>
        <w:keepLines w:val="0"/>
        <w:widowControl w:val="0"/>
        <w:shd w:val="clear" w:color="auto" w:fill="auto"/>
        <w:tabs>
          <w:tab w:pos="738" w:val="left"/>
        </w:tabs>
        <w:bidi w:val="0"/>
        <w:spacing w:before="0" w:after="0" w:line="314" w:lineRule="exact"/>
        <w:ind w:left="0" w:right="0" w:firstLine="380"/>
        <w:jc w:val="both"/>
      </w:pPr>
      <w:bookmarkStart w:id="1059" w:name="bookmark1059"/>
      <w:r>
        <w:rPr>
          <w:color w:val="000000"/>
          <w:spacing w:val="0"/>
          <w:w w:val="100"/>
          <w:position w:val="0"/>
          <w:sz w:val="18"/>
          <w:szCs w:val="18"/>
        </w:rPr>
        <w:t>2</w:t>
      </w:r>
      <w:bookmarkEnd w:id="1059"/>
      <w:r>
        <w:rPr>
          <w:color w:val="000000"/>
          <w:spacing w:val="0"/>
          <w:w w:val="100"/>
          <w:position w:val="0"/>
          <w:sz w:val="18"/>
          <w:szCs w:val="18"/>
        </w:rPr>
        <w:t>）</w:t>
        <w:tab/>
      </w:r>
      <w:r>
        <w:rPr>
          <w:color w:val="000000"/>
          <w:spacing w:val="0"/>
          <w:w w:val="100"/>
          <w:position w:val="0"/>
        </w:rPr>
        <w:t>初始直接费用的处理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对于承租人在经营租赁中发生的初始直接费用，计入当期损益。</w:t>
      </w:r>
    </w:p>
    <w:p>
      <w:pPr>
        <w:pStyle w:val="Style29"/>
        <w:keepNext w:val="0"/>
        <w:keepLines w:val="0"/>
        <w:widowControl w:val="0"/>
        <w:shd w:val="clear" w:color="auto" w:fill="auto"/>
        <w:tabs>
          <w:tab w:pos="738" w:val="left"/>
        </w:tabs>
        <w:bidi w:val="0"/>
        <w:spacing w:before="0" w:after="0" w:line="314" w:lineRule="exact"/>
        <w:ind w:left="0" w:right="0" w:firstLine="380"/>
        <w:jc w:val="both"/>
      </w:pPr>
      <w:bookmarkStart w:id="1060" w:name="bookmark1060"/>
      <w:r>
        <w:rPr>
          <w:color w:val="000000"/>
          <w:spacing w:val="0"/>
          <w:w w:val="100"/>
          <w:position w:val="0"/>
          <w:sz w:val="18"/>
          <w:szCs w:val="18"/>
        </w:rPr>
        <w:t>3</w:t>
      </w:r>
      <w:bookmarkEnd w:id="1060"/>
      <w:r>
        <w:rPr>
          <w:color w:val="000000"/>
          <w:spacing w:val="0"/>
          <w:w w:val="100"/>
          <w:position w:val="0"/>
          <w:sz w:val="18"/>
          <w:szCs w:val="18"/>
        </w:rPr>
        <w:t>）</w:t>
        <w:tab/>
      </w:r>
      <w:r>
        <w:rPr>
          <w:color w:val="000000"/>
          <w:spacing w:val="0"/>
          <w:w w:val="100"/>
          <w:position w:val="0"/>
        </w:rPr>
        <w:t>或有租金的处理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在经营租赁下，承租人对或有租金在实际发生时计入当期损益。</w:t>
      </w:r>
    </w:p>
    <w:p>
      <w:pPr>
        <w:pStyle w:val="Style29"/>
        <w:keepNext w:val="0"/>
        <w:keepLines w:val="0"/>
        <w:widowControl w:val="0"/>
        <w:shd w:val="clear" w:color="auto" w:fill="auto"/>
        <w:tabs>
          <w:tab w:pos="743" w:val="left"/>
        </w:tabs>
        <w:bidi w:val="0"/>
        <w:spacing w:before="0" w:after="0" w:line="314" w:lineRule="exact"/>
        <w:ind w:left="0" w:right="0" w:firstLine="380"/>
        <w:jc w:val="both"/>
      </w:pPr>
      <w:bookmarkStart w:id="1061" w:name="bookmark1061"/>
      <w:r>
        <w:rPr>
          <w:color w:val="000000"/>
          <w:spacing w:val="0"/>
          <w:w w:val="100"/>
          <w:position w:val="0"/>
          <w:sz w:val="18"/>
          <w:szCs w:val="18"/>
        </w:rPr>
        <w:t>4</w:t>
      </w:r>
      <w:bookmarkEnd w:id="1061"/>
      <w:r>
        <w:rPr>
          <w:color w:val="000000"/>
          <w:spacing w:val="0"/>
          <w:w w:val="100"/>
          <w:position w:val="0"/>
          <w:sz w:val="18"/>
          <w:szCs w:val="18"/>
        </w:rPr>
        <w:t>）</w:t>
        <w:tab/>
      </w:r>
      <w:r>
        <w:rPr>
          <w:color w:val="000000"/>
          <w:spacing w:val="0"/>
          <w:w w:val="100"/>
          <w:position w:val="0"/>
        </w:rPr>
        <w:t>出租人提供激励措施的处理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出租人提供免租期的，承租人应将租金总额在不扣除免租期的整个租赁期内，按直线法或其他合理的方法进行分摊，免 租期内应当确认租金费用及相应的负债。出租人承担了承租人某些费用的，承租人将该费用从租金费用总额中扣除，按扣除 后的租金费用余额在租赁期内进行分摊。</w:t>
      </w:r>
    </w:p>
    <w:p>
      <w:pPr>
        <w:pStyle w:val="Style29"/>
        <w:keepNext w:val="0"/>
        <w:keepLines w:val="0"/>
        <w:widowControl w:val="0"/>
        <w:numPr>
          <w:ilvl w:val="0"/>
          <w:numId w:val="67"/>
        </w:numPr>
        <w:shd w:val="clear" w:color="auto" w:fill="auto"/>
        <w:tabs>
          <w:tab w:pos="753" w:val="left"/>
        </w:tabs>
        <w:bidi w:val="0"/>
        <w:spacing w:before="0" w:after="0" w:line="314" w:lineRule="exact"/>
        <w:ind w:left="0" w:right="0" w:firstLine="380"/>
        <w:jc w:val="both"/>
      </w:pPr>
      <w:bookmarkStart w:id="1062" w:name="bookmark1062"/>
      <w:bookmarkEnd w:id="1062"/>
      <w:r>
        <w:rPr>
          <w:color w:val="000000"/>
          <w:spacing w:val="0"/>
          <w:w w:val="100"/>
          <w:position w:val="0"/>
        </w:rPr>
        <w:t>公司作为出租人对经营租赁的处理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1）</w:t>
      </w:r>
      <w:r>
        <w:rPr>
          <w:color w:val="000000"/>
          <w:spacing w:val="0"/>
          <w:w w:val="100"/>
          <w:position w:val="0"/>
        </w:rPr>
        <w:t>租金的处理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出租人应采用直线法将收到的租金在租赁期内确认为收益。</w:t>
      </w:r>
    </w:p>
    <w:p>
      <w:pPr>
        <w:pStyle w:val="Style29"/>
        <w:keepNext w:val="0"/>
        <w:keepLines w:val="0"/>
        <w:widowControl w:val="0"/>
        <w:shd w:val="clear" w:color="auto" w:fill="auto"/>
        <w:tabs>
          <w:tab w:pos="738" w:val="left"/>
        </w:tabs>
        <w:bidi w:val="0"/>
        <w:spacing w:before="0" w:after="0" w:line="312" w:lineRule="exact"/>
        <w:ind w:left="0" w:right="0" w:firstLine="380"/>
        <w:jc w:val="both"/>
      </w:pPr>
      <w:bookmarkStart w:id="1063" w:name="bookmark1063"/>
      <w:r>
        <w:rPr>
          <w:color w:val="000000"/>
          <w:spacing w:val="0"/>
          <w:w w:val="100"/>
          <w:position w:val="0"/>
          <w:sz w:val="18"/>
          <w:szCs w:val="18"/>
        </w:rPr>
        <w:t>2</w:t>
      </w:r>
      <w:bookmarkEnd w:id="1063"/>
      <w:r>
        <w:rPr>
          <w:color w:val="000000"/>
          <w:spacing w:val="0"/>
          <w:w w:val="100"/>
          <w:position w:val="0"/>
          <w:sz w:val="18"/>
          <w:szCs w:val="18"/>
        </w:rPr>
        <w:t>）</w:t>
        <w:tab/>
      </w:r>
      <w:r>
        <w:rPr>
          <w:color w:val="000000"/>
          <w:spacing w:val="0"/>
          <w:w w:val="100"/>
          <w:position w:val="0"/>
        </w:rPr>
        <w:t>初始直接费用的处理</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经营租赁中出租人发生的初始直接费用，是指在租赁谈判和签订租赁合同的过程中发生的可归属于租赁项目的手续费、 律师费、差旅费、印花税等，计入当期损益。金额较大的应当资本化，在整个经营租赁期内按照与确认租金收入相同的基础 分期计入当期损益。</w:t>
      </w:r>
    </w:p>
    <w:p>
      <w:pPr>
        <w:pStyle w:val="Style29"/>
        <w:keepNext w:val="0"/>
        <w:keepLines w:val="0"/>
        <w:widowControl w:val="0"/>
        <w:shd w:val="clear" w:color="auto" w:fill="auto"/>
        <w:tabs>
          <w:tab w:pos="738" w:val="left"/>
        </w:tabs>
        <w:bidi w:val="0"/>
        <w:spacing w:before="0" w:after="0" w:line="312" w:lineRule="exact"/>
        <w:ind w:left="0" w:right="0" w:firstLine="380"/>
        <w:jc w:val="both"/>
      </w:pPr>
      <w:bookmarkStart w:id="1064" w:name="bookmark1064"/>
      <w:r>
        <w:rPr>
          <w:color w:val="000000"/>
          <w:spacing w:val="0"/>
          <w:w w:val="100"/>
          <w:position w:val="0"/>
          <w:sz w:val="18"/>
          <w:szCs w:val="18"/>
        </w:rPr>
        <w:t>3</w:t>
      </w:r>
      <w:bookmarkEnd w:id="1064"/>
      <w:r>
        <w:rPr>
          <w:color w:val="000000"/>
          <w:spacing w:val="0"/>
          <w:w w:val="100"/>
          <w:position w:val="0"/>
          <w:sz w:val="18"/>
          <w:szCs w:val="18"/>
        </w:rPr>
        <w:t>）</w:t>
        <w:tab/>
      </w:r>
      <w:r>
        <w:rPr>
          <w:color w:val="000000"/>
          <w:spacing w:val="0"/>
          <w:w w:val="100"/>
          <w:position w:val="0"/>
        </w:rPr>
        <w:t>租赁资产折旧的计提</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对于经营租赁资产中的固定资产，采用出租人对类似应折旧资产通常所采用的折旧政策计提折旧。</w:t>
      </w:r>
    </w:p>
    <w:p>
      <w:pPr>
        <w:pStyle w:val="Style29"/>
        <w:keepNext w:val="0"/>
        <w:keepLines w:val="0"/>
        <w:widowControl w:val="0"/>
        <w:shd w:val="clear" w:color="auto" w:fill="auto"/>
        <w:tabs>
          <w:tab w:pos="743" w:val="left"/>
        </w:tabs>
        <w:bidi w:val="0"/>
        <w:spacing w:before="0" w:after="0" w:line="312" w:lineRule="exact"/>
        <w:ind w:left="0" w:right="0" w:firstLine="380"/>
        <w:jc w:val="both"/>
      </w:pPr>
      <w:bookmarkStart w:id="1065" w:name="bookmark1065"/>
      <w:r>
        <w:rPr>
          <w:color w:val="000000"/>
          <w:spacing w:val="0"/>
          <w:w w:val="100"/>
          <w:position w:val="0"/>
          <w:sz w:val="18"/>
          <w:szCs w:val="18"/>
        </w:rPr>
        <w:t>4</w:t>
      </w:r>
      <w:bookmarkEnd w:id="1065"/>
      <w:r>
        <w:rPr>
          <w:color w:val="000000"/>
          <w:spacing w:val="0"/>
          <w:w w:val="100"/>
          <w:position w:val="0"/>
          <w:sz w:val="18"/>
          <w:szCs w:val="18"/>
        </w:rPr>
        <w:t>）</w:t>
        <w:tab/>
      </w:r>
      <w:r>
        <w:rPr>
          <w:color w:val="000000"/>
          <w:spacing w:val="0"/>
          <w:w w:val="100"/>
          <w:position w:val="0"/>
        </w:rPr>
        <w:t>或有租金的处理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在实际发生时计入当期收益。</w:t>
      </w:r>
    </w:p>
    <w:p>
      <w:pPr>
        <w:pStyle w:val="Style29"/>
        <w:keepNext w:val="0"/>
        <w:keepLines w:val="0"/>
        <w:widowControl w:val="0"/>
        <w:shd w:val="clear" w:color="auto" w:fill="auto"/>
        <w:tabs>
          <w:tab w:pos="743" w:val="left"/>
        </w:tabs>
        <w:bidi w:val="0"/>
        <w:spacing w:before="0" w:after="0" w:line="312" w:lineRule="exact"/>
        <w:ind w:left="0" w:right="0" w:firstLine="380"/>
        <w:jc w:val="both"/>
      </w:pPr>
      <w:bookmarkStart w:id="1066" w:name="bookmark1066"/>
      <w:r>
        <w:rPr>
          <w:color w:val="000000"/>
          <w:spacing w:val="0"/>
          <w:w w:val="100"/>
          <w:position w:val="0"/>
          <w:sz w:val="18"/>
          <w:szCs w:val="18"/>
        </w:rPr>
        <w:t>5</w:t>
      </w:r>
      <w:bookmarkEnd w:id="1066"/>
      <w:r>
        <w:rPr>
          <w:color w:val="000000"/>
          <w:spacing w:val="0"/>
          <w:w w:val="100"/>
          <w:position w:val="0"/>
          <w:sz w:val="18"/>
          <w:szCs w:val="18"/>
        </w:rPr>
        <w:t>）</w:t>
        <w:tab/>
      </w:r>
      <w:r>
        <w:rPr>
          <w:color w:val="000000"/>
          <w:spacing w:val="0"/>
          <w:w w:val="100"/>
          <w:position w:val="0"/>
        </w:rPr>
        <w:t>出租人对经营租赁提供激励措施的处理</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出租人提供免租期的，出租人将租金总额在不扣除免租期的整个租赁期内，按直线法或其他合理的方法进行分配，免租 期内出租人确认租金收入。出租人承担了承租人某些费用的，出租人将该费用自租金收入总额中扣除，按扣除后的租金收入 余额在租赁期内进行分配。</w:t>
      </w:r>
    </w:p>
    <w:p>
      <w:pPr>
        <w:pStyle w:val="Style29"/>
        <w:keepNext w:val="0"/>
        <w:keepLines w:val="0"/>
        <w:widowControl w:val="0"/>
        <w:shd w:val="clear" w:color="auto" w:fill="auto"/>
        <w:tabs>
          <w:tab w:pos="743" w:val="left"/>
        </w:tabs>
        <w:bidi w:val="0"/>
        <w:spacing w:before="0" w:after="0" w:line="312" w:lineRule="exact"/>
        <w:ind w:left="0" w:right="0" w:firstLine="380"/>
        <w:jc w:val="both"/>
      </w:pPr>
      <w:bookmarkStart w:id="1067" w:name="bookmark1067"/>
      <w:r>
        <w:rPr>
          <w:color w:val="000000"/>
          <w:spacing w:val="0"/>
          <w:w w:val="100"/>
          <w:position w:val="0"/>
          <w:sz w:val="18"/>
          <w:szCs w:val="18"/>
        </w:rPr>
        <w:t>6</w:t>
      </w:r>
      <w:bookmarkEnd w:id="1067"/>
      <w:r>
        <w:rPr>
          <w:color w:val="000000"/>
          <w:spacing w:val="0"/>
          <w:w w:val="100"/>
          <w:position w:val="0"/>
          <w:sz w:val="18"/>
          <w:szCs w:val="18"/>
        </w:rPr>
        <w:t>）</w:t>
        <w:tab/>
      </w:r>
      <w:r>
        <w:rPr>
          <w:color w:val="000000"/>
          <w:spacing w:val="0"/>
          <w:w w:val="100"/>
          <w:position w:val="0"/>
        </w:rPr>
        <w:t>经营租赁资产在财务报表中的处理</w:t>
      </w:r>
    </w:p>
    <w:p>
      <w:pPr>
        <w:pStyle w:val="Style29"/>
        <w:keepNext w:val="0"/>
        <w:keepLines w:val="0"/>
        <w:widowControl w:val="0"/>
        <w:shd w:val="clear" w:color="auto" w:fill="auto"/>
        <w:bidi w:val="0"/>
        <w:spacing w:before="0" w:after="720" w:line="314" w:lineRule="exact"/>
        <w:ind w:left="0" w:right="0" w:firstLine="380"/>
        <w:jc w:val="both"/>
      </w:pPr>
      <w:r>
        <w:rPr>
          <w:color w:val="000000"/>
          <w:spacing w:val="0"/>
          <w:w w:val="100"/>
          <w:position w:val="0"/>
        </w:rPr>
        <w:t>在经营租赁下，与资产所有权有关的主要风险和报酬仍然留在出租人一方，因此出租人将出租资产作为自身拥有的资产 在资产负债表中列示，如果出租资产属于固定资产，则列在资产负债表固定资产项下，如果出租资产属于流动资产，则列在 资产负债表有关流动资产项下。</w:t>
      </w:r>
    </w:p>
    <w:p>
      <w:pPr>
        <w:pStyle w:val="Style32"/>
        <w:keepNext/>
        <w:keepLines/>
        <w:widowControl w:val="0"/>
        <w:shd w:val="clear" w:color="auto" w:fill="auto"/>
        <w:bidi w:val="0"/>
        <w:spacing w:before="0" w:after="28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8"/>
      <w:bookmarkEnd w:id="1069"/>
      <w:bookmarkEnd w:id="1071"/>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2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72"/>
      <w:bookmarkEnd w:id="1073"/>
      <w:bookmarkEnd w:id="1075"/>
    </w:p>
    <w:p>
      <w:pPr>
        <w:pStyle w:val="Style29"/>
        <w:keepNext w:val="0"/>
        <w:keepLines w:val="0"/>
        <w:widowControl w:val="0"/>
        <w:shd w:val="clear" w:color="auto" w:fill="auto"/>
        <w:tabs>
          <w:tab w:pos="820" w:val="left"/>
        </w:tabs>
        <w:bidi w:val="0"/>
        <w:spacing w:before="0" w:after="0" w:line="313" w:lineRule="exact"/>
        <w:ind w:left="0" w:right="0" w:firstLine="38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w:t>
        <w:tab/>
        <w:t>分部报告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公司以内部组织结构、管理要求、内部报告制度为依据确定经营分部，以经营分部为基础确定报告分部。并在财务报表 附注中披露各报告分部的财务信息，包括营业收入，营业成本，资产总额，负债总额等。</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经营分部，是指公司内同时满足下列条件的组成部分：</w:t>
      </w:r>
    </w:p>
    <w:p>
      <w:pPr>
        <w:pStyle w:val="Style29"/>
        <w:keepNext w:val="0"/>
        <w:keepLines w:val="0"/>
        <w:widowControl w:val="0"/>
        <w:numPr>
          <w:ilvl w:val="0"/>
          <w:numId w:val="69"/>
        </w:numPr>
        <w:shd w:val="clear" w:color="auto" w:fill="auto"/>
        <w:tabs>
          <w:tab w:pos="753" w:val="left"/>
        </w:tabs>
        <w:bidi w:val="0"/>
        <w:spacing w:before="0" w:after="0" w:line="313" w:lineRule="exact"/>
        <w:ind w:left="0" w:right="0" w:firstLine="380"/>
        <w:jc w:val="both"/>
      </w:pPr>
      <w:bookmarkStart w:id="1077" w:name="bookmark1077"/>
      <w:bookmarkEnd w:id="1077"/>
      <w:r>
        <w:rPr>
          <w:color w:val="000000"/>
          <w:spacing w:val="0"/>
          <w:w w:val="100"/>
          <w:position w:val="0"/>
        </w:rPr>
        <w:t>该组成部分能够在日常活动中产生收入、发生费用；</w:t>
      </w:r>
    </w:p>
    <w:p>
      <w:pPr>
        <w:pStyle w:val="Style29"/>
        <w:keepNext w:val="0"/>
        <w:keepLines w:val="0"/>
        <w:widowControl w:val="0"/>
        <w:numPr>
          <w:ilvl w:val="0"/>
          <w:numId w:val="69"/>
        </w:numPr>
        <w:shd w:val="clear" w:color="auto" w:fill="auto"/>
        <w:tabs>
          <w:tab w:pos="753" w:val="left"/>
        </w:tabs>
        <w:bidi w:val="0"/>
        <w:spacing w:before="0" w:after="0" w:line="313" w:lineRule="exact"/>
        <w:ind w:left="0" w:right="0" w:firstLine="380"/>
        <w:jc w:val="both"/>
      </w:pPr>
      <w:bookmarkStart w:id="1078" w:name="bookmark1078"/>
      <w:bookmarkEnd w:id="1078"/>
      <w:r>
        <w:rPr>
          <w:color w:val="000000"/>
          <w:spacing w:val="0"/>
          <w:w w:val="100"/>
          <w:position w:val="0"/>
        </w:rPr>
        <w:t>企业管理层能够定期评价该组成部分的经营成果，以决定向其配置资源、评价其业绩；</w:t>
      </w:r>
    </w:p>
    <w:p>
      <w:pPr>
        <w:pStyle w:val="Style29"/>
        <w:keepNext w:val="0"/>
        <w:keepLines w:val="0"/>
        <w:widowControl w:val="0"/>
        <w:numPr>
          <w:ilvl w:val="0"/>
          <w:numId w:val="69"/>
        </w:numPr>
        <w:shd w:val="clear" w:color="auto" w:fill="auto"/>
        <w:tabs>
          <w:tab w:pos="753" w:val="left"/>
        </w:tabs>
        <w:bidi w:val="0"/>
        <w:spacing w:before="0" w:after="0" w:line="313" w:lineRule="exact"/>
        <w:ind w:left="0" w:right="0" w:firstLine="380"/>
        <w:jc w:val="both"/>
      </w:pPr>
      <w:bookmarkStart w:id="1079" w:name="bookmark1079"/>
      <w:bookmarkEnd w:id="1079"/>
      <w:r>
        <w:rPr>
          <w:color w:val="000000"/>
          <w:spacing w:val="0"/>
          <w:w w:val="100"/>
          <w:position w:val="0"/>
        </w:rPr>
        <w:t>企业能够取得该组成部分的财务状况、经营成果和现金流量等有关会计信息。</w:t>
      </w:r>
    </w:p>
    <w:p>
      <w:pPr>
        <w:pStyle w:val="Style29"/>
        <w:keepNext w:val="0"/>
        <w:keepLines w:val="0"/>
        <w:widowControl w:val="0"/>
        <w:shd w:val="clear" w:color="auto" w:fill="auto"/>
        <w:tabs>
          <w:tab w:pos="820" w:val="left"/>
        </w:tabs>
        <w:bidi w:val="0"/>
        <w:spacing w:before="0" w:after="0" w:line="313" w:lineRule="exact"/>
        <w:ind w:left="0" w:right="0" w:firstLine="38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w:t>
        <w:tab/>
        <w:t>股份回购</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公司回购的股份在注销或者转让之前，作为库存股管理，回购股份的全部支出转作库存股成本。股份回购中支付的对价 和交易费用减少所有者权益，回购、转让或注销本公司股份时，不确认利得或损失。</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转让库存股，按实际收到的金额与库存股账面金额的差额，冲减资本公积，资本公积不足冲减的，冲减盈余公积和未分 配利润。注销库存股，按股票面值和注销股数减少股本，按注销库存股的账面余额与面值的差额，冲减资本公积，资本公积 不足冲减的，冲减盈余公积和未分配利润。</w:t>
      </w:r>
      <w:r>
        <w:br w:type="page"/>
      </w:r>
    </w:p>
    <w:p>
      <w:pPr>
        <w:pStyle w:val="Style32"/>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4</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81"/>
      <w:bookmarkEnd w:id="1082"/>
      <w:bookmarkEnd w:id="1084"/>
    </w:p>
    <w:p>
      <w:pPr>
        <w:pStyle w:val="Style32"/>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1"/>
      <w:bookmarkEnd w:id="1082"/>
      <w:bookmarkEnd w:id="1086"/>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根据</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日财政部发布 《关于印发修订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企业会计准则第</w:t>
            </w:r>
            <w:r>
              <w:rPr>
                <w:color w:val="000000"/>
                <w:spacing w:val="0"/>
                <w:w w:val="100"/>
                <w:position w:val="0"/>
              </w:rPr>
              <w:t xml:space="preserve">14 </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收入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的通知》</w:t>
            </w:r>
            <w:r>
              <w:rPr>
                <w:color w:val="000000"/>
                <w:spacing w:val="0"/>
                <w:w w:val="100"/>
                <w:position w:val="0"/>
              </w:rPr>
              <w:t>（</w:t>
            </w:r>
            <w:r>
              <w:rPr>
                <w:rFonts w:ascii="SimSun" w:eastAsia="SimSun" w:hAnsi="SimSun" w:cs="SimSun"/>
                <w:color w:val="000000"/>
                <w:spacing w:val="0"/>
                <w:w w:val="100"/>
                <w:position w:val="0"/>
              </w:rPr>
              <w:t>财会（</w:t>
            </w:r>
            <w:r>
              <w:rPr>
                <w:color w:val="000000"/>
                <w:spacing w:val="0"/>
                <w:w w:val="100"/>
                <w:position w:val="0"/>
              </w:rPr>
              <w:t>2017</w:t>
            </w:r>
            <w:r>
              <w:rPr>
                <w:rFonts w:ascii="SimSun" w:eastAsia="SimSun" w:hAnsi="SimSun" w:cs="SimSun"/>
                <w:color w:val="000000"/>
                <w:spacing w:val="0"/>
                <w:w w:val="100"/>
                <w:position w:val="0"/>
              </w:rPr>
              <w:t>〕</w:t>
            </w:r>
            <w:r>
              <w:rPr>
                <w:color w:val="000000"/>
                <w:spacing w:val="0"/>
                <w:w w:val="100"/>
                <w:position w:val="0"/>
              </w:rPr>
              <w:t>22</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 公司自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日起施行新 收入准则。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日召开的第七届董事 会第三次会议审议通过。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341" w:right="0" w:firstLine="0"/>
        <w:jc w:val="left"/>
      </w:pPr>
      <w:r>
        <w:rPr>
          <w:b/>
          <w:bCs/>
          <w:color w:val="000000"/>
          <w:spacing w:val="0"/>
          <w:w w:val="100"/>
          <w:position w:val="0"/>
        </w:rPr>
        <w:t>执行新收入准则导致的会计政策</w:t>
      </w:r>
    </w:p>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 准则</w:t>
      </w:r>
      <w:r>
        <w:rPr>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日起开始执行前述新收入准则。</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新收入准则为规范与客户之间的合同产生的收入建立了新的收入确认模型。为执行新收入准则，本公司重新评估主要合 同收入的确认和计量、核算和列报等方面。根据新收入准则的规定，选择仅对在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日尚未完成的合同的累积影响数 进行调整。首次执行的累积影响金额调整首次执行当期期初（即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日）的留存收益及财务报表其他相关项目金额， 对可比期间信息不予调整。</w:t>
      </w:r>
    </w:p>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执行新收入准则的主要变化和影响如下：</w:t>
      </w:r>
    </w:p>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—本公司将特种物联网业务收入由总额法变更为净额法核算，该项变更对</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年度营业收入和营业成本影响较大，对 </w:t>
      </w:r>
      <w:r>
        <w:rPr>
          <w:rFonts w:ascii="Times New Roman" w:eastAsia="Times New Roman" w:hAnsi="Times New Roman" w:cs="Times New Roman"/>
          <w:color w:val="000000"/>
          <w:spacing w:val="0"/>
          <w:w w:val="100"/>
          <w:position w:val="0"/>
        </w:rPr>
        <w:t>2020</w:t>
      </w:r>
      <w:r>
        <w:rPr>
          <w:color w:val="000000"/>
          <w:spacing w:val="0"/>
          <w:w w:val="100"/>
          <w:position w:val="0"/>
        </w:rPr>
        <w:t>年年末及</w:t>
      </w:r>
      <w:r>
        <w:rPr>
          <w:rFonts w:ascii="Times New Roman" w:eastAsia="Times New Roman" w:hAnsi="Times New Roman" w:cs="Times New Roman"/>
          <w:color w:val="000000"/>
          <w:spacing w:val="0"/>
          <w:w w:val="100"/>
          <w:position w:val="0"/>
        </w:rPr>
        <w:t>2020</w:t>
      </w:r>
      <w:r>
        <w:rPr>
          <w:color w:val="000000"/>
          <w:spacing w:val="0"/>
          <w:w w:val="100"/>
          <w:position w:val="0"/>
        </w:rPr>
        <w:t>年年初资产总额、负债总额和净资产未产生影响。</w:t>
      </w:r>
    </w:p>
    <w:p>
      <w:pPr>
        <w:pStyle w:val="Style29"/>
        <w:keepNext w:val="0"/>
        <w:keepLines w:val="0"/>
        <w:widowControl w:val="0"/>
        <w:shd w:val="clear" w:color="auto" w:fill="auto"/>
        <w:bidi w:val="0"/>
        <w:spacing w:before="0" w:after="120" w:line="322"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本公司将因转让商品而预先收取客户的合同对价从</w:t>
      </w:r>
      <w:r>
        <w:rPr>
          <w:rFonts w:ascii="Times New Roman" w:eastAsia="Times New Roman" w:hAnsi="Times New Roman" w:cs="Times New Roman"/>
          <w:color w:val="000000"/>
          <w:spacing w:val="0"/>
          <w:w w:val="100"/>
          <w:position w:val="0"/>
        </w:rPr>
        <w:t>“</w:t>
      </w:r>
      <w:r>
        <w:rPr>
          <w:color w:val="000000"/>
          <w:spacing w:val="0"/>
          <w:w w:val="100"/>
          <w:position w:val="0"/>
        </w:rPr>
        <w:t>预收款项</w:t>
      </w:r>
      <w:r>
        <w:rPr>
          <w:rFonts w:ascii="Times New Roman" w:eastAsia="Times New Roman" w:hAnsi="Times New Roman" w:cs="Times New Roman"/>
          <w:color w:val="000000"/>
          <w:spacing w:val="0"/>
          <w:w w:val="100"/>
          <w:position w:val="0"/>
        </w:rPr>
        <w:t>”</w:t>
      </w:r>
      <w:r>
        <w:rPr>
          <w:color w:val="000000"/>
          <w:spacing w:val="0"/>
          <w:w w:val="100"/>
          <w:position w:val="0"/>
        </w:rPr>
        <w:t>项目变更为</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项目列报。</w:t>
      </w:r>
    </w:p>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—本公司将原计入销售费用的运输费用，调整至合同履约成本。</w:t>
      </w:r>
    </w:p>
    <w:p>
      <w:pPr>
        <w:pStyle w:val="Style29"/>
        <w:keepNext w:val="0"/>
        <w:keepLines w:val="0"/>
        <w:widowControl w:val="0"/>
        <w:shd w:val="clear" w:color="auto" w:fill="auto"/>
        <w:bidi w:val="0"/>
        <w:spacing w:before="0" w:after="120" w:line="240" w:lineRule="auto"/>
        <w:ind w:left="0" w:right="0" w:firstLine="500"/>
        <w:jc w:val="both"/>
      </w:pPr>
      <w:r>
        <w:rPr>
          <w:b/>
          <w:bCs/>
          <w:color w:val="000000"/>
          <w:spacing w:val="0"/>
          <w:w w:val="100"/>
          <w:position w:val="0"/>
        </w:rPr>
        <w:t>对</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日财务报表的影响</w:t>
      </w:r>
    </w:p>
    <w:tbl>
      <w:tblPr>
        <w:tblOverlap w:val="never"/>
        <w:jc w:val="center"/>
        <w:tblLayout w:type="fixed"/>
      </w:tblPr>
      <w:tblGrid>
        <w:gridCol w:w="2102"/>
        <w:gridCol w:w="1843"/>
        <w:gridCol w:w="1699"/>
        <w:gridCol w:w="1843"/>
        <w:gridCol w:w="1766"/>
      </w:tblGrid>
      <w:tr>
        <w:trPr>
          <w:trHeight w:val="4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日（变更前）金额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日（变更后）金额</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公司报表</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59,695,621.54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3,361,804.24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55,106,019.76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3,075,151.56</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4,589,601.78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286,652.68</w:t>
            </w:r>
          </w:p>
        </w:tc>
      </w:tr>
    </w:tbl>
    <w:p>
      <w:pPr>
        <w:pStyle w:val="Style45"/>
        <w:keepNext w:val="0"/>
        <w:keepLines w:val="0"/>
        <w:widowControl w:val="0"/>
        <w:shd w:val="clear" w:color="auto" w:fill="auto"/>
        <w:bidi w:val="0"/>
        <w:spacing w:before="0" w:after="0" w:line="326" w:lineRule="exact"/>
        <w:ind w:left="0" w:right="0"/>
        <w:jc w:val="both"/>
      </w:pPr>
      <w:r>
        <w:rPr>
          <w:rFonts w:ascii="SimSun" w:eastAsia="SimSun" w:hAnsi="SimSun" w:cs="SimSun"/>
          <w:b/>
          <w:bCs/>
          <w:color w:val="000000"/>
          <w:spacing w:val="0"/>
          <w:w w:val="100"/>
          <w:position w:val="0"/>
        </w:rPr>
        <w:t>对</w:t>
      </w: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 xml:space="preserve">31 </w:t>
      </w:r>
      <w:r>
        <w:rPr>
          <w:rFonts w:ascii="SimSun" w:eastAsia="SimSun" w:hAnsi="SimSun" w:cs="SimSun"/>
          <w:b/>
          <w:bCs/>
          <w:color w:val="000000"/>
          <w:spacing w:val="0"/>
          <w:w w:val="100"/>
          <w:position w:val="0"/>
        </w:rPr>
        <w:t>0</w:t>
      </w:r>
      <w:r>
        <w:rPr>
          <w:b/>
          <w:bCs/>
          <w:color w:val="000000"/>
          <w:spacing w:val="0"/>
          <w:w w:val="100"/>
          <w:position w:val="0"/>
        </w:rPr>
        <w:t>/2020</w:t>
      </w:r>
      <w:r>
        <w:rPr>
          <w:rFonts w:ascii="SimSun" w:eastAsia="SimSun" w:hAnsi="SimSun" w:cs="SimSun"/>
          <w:b/>
          <w:bCs/>
          <w:color w:val="000000"/>
          <w:spacing w:val="0"/>
          <w:w w:val="100"/>
          <w:position w:val="0"/>
        </w:rPr>
        <w:t>年度的影响</w:t>
      </w:r>
    </w:p>
    <w:p>
      <w:pPr>
        <w:pStyle w:val="Style29"/>
        <w:keepNext w:val="0"/>
        <w:keepLines w:val="0"/>
        <w:widowControl w:val="0"/>
        <w:shd w:val="clear" w:color="auto" w:fill="auto"/>
        <w:bidi w:val="0"/>
        <w:spacing w:before="0" w:after="120" w:line="326" w:lineRule="exact"/>
        <w:ind w:left="0" w:right="0" w:firstLine="380"/>
        <w:jc w:val="both"/>
      </w:pPr>
      <w:r>
        <w:rPr>
          <w:color w:val="000000"/>
          <w:spacing w:val="0"/>
          <w:w w:val="100"/>
          <w:position w:val="0"/>
        </w:rPr>
        <w:t>采用变更后会计政策编制的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日合并及公司资产负债表各项目、</w:t>
      </w:r>
      <w:r>
        <w:rPr>
          <w:rFonts w:ascii="Times New Roman" w:eastAsia="Times New Roman" w:hAnsi="Times New Roman" w:cs="Times New Roman"/>
          <w:color w:val="000000"/>
          <w:spacing w:val="0"/>
          <w:w w:val="100"/>
          <w:position w:val="0"/>
        </w:rPr>
        <w:t>2020</w:t>
      </w:r>
      <w:r>
        <w:rPr>
          <w:color w:val="000000"/>
          <w:spacing w:val="0"/>
          <w:w w:val="100"/>
          <w:position w:val="0"/>
        </w:rPr>
        <w:t>年度合并及公司利润表各项目，与假定 采用变更前会计政策编制的这些报表项目相比，受影响项目对比情况如下：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日资产负债表的影响</w:t>
      </w:r>
    </w:p>
    <w:tbl>
      <w:tblPr>
        <w:tblOverlap w:val="never"/>
        <w:jc w:val="center"/>
        <w:tblLayout w:type="fixed"/>
      </w:tblPr>
      <w:tblGrid>
        <w:gridCol w:w="1392"/>
        <w:gridCol w:w="1949"/>
        <w:gridCol w:w="1949"/>
        <w:gridCol w:w="1949"/>
        <w:gridCol w:w="1982"/>
      </w:tblGrid>
      <w:tr>
        <w:trPr>
          <w:trHeight w:val="44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rFonts w:ascii="SimSun" w:eastAsia="SimSun" w:hAnsi="SimSun" w:cs="SimSun"/>
                <w:color w:val="000000"/>
                <w:spacing w:val="0"/>
                <w:w w:val="100"/>
                <w:position w:val="0"/>
              </w:rPr>
              <w:t>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日新收入准则下金额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日旧收入准则下金额</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公司报表</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83,942,563.78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71,261,483.95</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75,481,072.03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63,154,008.35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8,461,491.75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8,107,475.60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年度利润表的影响</w:t>
      </w:r>
    </w:p>
    <w:tbl>
      <w:tblPr>
        <w:tblOverlap w:val="never"/>
        <w:jc w:val="center"/>
        <w:tblLayout w:type="fixed"/>
      </w:tblPr>
      <w:tblGrid>
        <w:gridCol w:w="1392"/>
        <w:gridCol w:w="1949"/>
        <w:gridCol w:w="1949"/>
        <w:gridCol w:w="1949"/>
        <w:gridCol w:w="1982"/>
      </w:tblGrid>
      <w:tr>
        <w:trPr>
          <w:trHeight w:val="44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rFonts w:ascii="SimSun" w:eastAsia="SimSun" w:hAnsi="SimSun" w:cs="SimSun"/>
                <w:color w:val="000000"/>
                <w:spacing w:val="0"/>
                <w:w w:val="100"/>
                <w:position w:val="0"/>
              </w:rPr>
              <w:t>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年度新收入准则下金额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年度旧收入准则下金额</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公司报表</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1,052,163,738.15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915,758,098.80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1,488,230,995.32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915,758,098.80</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734,492,249.25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689,495,629.81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1,152,464,519.96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671,423,193.82</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63,509,759.30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41,121,058.46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81,604,745.76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59,193,494.45</w:t>
            </w:r>
          </w:p>
        </w:tc>
      </w:tr>
    </w:tbl>
    <w:p>
      <w:pPr>
        <w:widowControl w:val="0"/>
        <w:spacing w:after="999" w:line="1" w:lineRule="exact"/>
      </w:pPr>
    </w:p>
    <w:p>
      <w:pPr>
        <w:pStyle w:val="Style32"/>
        <w:keepNext/>
        <w:keepLines/>
        <w:widowControl w:val="0"/>
        <w:numPr>
          <w:ilvl w:val="0"/>
          <w:numId w:val="71"/>
        </w:numPr>
        <w:shd w:val="clear" w:color="auto" w:fill="auto"/>
        <w:tabs>
          <w:tab w:pos="488" w:val="left"/>
        </w:tabs>
        <w:bidi w:val="0"/>
        <w:spacing w:before="0" w:after="36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重要会计估计变更</w:t>
      </w:r>
      <w:bookmarkEnd w:id="1087"/>
      <w:bookmarkEnd w:id="1088"/>
      <w:bookmarkEnd w:id="10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71"/>
        </w:numPr>
        <w:shd w:val="clear" w:color="auto" w:fill="auto"/>
        <w:tabs>
          <w:tab w:pos="488" w:val="left"/>
        </w:tabs>
        <w:bidi w:val="0"/>
        <w:spacing w:before="0" w:after="360" w:line="240" w:lineRule="auto"/>
        <w:ind w:left="0" w:right="0" w:firstLine="0"/>
        <w:jc w:val="left"/>
      </w:pPr>
      <w:bookmarkStart w:id="1091" w:name="bookmark1091"/>
      <w:bookmarkStart w:id="1092" w:name="bookmark1092"/>
      <w:bookmarkStart w:id="1093" w:name="bookmark1093"/>
      <w:bookmarkStart w:id="1094" w:name="bookmark1094"/>
      <w:bookmarkEnd w:id="109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1"/>
      <w:bookmarkEnd w:id="1092"/>
      <w:bookmarkEnd w:id="10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503,576,108.14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503,576,108.14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379,200,000.00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229,523.40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229,523.40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121,175,949.73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121,175,949.73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508,668,368.08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508,668,368.08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8,789,026.91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8,789,026.91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201,828,732.88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201,828,732.88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2,690,045.47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2,690,045.47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1,726,181,011.06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1,726,181,011.06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210,630,598.55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210,630,598.55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21,030,000.00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177,832,871.02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177,832,871.02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23,124,534.68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23,124,534.68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123,553,374.44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123,553,374.44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56,939,563.90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56,939,563.90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5,234,172.30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5,234,172.30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5,189,123.46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5,189,123.46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623,534,238.35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623,534,238.35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2,349,715,249.41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2,349,715,249.41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217,186,217.57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217,186,217.57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59,695,621.54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-59,695,621.54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55,106,019.76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55,106,019.76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4,835,564.77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4,835,564.77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12,479,326.39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12,479,326.39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22,780,263.36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22,780,263.36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4,589,601.78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4,589,601.78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316,976,993.63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316,976,993.63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2,115,431.25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2,115,431.25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13,353,340.81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13,353,340.81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15,468,772.06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15,468,772.06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332,445,765.69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332,445,765.69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696,921,354.00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696,921,354.00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1,468,601.25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1,468,601.25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207,011,309.90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207,011,309.90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1,022,055,351.76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1,022,055,351.76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1,928,289,808.98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1,928,289,808.98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88,979,674.74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88,979,674.74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2,017,269,483.72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2,017,269,483.72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2,349,715,249.41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2,349,715,249.41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调整情况说明 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412,178,039.79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412,178,039.79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124,777,747.48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124,777,747.48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12,411,654.45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12,411,654.45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140,023,871.55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140,023,871.55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194,898,822.09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194,898,822.09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rFonts w:ascii="SimSun" w:eastAsia="SimSun" w:hAnsi="SimSun" w:cs="SimSun"/>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1,184,542,915.21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1,184,542,915.21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798,496,769.28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798,496,769.28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172,314,665.59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172,314,665.59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47,853,374.44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47,853,374.44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2,836,434.98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2,836,434.98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4,486,875.60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4,486,875.60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1,046,988,119.89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1,046,988,119.89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2,231,531,035.10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2,231,531,035.10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215,634,170.88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215,634,170.88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3,361,804.24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-3,361,804.24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3,075,151.56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3,075,151.56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10,577,748.62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10,577,748.62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21,021,856.71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21,021,856.71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286,652.68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286,652.68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250,641,296.55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250,641,296.55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2,092,500.00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2,092,500.00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1,998,340.81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1,998,340.81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4,090,840.81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4,090,840.81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254,732,137.36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254,732,137.36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696,921,354.00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696,921,354.00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15,636,112.82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15,636,112.82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207,011,309.90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207,011,309.90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1,057,230,121.02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1,057,230,121.02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1,976,798,897.74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1,976,798,897.74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2,231,531,035.10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2,231,531,035.10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2"/>
        <w:keepNext/>
        <w:keepLines/>
        <w:widowControl w:val="0"/>
        <w:numPr>
          <w:ilvl w:val="0"/>
          <w:numId w:val="71"/>
        </w:numPr>
        <w:shd w:val="clear" w:color="auto" w:fill="auto"/>
        <w:tabs>
          <w:tab w:pos="488" w:val="left"/>
        </w:tabs>
        <w:bidi w:val="0"/>
        <w:spacing w:before="0" w:after="260" w:line="240" w:lineRule="auto"/>
        <w:ind w:left="0" w:right="0" w:firstLine="0"/>
        <w:jc w:val="left"/>
      </w:pPr>
      <w:bookmarkStart w:id="1095" w:name="bookmark1095"/>
      <w:bookmarkStart w:id="1096" w:name="bookmark1096"/>
      <w:bookmarkStart w:id="1097" w:name="bookmark1097"/>
      <w:bookmarkStart w:id="1098" w:name="bookmark1098"/>
      <w:bookmarkEnd w:id="109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5"/>
      <w:bookmarkEnd w:id="1096"/>
      <w:bookmarkEnd w:id="1098"/>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4</w:t>
      </w:r>
      <w:bookmarkEnd w:id="110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99"/>
      <w:bookmarkEnd w:id="1100"/>
      <w:bookmarkEnd w:id="1102"/>
    </w:p>
    <w:p>
      <w:pPr>
        <w:pStyle w:val="Style29"/>
        <w:keepNext w:val="0"/>
        <w:keepLines w:val="0"/>
        <w:widowControl w:val="0"/>
        <w:shd w:val="clear" w:color="auto" w:fill="auto"/>
        <w:bidi w:val="0"/>
        <w:spacing w:before="0" w:line="312" w:lineRule="exact"/>
        <w:ind w:left="0" w:right="0" w:firstLine="380"/>
        <w:jc w:val="both"/>
      </w:pPr>
      <w:r>
        <w:rPr>
          <w:b/>
          <w:bCs/>
          <w:color w:val="000000"/>
          <w:spacing w:val="0"/>
          <w:w w:val="100"/>
          <w:position w:val="0"/>
        </w:rPr>
        <w:t>重大会计判断和估计</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公司在运用会计政策过程中，由于经营活动内在的不确定性，公司需要对无法准确计量的报表项目的账面价值进行判断、 估计和假设。这些判断、估计和假设是基于公司管理层过去的历史经验，并在考虑其他相关因素的基础上做出的。这些判断、 估计和假设会影响收入、费用、资产和负债的报告金额以及资产负债表日或有负债的披露。然而，这些估计的不确定性所导 致的实际结果可能与公司管理层当前的估计存在差异，进而造成对未来受影响的资产或负债的账面金额进行重大调整。</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公司对前述判断、估计和假设在持续经营的基础上进行定期复核，会计估计的变更仅影响变更当期的，其影响数在变更 当期予以确认；既影响变更当期又影响未来期间的，其影响数在变更当期和未来期间予以确认。</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于资产负债表日，公司需对财务报表项目金额进行判断、估计和假设的重要领域如下：</w:t>
      </w:r>
    </w:p>
    <w:p>
      <w:pPr>
        <w:pStyle w:val="Style29"/>
        <w:keepNext w:val="0"/>
        <w:keepLines w:val="0"/>
        <w:widowControl w:val="0"/>
        <w:numPr>
          <w:ilvl w:val="0"/>
          <w:numId w:val="73"/>
        </w:numPr>
        <w:shd w:val="clear" w:color="auto" w:fill="auto"/>
        <w:tabs>
          <w:tab w:pos="820" w:val="left"/>
        </w:tabs>
        <w:bidi w:val="0"/>
        <w:spacing w:before="0" w:line="312" w:lineRule="exact"/>
        <w:ind w:left="0" w:right="0" w:firstLine="380"/>
        <w:jc w:val="both"/>
      </w:pPr>
      <w:bookmarkStart w:id="1103" w:name="bookmark1103"/>
      <w:bookmarkEnd w:id="1103"/>
      <w:r>
        <w:rPr>
          <w:color w:val="000000"/>
          <w:spacing w:val="0"/>
          <w:w w:val="100"/>
          <w:position w:val="0"/>
        </w:rPr>
        <w:t>收入确认</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以下与收入确认相关的重大会计判断和估计适用于</w:t>
      </w:r>
      <w:r>
        <w:rPr>
          <w:rFonts w:ascii="Times New Roman" w:eastAsia="Times New Roman" w:hAnsi="Times New Roman" w:cs="Times New Roman"/>
          <w:color w:val="000000"/>
          <w:spacing w:val="0"/>
          <w:w w:val="100"/>
          <w:position w:val="0"/>
        </w:rPr>
        <w:t>2020</w:t>
      </w:r>
      <w:r>
        <w:rPr>
          <w:color w:val="000000"/>
          <w:spacing w:val="0"/>
          <w:w w:val="100"/>
          <w:position w:val="0"/>
        </w:rPr>
        <w:t>年度及以后：</w:t>
      </w:r>
    </w:p>
    <w:p>
      <w:pPr>
        <w:pStyle w:val="Style29"/>
        <w:keepNext w:val="0"/>
        <w:keepLines w:val="0"/>
        <w:widowControl w:val="0"/>
        <w:shd w:val="clear" w:color="auto" w:fill="auto"/>
        <w:bidi w:val="0"/>
        <w:spacing w:before="0" w:line="315" w:lineRule="exact"/>
        <w:ind w:left="0" w:right="0" w:firstLine="380"/>
        <w:jc w:val="both"/>
      </w:pPr>
      <w:r>
        <w:rPr>
          <w:color w:val="000000"/>
          <w:spacing w:val="0"/>
          <w:w w:val="100"/>
          <w:position w:val="0"/>
        </w:rPr>
        <w:t>如本附注五、</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所述，本公司在收入确认方面涉及到如下重大的会计判断和估计：识别客户合同；估计因向客 户转让商品而有权取得的对价的可收回性；识别合同中的履约义务；估计合同中存在的可变对价以及在相关不确定性消除时 累计已确认收入极可能不会发生重大转回的金额；合同中是否存在重大融资成分；估计合同中单项履约义务的单独售价；确 定履约义务是在某一时段内履行还是在某一时点履行；履约进度的确定，等等。</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本公司主要依靠过去的经验和工作作出判断，这些重大判断和估计变更都可能对变更当期或以后期间的营业收入、营业 成本，以及期间损益产生影响，且可能构成重大影响。</w:t>
      </w:r>
    </w:p>
    <w:p>
      <w:pPr>
        <w:pStyle w:val="Style29"/>
        <w:keepNext w:val="0"/>
        <w:keepLines w:val="0"/>
        <w:widowControl w:val="0"/>
        <w:numPr>
          <w:ilvl w:val="0"/>
          <w:numId w:val="73"/>
        </w:numPr>
        <w:shd w:val="clear" w:color="auto" w:fill="auto"/>
        <w:tabs>
          <w:tab w:pos="820" w:val="left"/>
        </w:tabs>
        <w:bidi w:val="0"/>
        <w:spacing w:before="0" w:line="312" w:lineRule="exact"/>
        <w:ind w:left="0" w:right="0" w:firstLine="380"/>
        <w:jc w:val="both"/>
      </w:pPr>
      <w:bookmarkStart w:id="1104" w:name="bookmark1104"/>
      <w:bookmarkEnd w:id="1104"/>
      <w:r>
        <w:rPr>
          <w:color w:val="000000"/>
          <w:spacing w:val="0"/>
          <w:w w:val="100"/>
          <w:position w:val="0"/>
        </w:rPr>
        <w:t>金融工具减值</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公司采用预期信用损失模型对金融工具的减值进行评估，应用预期信用损失模型需要做出重大判断和估计，需考虑所有 合理且有依据的信息，包括前瞻性信息。在做出该等判断和估计时，公司根据历史还款数据结合经济政策、宏观经济指标、 行业风险等因素推断债务人信用风险的预期变动。</w:t>
      </w:r>
    </w:p>
    <w:p>
      <w:pPr>
        <w:pStyle w:val="Style29"/>
        <w:keepNext w:val="0"/>
        <w:keepLines w:val="0"/>
        <w:widowControl w:val="0"/>
        <w:numPr>
          <w:ilvl w:val="0"/>
          <w:numId w:val="73"/>
        </w:numPr>
        <w:shd w:val="clear" w:color="auto" w:fill="auto"/>
        <w:tabs>
          <w:tab w:pos="820" w:val="left"/>
        </w:tabs>
        <w:bidi w:val="0"/>
        <w:spacing w:before="0" w:line="312" w:lineRule="exact"/>
        <w:ind w:left="0" w:right="0" w:firstLine="380"/>
        <w:jc w:val="both"/>
      </w:pPr>
      <w:bookmarkStart w:id="1105" w:name="bookmark1105"/>
      <w:bookmarkEnd w:id="1105"/>
      <w:r>
        <w:rPr>
          <w:color w:val="000000"/>
          <w:spacing w:val="0"/>
          <w:w w:val="100"/>
          <w:position w:val="0"/>
        </w:rPr>
        <w:t>存货跌价准备</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公司根据存货会计政策，按照成本与可变现净值孰低计量，对成本高于可变现净值及陈旧和滞销的存货，计提存货跌价 准备。存货减值至可变现净值是基于评估存货的可售性及其可变现净值。鉴定存货减值要求管理层在取得确凿证据，并且考 虑持有存货的目的、资产负债表日后事项的影响等因素的基础上作出判断和估计。实际的结果与原先估计的差异将在估计被 改变的期间影响存货的账面价值及存货跌价准备的计提或转回。</w:t>
      </w:r>
    </w:p>
    <w:p>
      <w:pPr>
        <w:pStyle w:val="Style29"/>
        <w:keepNext w:val="0"/>
        <w:keepLines w:val="0"/>
        <w:widowControl w:val="0"/>
        <w:numPr>
          <w:ilvl w:val="0"/>
          <w:numId w:val="73"/>
        </w:numPr>
        <w:shd w:val="clear" w:color="auto" w:fill="auto"/>
        <w:tabs>
          <w:tab w:pos="820" w:val="left"/>
        </w:tabs>
        <w:bidi w:val="0"/>
        <w:spacing w:before="0" w:line="312" w:lineRule="exact"/>
        <w:ind w:left="0" w:right="0" w:firstLine="380"/>
        <w:jc w:val="both"/>
      </w:pPr>
      <w:bookmarkStart w:id="1106" w:name="bookmark1106"/>
      <w:bookmarkEnd w:id="1106"/>
      <w:r>
        <w:rPr>
          <w:color w:val="000000"/>
          <w:spacing w:val="0"/>
          <w:w w:val="100"/>
          <w:position w:val="0"/>
        </w:rPr>
        <w:t>长期资产减值准备</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 xml:space="preserve">公司于资产负债表日对除金融资产之外的非流动资产判断是否存在可能发生减值的迹象。对使用寿命不确定的无形资 </w:t>
      </w:r>
      <w:r>
        <w:rPr>
          <w:color w:val="000000"/>
          <w:spacing w:val="0"/>
          <w:w w:val="100"/>
          <w:position w:val="0"/>
        </w:rPr>
        <w:t>产，除每年进行的减值测试外，当其存在减值迹象时，也进行减值测试。其他除金融资产之外的非流动资产，当存在迹象表 明其账面金额不可收回时，进行减值测试。</w:t>
      </w:r>
    </w:p>
    <w:p>
      <w:pPr>
        <w:pStyle w:val="Style29"/>
        <w:keepNext w:val="0"/>
        <w:keepLines w:val="0"/>
        <w:widowControl w:val="0"/>
        <w:shd w:val="clear" w:color="auto" w:fill="auto"/>
        <w:bidi w:val="0"/>
        <w:spacing w:before="0" w:line="307" w:lineRule="exact"/>
        <w:ind w:left="0" w:right="0" w:firstLine="380"/>
        <w:jc w:val="left"/>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在预计未来现金流量现值时，需要对该资产（或资产组）的产量、售价、相关经营成本以及计算现值时使用的折现率等 作出重大判断。公司在估计可收回金额时会采用所有能够获得的相关资料，包括根据合理和可支持的假设所作出有关产量、 售价和相关经营成本的预测。</w:t>
      </w:r>
    </w:p>
    <w:p>
      <w:pPr>
        <w:pStyle w:val="Style29"/>
        <w:keepNext w:val="0"/>
        <w:keepLines w:val="0"/>
        <w:widowControl w:val="0"/>
        <w:shd w:val="clear" w:color="auto" w:fill="auto"/>
        <w:tabs>
          <w:tab w:pos="808" w:val="left"/>
        </w:tabs>
        <w:bidi w:val="0"/>
        <w:spacing w:before="0" w:line="312" w:lineRule="exact"/>
        <w:ind w:left="0" w:right="0" w:firstLine="38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5</w:t>
      </w:r>
      <w:r>
        <w:rPr>
          <w:color w:val="000000"/>
          <w:spacing w:val="0"/>
          <w:w w:val="100"/>
          <w:position w:val="0"/>
        </w:rPr>
        <w:t>）</w:t>
        <w:tab/>
        <w:t>商誉减值准备</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在对商誉进行减值测试时，需对包含商誉的相关资产组或资产组组合的可收回金额进行估计，该金额根据其公允价值减 去处置费用后的净额与预计未来现金净流量的现值两者孰高确定。在计算未来现金流量现值时，需要对包含商誉的资产组或 资产组组合的未来现金流量进行预计，同时确定一个适当地反映当前市场货币时间价值和资产特定风险的税前折现率。</w:t>
      </w:r>
    </w:p>
    <w:p>
      <w:pPr>
        <w:pStyle w:val="Style29"/>
        <w:keepNext w:val="0"/>
        <w:keepLines w:val="0"/>
        <w:widowControl w:val="0"/>
        <w:shd w:val="clear" w:color="auto" w:fill="auto"/>
        <w:tabs>
          <w:tab w:pos="808" w:val="left"/>
        </w:tabs>
        <w:bidi w:val="0"/>
        <w:spacing w:before="0" w:line="312" w:lineRule="exact"/>
        <w:ind w:left="0" w:right="0" w:firstLine="38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折旧和摊销</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公司对投资性房地产、固定资产和无形资产在考虑其残值后，在使用寿命内按直线法计提折旧和摊销。公司定期复核使 用寿命，以决定将计入每个报告期的折旧和摊销费用数额。使用寿命是公司根据对同类资产的以往经验并结合预期的技术更 新而确定的。如果以前的估计发生重大变化，则会在未来期间对折旧和摊销费用进行调整。</w:t>
      </w:r>
    </w:p>
    <w:p>
      <w:pPr>
        <w:pStyle w:val="Style29"/>
        <w:keepNext w:val="0"/>
        <w:keepLines w:val="0"/>
        <w:widowControl w:val="0"/>
        <w:shd w:val="clear" w:color="auto" w:fill="auto"/>
        <w:tabs>
          <w:tab w:pos="808" w:val="left"/>
        </w:tabs>
        <w:bidi w:val="0"/>
        <w:spacing w:before="0" w:line="312" w:lineRule="exact"/>
        <w:ind w:left="0" w:right="0" w:firstLine="38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在很有可能有足够的应纳税利润来抵扣亏损的限度内，公司就所有未利用的税务亏损确认递延所得税资产。这需要公司 管理层运用大量的判断来估计未来应纳税利润发生的时间和金额，结合纳税筹划策略，以决定应确认的递延所得税资产的金 额。</w:t>
      </w:r>
    </w:p>
    <w:p>
      <w:pPr>
        <w:pStyle w:val="Style29"/>
        <w:keepNext w:val="0"/>
        <w:keepLines w:val="0"/>
        <w:widowControl w:val="0"/>
        <w:shd w:val="clear" w:color="auto" w:fill="auto"/>
        <w:tabs>
          <w:tab w:pos="808" w:val="left"/>
        </w:tabs>
        <w:bidi w:val="0"/>
        <w:spacing w:before="0" w:line="312" w:lineRule="exact"/>
        <w:ind w:left="0" w:right="0" w:firstLine="38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8</w:t>
      </w:r>
      <w:r>
        <w:rPr>
          <w:color w:val="000000"/>
          <w:spacing w:val="0"/>
          <w:w w:val="100"/>
          <w:position w:val="0"/>
        </w:rPr>
        <w:t>）</w:t>
        <w:tab/>
        <w:t>所得税</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公司在正常的经营活动中，有部分交易其最终的税务处理和计算存在一定的不确定性。部分项目是否能够在税前列支需 要税收主管机关的审批。如果这些税务事项的最终认定结果同最初估计的金额存在差异，则该差异将对其最终认定期间的当 期所得税和递延所得税产生影响。</w:t>
      </w:r>
    </w:p>
    <w:p>
      <w:pPr>
        <w:pStyle w:val="Style25"/>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sz w:val="24"/>
          <w:szCs w:val="24"/>
        </w:rPr>
        <w:t>六</w:t>
      </w:r>
      <w:bookmarkEnd w:id="1113"/>
      <w:r>
        <w:rPr>
          <w:color w:val="000000"/>
          <w:spacing w:val="0"/>
          <w:w w:val="100"/>
          <w:position w:val="0"/>
          <w:sz w:val="24"/>
          <w:szCs w:val="24"/>
        </w:rPr>
        <w:t>、税项</w:t>
      </w:r>
      <w:bookmarkEnd w:id="1111"/>
      <w:bookmarkEnd w:id="1112"/>
      <w:bookmarkEnd w:id="1114"/>
    </w:p>
    <w:p>
      <w:pPr>
        <w:pStyle w:val="Style32"/>
        <w:keepNext/>
        <w:keepLines/>
        <w:widowControl w:val="0"/>
        <w:shd w:val="clear" w:color="auto" w:fill="auto"/>
        <w:bidi w:val="0"/>
        <w:spacing w:before="0" w:after="32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color w:val="000000"/>
          <w:spacing w:val="0"/>
          <w:w w:val="100"/>
          <w:position w:val="0"/>
        </w:rPr>
        <w:t>、主要税种及税率</w:t>
      </w:r>
      <w:bookmarkEnd w:id="1115"/>
      <w:bookmarkEnd w:id="1116"/>
      <w:bookmarkEnd w:id="1118"/>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按销项税额扣除可抵扣进项税额后的 差额部分计缴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按应交增值税计缴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应纳税所得额按税率计算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按应交增值税计缴。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3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江苏恒宝智能系统技术有限公司（简称“恒宝智能”）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北京东方英卡数字信息技术有限公司（简称“东方英卡”）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恒宝国际有限责任公司（简称“恒宝国际”）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恒宝科技（印度）私人有限公司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ModularsoftSdn.Bhd </w:t>
            </w:r>
            <w:r>
              <w:rPr>
                <w:rFonts w:ascii="SimSun" w:eastAsia="SimSun" w:hAnsi="SimSun" w:cs="SimSun"/>
                <w:color w:val="000000"/>
                <w:spacing w:val="0"/>
                <w:w w:val="100"/>
                <w:position w:val="0"/>
              </w:rPr>
              <w:t xml:space="preserve">（简称 </w:t>
            </w:r>
            <w:r>
              <w:rPr>
                <w:rFonts w:ascii="SimSun" w:eastAsia="SimSun" w:hAnsi="SimSun" w:cs="SimSun"/>
                <w:color w:val="000000"/>
                <w:spacing w:val="0"/>
                <w:w w:val="100"/>
                <w:position w:val="0"/>
              </w:rPr>
              <w:t>“</w:t>
            </w:r>
            <w:r>
              <w:rPr>
                <w:color w:val="000000"/>
                <w:spacing w:val="0"/>
                <w:w w:val="100"/>
                <w:position w:val="0"/>
              </w:rPr>
              <w:t>MOD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Asia Smart Cards Centre（M）Sdn.Bhd.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简称 </w:t>
            </w:r>
            <w:r>
              <w:rPr>
                <w:rFonts w:ascii="SimSun" w:eastAsia="SimSun" w:hAnsi="SimSun" w:cs="SimSun"/>
                <w:color w:val="000000"/>
                <w:spacing w:val="0"/>
                <w:w w:val="100"/>
                <w:position w:val="0"/>
              </w:rPr>
              <w:t>“</w:t>
            </w:r>
            <w:r>
              <w:rPr>
                <w:color w:val="000000"/>
                <w:spacing w:val="0"/>
                <w:w w:val="100"/>
                <w:position w:val="0"/>
              </w:rPr>
              <w:t xml:space="preserve">ASCC </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Chipstone Technologies Pte Ltd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云宝金服（北京）科技有限公司（简称“云宝金服”）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云玥科技（上海）有限公司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深圳一卡易科技股份有限公司（简称“一卡易股份”）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深圳钱客多信息科技有限公司（简称“钱客多”）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深圳一卡易网络科技有限公司（简称“一卡易网络”）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恒宝（中东非洲）有限责任公司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PT.Chipstone Technologies Indonesia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海南省恒宝数字科技有限公司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恒宝物联网有限公司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恒宝润芯数字科技有限公司（简称“恒宝润芯”）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color w:val="000000"/>
          <w:spacing w:val="0"/>
          <w:w w:val="100"/>
          <w:position w:val="0"/>
        </w:rPr>
        <w:t>、</w:t>
        <w:tab/>
        <w:t>税收优惠</w:t>
      </w:r>
      <w:bookmarkEnd w:id="1119"/>
      <w:bookmarkEnd w:id="1120"/>
      <w:bookmarkEnd w:id="1122"/>
    </w:p>
    <w:p>
      <w:pPr>
        <w:pStyle w:val="Style29"/>
        <w:keepNext w:val="0"/>
        <w:keepLines w:val="0"/>
        <w:widowControl w:val="0"/>
        <w:shd w:val="clear" w:color="auto" w:fill="auto"/>
        <w:tabs>
          <w:tab w:pos="901" w:val="left"/>
        </w:tabs>
        <w:bidi w:val="0"/>
        <w:spacing w:before="0" w:line="302" w:lineRule="exact"/>
        <w:ind w:left="0" w:right="0" w:firstLine="38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公司及下属子公司一卡易股份、一卡易网络根据财政部、国家税务总局关于软件产品增值税政策的通知（财税 </w:t>
      </w:r>
      <w:r>
        <w:rPr>
          <w:rFonts w:ascii="Times New Roman" w:eastAsia="Times New Roman" w:hAnsi="Times New Roman" w:cs="Times New Roman"/>
          <w:color w:val="000000"/>
          <w:spacing w:val="0"/>
          <w:w w:val="100"/>
          <w:position w:val="0"/>
        </w:rPr>
        <w:t>[2011]100</w:t>
      </w:r>
      <w:r>
        <w:rPr>
          <w:color w:val="000000"/>
          <w:spacing w:val="0"/>
          <w:w w:val="100"/>
          <w:position w:val="0"/>
        </w:rPr>
        <w:t>号）的相关规定，软件产品按法定税率征收增值税后，对其增值税实际税负超过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的部分享受即征即退政策。</w:t>
      </w:r>
    </w:p>
    <w:p>
      <w:pPr>
        <w:pStyle w:val="Style29"/>
        <w:keepNext w:val="0"/>
        <w:keepLines w:val="0"/>
        <w:widowControl w:val="0"/>
        <w:shd w:val="clear" w:color="auto" w:fill="auto"/>
        <w:tabs>
          <w:tab w:pos="910" w:val="left"/>
        </w:tabs>
        <w:bidi w:val="0"/>
        <w:spacing w:before="0" w:line="317" w:lineRule="exact"/>
        <w:ind w:left="0" w:right="0" w:firstLine="38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[2012]27</w:t>
      </w:r>
      <w:r>
        <w:rPr>
          <w:color w:val="000000"/>
          <w:spacing w:val="0"/>
          <w:w w:val="100"/>
          <w:position w:val="0"/>
        </w:rPr>
        <w:t>号及财税</w:t>
      </w:r>
      <w:r>
        <w:rPr>
          <w:rFonts w:ascii="Times New Roman" w:eastAsia="Times New Roman" w:hAnsi="Times New Roman" w:cs="Times New Roman"/>
          <w:color w:val="000000"/>
          <w:spacing w:val="0"/>
          <w:w w:val="100"/>
          <w:position w:val="0"/>
        </w:rPr>
        <w:t>[2016]49</w:t>
      </w:r>
      <w:r>
        <w:rPr>
          <w:color w:val="000000"/>
          <w:spacing w:val="0"/>
          <w:w w:val="100"/>
          <w:position w:val="0"/>
        </w:rPr>
        <w:t>号规定，国家规划布局内的重点软件企业和集成电路设计企业，当年未享受免 税优惠，减按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29"/>
        <w:keepNext w:val="0"/>
        <w:keepLines w:val="0"/>
        <w:widowControl w:val="0"/>
        <w:shd w:val="clear" w:color="auto" w:fill="auto"/>
        <w:tabs>
          <w:tab w:pos="906" w:val="left"/>
        </w:tabs>
        <w:bidi w:val="0"/>
        <w:spacing w:before="0" w:line="312" w:lineRule="exact"/>
        <w:ind w:left="0" w:right="0" w:firstLine="380"/>
        <w:jc w:val="both"/>
      </w:pPr>
      <w:bookmarkStart w:id="1125" w:name="bookmark1125"/>
      <w:r>
        <w:rPr>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w:t>
        <w:tab/>
        <w:t>公司下属子公司一卡易股份于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日取得编号为</w:t>
      </w:r>
      <w:r>
        <w:rPr>
          <w:rFonts w:ascii="Times New Roman" w:eastAsia="Times New Roman" w:hAnsi="Times New Roman" w:cs="Times New Roman"/>
          <w:color w:val="000000"/>
          <w:spacing w:val="0"/>
          <w:w w:val="100"/>
          <w:position w:val="0"/>
        </w:rPr>
        <w:t>GR844204114</w:t>
      </w:r>
      <w:r>
        <w:rPr>
          <w:color w:val="000000"/>
          <w:spacing w:val="0"/>
          <w:w w:val="100"/>
          <w:position w:val="0"/>
        </w:rPr>
        <w:t>的高新技术企业证书，有效期三年，一卡易 股份</w:t>
      </w:r>
      <w:r>
        <w:rPr>
          <w:rFonts w:ascii="Times New Roman" w:eastAsia="Times New Roman" w:hAnsi="Times New Roman" w:cs="Times New Roman"/>
          <w:color w:val="000000"/>
          <w:spacing w:val="0"/>
          <w:w w:val="100"/>
          <w:position w:val="0"/>
        </w:rPr>
        <w:t>2020</w:t>
      </w:r>
      <w:r>
        <w:rPr>
          <w:color w:val="000000"/>
          <w:spacing w:val="0"/>
          <w:w w:val="100"/>
          <w:position w:val="0"/>
        </w:rPr>
        <w:t>年享受国家关于高新企业税收优惠政策，企业所得税减按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税率征收。</w:t>
      </w:r>
    </w:p>
    <w:p>
      <w:pPr>
        <w:pStyle w:val="Style29"/>
        <w:keepNext w:val="0"/>
        <w:keepLines w:val="0"/>
        <w:widowControl w:val="0"/>
        <w:shd w:val="clear" w:color="auto" w:fill="auto"/>
        <w:tabs>
          <w:tab w:pos="906" w:val="left"/>
        </w:tabs>
        <w:bidi w:val="0"/>
        <w:spacing w:before="0" w:after="720" w:line="319" w:lineRule="exact"/>
        <w:ind w:left="0" w:right="0" w:firstLine="380"/>
        <w:jc w:val="both"/>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[2019]13</w:t>
      </w:r>
      <w:r>
        <w:rPr>
          <w:color w:val="000000"/>
          <w:spacing w:val="0"/>
          <w:w w:val="100"/>
          <w:position w:val="0"/>
        </w:rPr>
        <w:t>号规定，对小型微利企业年应纳税所得额不超过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的税率缴纳企业所得税。公司下属子公司一卡易网络的企业所得税按上述规定征收。</w:t>
      </w:r>
    </w:p>
    <w:p>
      <w:pPr>
        <w:pStyle w:val="Style32"/>
        <w:keepNext/>
        <w:keepLines/>
        <w:widowControl w:val="0"/>
        <w:shd w:val="clear" w:color="auto" w:fill="auto"/>
        <w:tabs>
          <w:tab w:pos="378" w:val="left"/>
        </w:tabs>
        <w:bidi w:val="0"/>
        <w:spacing w:before="0" w:after="28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color w:val="000000"/>
          <w:spacing w:val="0"/>
          <w:w w:val="100"/>
          <w:position w:val="0"/>
        </w:rPr>
        <w:t>、</w:t>
        <w:tab/>
        <w:t>其他</w:t>
      </w:r>
      <w:bookmarkEnd w:id="1127"/>
      <w:bookmarkEnd w:id="1128"/>
      <w:bookmarkEnd w:id="1130"/>
    </w:p>
    <w:p>
      <w:pPr>
        <w:pStyle w:val="Style29"/>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无</w:t>
      </w:r>
      <w:r>
        <w:br w:type="page"/>
      </w:r>
    </w:p>
    <w:p>
      <w:pPr>
        <w:pStyle w:val="Style25"/>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sz w:val="24"/>
          <w:szCs w:val="24"/>
        </w:rPr>
        <w:t>七</w:t>
      </w:r>
      <w:bookmarkEnd w:id="1133"/>
      <w:r>
        <w:rPr>
          <w:color w:val="000000"/>
          <w:spacing w:val="0"/>
          <w:w w:val="100"/>
          <w:position w:val="0"/>
          <w:sz w:val="24"/>
          <w:szCs w:val="24"/>
        </w:rPr>
        <w:t>、合并财务报表项目注释</w:t>
      </w:r>
      <w:bookmarkEnd w:id="1131"/>
      <w:bookmarkEnd w:id="1132"/>
      <w:bookmarkEnd w:id="1134"/>
    </w:p>
    <w:p>
      <w:pPr>
        <w:pStyle w:val="Style32"/>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color w:val="000000"/>
          <w:spacing w:val="0"/>
          <w:w w:val="100"/>
          <w:position w:val="0"/>
        </w:rPr>
        <w:t>、货币资金</w:t>
      </w:r>
      <w:bookmarkEnd w:id="1135"/>
      <w:bookmarkEnd w:id="1136"/>
      <w:bookmarkEnd w:id="11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113,411.98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345,269.50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459,545,199.48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497,627,500.87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6,935,608.64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5,603,337.77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466,594,220.10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503,576,108.14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41,190,563.29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25,959,933.23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因抵押、质押或冻结等对使用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6,935,608.64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5,603,337.77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bookmarkEnd w:id="1141"/>
      <w:r>
        <w:rPr>
          <w:color w:val="000000"/>
          <w:spacing w:val="0"/>
          <w:w w:val="100"/>
          <w:position w:val="0"/>
        </w:rPr>
        <w:t>、交易性金融资产</w:t>
      </w:r>
      <w:bookmarkEnd w:id="1139"/>
      <w:bookmarkEnd w:id="1140"/>
      <w:bookmarkEnd w:id="11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863,892,886.64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379,200,000.00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863,892,886.64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379,200,000.00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863,892,886.64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379,200,000.00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color w:val="000000"/>
          <w:spacing w:val="0"/>
          <w:w w:val="100"/>
          <w:position w:val="0"/>
        </w:rPr>
        <w:t>、衍生金融资产</w:t>
      </w:r>
      <w:bookmarkEnd w:id="1143"/>
      <w:bookmarkEnd w:id="1144"/>
      <w:bookmarkEnd w:id="11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4</w:t>
      </w:r>
      <w:bookmarkEnd w:id="1149"/>
      <w:r>
        <w:rPr>
          <w:color w:val="000000"/>
          <w:spacing w:val="0"/>
          <w:w w:val="100"/>
          <w:position w:val="0"/>
        </w:rPr>
        <w:t>、应收票据</w:t>
      </w:r>
      <w:bookmarkEnd w:id="1147"/>
      <w:bookmarkEnd w:id="1148"/>
      <w:bookmarkEnd w:id="1150"/>
    </w:p>
    <w:p>
      <w:pPr>
        <w:pStyle w:val="Style32"/>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47"/>
      <w:bookmarkEnd w:id="1148"/>
      <w:bookmarkEnd w:id="11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64" w:right="1061" w:bottom="1421" w:left="1067"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229,523.40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229,523.40</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75"/>
        </w:numPr>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本期计提、收回或转回的坏账准备情况</w:t>
      </w:r>
      <w:bookmarkEnd w:id="1153"/>
      <w:bookmarkEnd w:id="1154"/>
      <w:bookmarkEnd w:id="11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75"/>
        </w:numPr>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期末公司已质押的应收票据</w:t>
      </w:r>
      <w:bookmarkEnd w:id="1157"/>
      <w:bookmarkEnd w:id="1158"/>
      <w:bookmarkEnd w:id="116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bl>
    <w:p>
      <w:pPr>
        <w:widowControl w:val="0"/>
        <w:spacing w:after="299" w:line="1" w:lineRule="exact"/>
      </w:pPr>
    </w:p>
    <w:p>
      <w:pPr>
        <w:pStyle w:val="Style32"/>
        <w:keepNext/>
        <w:keepLines/>
        <w:widowControl w:val="0"/>
        <w:numPr>
          <w:ilvl w:val="0"/>
          <w:numId w:val="75"/>
        </w:numPr>
        <w:shd w:val="clear" w:color="auto" w:fill="auto"/>
        <w:bidi w:val="0"/>
        <w:spacing w:before="0" w:after="10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期末公司已背书或贴现且在资产负债表日尚未到期的应收票据</w:t>
      </w:r>
      <w:bookmarkEnd w:id="1161"/>
      <w:bookmarkEnd w:id="1162"/>
      <w:bookmarkEnd w:id="1164"/>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bl>
    <w:p>
      <w:pPr>
        <w:widowControl w:val="0"/>
        <w:spacing w:after="359" w:line="1" w:lineRule="exact"/>
      </w:pPr>
    </w:p>
    <w:p>
      <w:pPr>
        <w:pStyle w:val="Style32"/>
        <w:keepNext/>
        <w:keepLines/>
        <w:widowControl w:val="0"/>
        <w:numPr>
          <w:ilvl w:val="0"/>
          <w:numId w:val="75"/>
        </w:numPr>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期末公司因出票人未履约而将其转应收账款的票据</w:t>
      </w:r>
      <w:bookmarkEnd w:id="1165"/>
      <w:bookmarkEnd w:id="1166"/>
      <w:bookmarkEnd w:id="11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numPr>
          <w:ilvl w:val="0"/>
          <w:numId w:val="75"/>
        </w:numPr>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本期实际核销的应收票据情况</w:t>
      </w:r>
      <w:bookmarkEnd w:id="1169"/>
      <w:bookmarkEnd w:id="1170"/>
      <w:bookmarkEnd w:id="11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5</w:t>
      </w:r>
      <w:bookmarkEnd w:id="1175"/>
      <w:r>
        <w:rPr>
          <w:color w:val="000000"/>
          <w:spacing w:val="0"/>
          <w:w w:val="100"/>
          <w:position w:val="0"/>
        </w:rPr>
        <w:t>、应收账款</w:t>
      </w:r>
      <w:bookmarkEnd w:id="1173"/>
      <w:bookmarkEnd w:id="1174"/>
      <w:bookmarkEnd w:id="1176"/>
    </w:p>
    <w:p>
      <w:pPr>
        <w:pStyle w:val="Style32"/>
        <w:keepNext/>
        <w:keepLines/>
        <w:widowControl w:val="0"/>
        <w:numPr>
          <w:ilvl w:val="0"/>
          <w:numId w:val="77"/>
        </w:numPr>
        <w:shd w:val="clear" w:color="auto" w:fill="auto"/>
        <w:bidi w:val="0"/>
        <w:spacing w:before="0" w:after="360" w:line="240" w:lineRule="auto"/>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应收账款分类披露</w:t>
      </w:r>
      <w:bookmarkEnd w:id="1173"/>
      <w:bookmarkEnd w:id="1174"/>
      <w:bookmarkEnd w:id="11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170,33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6,682.4</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21,270,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12.49</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149,06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6,277.6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138,03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7,392.9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16,861,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121,175,</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rPr>
                <w:sz w:val="30"/>
                <w:szCs w:val="30"/>
              </w:rPr>
            </w:pPr>
            <w:r>
              <w:rPr>
                <w:rFonts w:ascii="SimSun" w:eastAsia="SimSun" w:hAnsi="SimSun" w:cs="SimSun"/>
                <w:color w:val="000000"/>
                <w:spacing w:val="0"/>
                <w:w w:val="100"/>
                <w:position w:val="0"/>
                <w:sz w:val="18"/>
                <w:szCs w:val="18"/>
              </w:rPr>
              <w:t xml:space="preserve">其中：行业类型及 客户信用等级组 </w:t>
            </w:r>
            <w:r>
              <w:rPr>
                <w:rFonts w:ascii="SimSun" w:eastAsia="SimSun" w:hAnsi="SimSun" w:cs="SimSun"/>
                <w:color w:val="000000"/>
                <w:spacing w:val="0"/>
                <w:w w:val="100"/>
                <w:position w:val="0"/>
                <w:sz w:val="30"/>
                <w:szCs w:val="30"/>
                <w:vertAlign w:val="subscript"/>
              </w:rPr>
              <w:t>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170,33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6,682.4</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21,270,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12.49</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149,06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6,277.6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138,03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7,392.9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16,861,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121,175,</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949.73</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170,33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6,682.4</w:t>
            </w:r>
          </w:p>
          <w:p>
            <w:pPr>
              <w:pStyle w:val="Style2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21,270,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12.49</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149,06</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6,277.6</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138,03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7,392.9</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16,861,</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121,175,</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949.73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按组合计提坏账准备：行业类型及客户信用等级</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24,797,875.90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2,219,502.58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34,470,676.04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5,463,484.16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15.85%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28,463,300.96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1,516,277.95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4,466,796.98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1,068,520.60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模块封装客户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49,542,448.72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5,656,142.88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28,595,583.86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5,346,476.67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170,336,682.46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21,270,404.84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计提比例</w:t>
            </w:r>
          </w:p>
        </w:tc>
      </w:tr>
    </w:tbl>
    <w:p>
      <w:pPr>
        <w:widowControl w:val="0"/>
        <w:spacing w:after="11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145,528,666.49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4,353,628.88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8,567,779.39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11,886,607.70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11,886,607.70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170,336,682.46</w:t>
            </w:r>
          </w:p>
        </w:tc>
      </w:tr>
    </w:tbl>
    <w:p>
      <w:pPr>
        <w:widowControl w:val="0"/>
        <w:spacing w:after="299" w:line="1" w:lineRule="exact"/>
      </w:pPr>
    </w:p>
    <w:p>
      <w:pPr>
        <w:pStyle w:val="Style32"/>
        <w:keepNext/>
        <w:keepLines/>
        <w:widowControl w:val="0"/>
        <w:numPr>
          <w:ilvl w:val="0"/>
          <w:numId w:val="77"/>
        </w:numPr>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本期计提、收回或转回的坏账准备情况</w:t>
      </w:r>
      <w:bookmarkEnd w:id="1179"/>
      <w:bookmarkEnd w:id="1180"/>
      <w:bookmarkEnd w:id="118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5467"/>
        <w:gridCol w:w="1373"/>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16,861,443.17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4,728,474.77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-319,513.10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21,270,404.84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16,861,443.17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4,728,474.77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-319,513.10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21,270,404.84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3"/>
      <w:bookmarkEnd w:id="1184"/>
      <w:bookmarkEnd w:id="11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87"/>
      <w:bookmarkEnd w:id="1188"/>
      <w:bookmarkEnd w:id="1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31,763,200.85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317,632.01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10,647,650.70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106,476.51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8,989,800.15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89,898.00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7,121,136.70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71,211.37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5,353,026.58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26,765.13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63,874,814.98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488"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91"/>
      <w:bookmarkEnd w:id="1192"/>
      <w:bookmarkEnd w:id="1194"/>
    </w:p>
    <w:p>
      <w:pPr>
        <w:pStyle w:val="Style32"/>
        <w:keepNext/>
        <w:keepLines/>
        <w:widowControl w:val="0"/>
        <w:shd w:val="clear" w:color="auto" w:fill="auto"/>
        <w:tabs>
          <w:tab w:pos="488" w:val="left"/>
        </w:tabs>
        <w:bidi w:val="0"/>
        <w:spacing w:before="0" w:line="240" w:lineRule="auto"/>
        <w:ind w:left="0" w:right="0" w:firstLine="0"/>
        <w:jc w:val="left"/>
      </w:pPr>
      <w:bookmarkStart w:id="1191" w:name="bookmark1191"/>
      <w:bookmarkStart w:id="1192" w:name="bookmark1192"/>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91"/>
      <w:bookmarkEnd w:id="1192"/>
      <w:bookmarkEnd w:id="1196"/>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6</w:t>
      </w:r>
      <w:bookmarkEnd w:id="1199"/>
      <w:r>
        <w:rPr>
          <w:color w:val="000000"/>
          <w:spacing w:val="0"/>
          <w:w w:val="100"/>
          <w:position w:val="0"/>
        </w:rPr>
        <w:t>、应收款项融资</w:t>
      </w:r>
      <w:bookmarkEnd w:id="1197"/>
      <w:bookmarkEnd w:id="1198"/>
      <w:bookmarkEnd w:id="1200"/>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47,636.80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23,256.45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47,636.80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23,256.45</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公司视日常管理的需要将一部分银行承兑汇票进行贴现和背书，且符合终止确认的条件，故将银行承兑汇票分类为以公 允价值计量且其变动计入其他综合收益的金融资产。</w:t>
      </w:r>
    </w:p>
    <w:p>
      <w:pPr>
        <w:pStyle w:val="Style29"/>
        <w:keepNext w:val="0"/>
        <w:keepLines w:val="0"/>
        <w:widowControl w:val="0"/>
        <w:shd w:val="clear" w:color="auto" w:fill="auto"/>
        <w:bidi w:val="0"/>
        <w:spacing w:before="0" w:after="720" w:line="317"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日止，应收款项融资中无已背书或已贴现但尚未到期的应收票据。</w:t>
      </w:r>
    </w:p>
    <w:p>
      <w:pPr>
        <w:pStyle w:val="Style32"/>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7</w:t>
      </w:r>
      <w:bookmarkEnd w:id="1203"/>
      <w:r>
        <w:rPr>
          <w:color w:val="000000"/>
          <w:spacing w:val="0"/>
          <w:w w:val="100"/>
          <w:position w:val="0"/>
        </w:rPr>
        <w:t>、预付款项</w:t>
      </w:r>
      <w:bookmarkEnd w:id="1201"/>
      <w:bookmarkEnd w:id="1202"/>
      <w:bookmarkEnd w:id="1204"/>
    </w:p>
    <w:p>
      <w:pPr>
        <w:pStyle w:val="Style32"/>
        <w:keepNext/>
        <w:keepLines/>
        <w:widowControl w:val="0"/>
        <w:numPr>
          <w:ilvl w:val="0"/>
          <w:numId w:val="79"/>
        </w:numPr>
        <w:shd w:val="clear" w:color="auto" w:fill="auto"/>
        <w:bidi w:val="0"/>
        <w:spacing w:before="0" w:line="240" w:lineRule="auto"/>
        <w:ind w:left="0" w:right="0" w:firstLine="0"/>
        <w:jc w:val="left"/>
      </w:pPr>
      <w:bookmarkStart w:id="1201" w:name="bookmark1201"/>
      <w:bookmarkStart w:id="1202" w:name="bookmark1202"/>
      <w:bookmarkStart w:id="1205" w:name="bookmark1205"/>
      <w:bookmarkStart w:id="1206" w:name="bookmark1206"/>
      <w:bookmarkEnd w:id="1205"/>
      <w:r>
        <w:rPr>
          <w:color w:val="000000"/>
          <w:spacing w:val="0"/>
          <w:w w:val="100"/>
          <w:position w:val="0"/>
        </w:rPr>
        <w:t>预付款项按账龄列示</w:t>
      </w:r>
      <w:bookmarkEnd w:id="1201"/>
      <w:bookmarkEnd w:id="1202"/>
      <w:bookmarkEnd w:id="12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7,078,010.63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508,628,084.35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269,714.53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25,322.30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14,961.43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7,388,008.89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508,668,368.08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39" w:line="1" w:lineRule="exact"/>
      </w:pPr>
    </w:p>
    <w:p>
      <w:pPr>
        <w:pStyle w:val="Style32"/>
        <w:keepNext/>
        <w:keepLines/>
        <w:widowControl w:val="0"/>
        <w:numPr>
          <w:ilvl w:val="0"/>
          <w:numId w:val="79"/>
        </w:numPr>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按预付对象归集的期末余额前五名的预付款情况</w:t>
      </w:r>
      <w:bookmarkEnd w:id="1207"/>
      <w:bookmarkEnd w:id="1208"/>
      <w:bookmarkEnd w:id="1210"/>
    </w:p>
    <w:tbl>
      <w:tblPr>
        <w:tblOverlap w:val="never"/>
        <w:jc w:val="center"/>
        <w:tblLayout w:type="fixed"/>
      </w:tblPr>
      <w:tblGrid>
        <w:gridCol w:w="2458"/>
        <w:gridCol w:w="2347"/>
        <w:gridCol w:w="2352"/>
        <w:gridCol w:w="2357"/>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与公司关系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占总金额比例</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678,000.00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9.18%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634,179.20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8.58%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609,037.17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8.24%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562,406.82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7.62%</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3,767,623.19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r>
    </w:tbl>
    <w:p>
      <w:pPr>
        <w:widowControl w:val="0"/>
        <w:spacing w:after="339" w:line="1" w:lineRule="exact"/>
      </w:pPr>
    </w:p>
    <w:p>
      <w:pPr>
        <w:pStyle w:val="Style29"/>
        <w:keepNext w:val="0"/>
        <w:keepLines w:val="0"/>
        <w:widowControl w:val="0"/>
        <w:shd w:val="clear" w:color="auto" w:fill="auto"/>
        <w:bidi w:val="0"/>
        <w:spacing w:before="0" w:after="180" w:line="240" w:lineRule="auto"/>
        <w:ind w:left="0" w:right="0" w:firstLine="0"/>
        <w:jc w:val="left"/>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13" w:right="1110" w:bottom="1573" w:left="1108" w:header="0" w:footer="3" w:gutter="0"/>
          <w:cols w:space="720"/>
          <w:noEndnote/>
          <w:titlePg/>
          <w:rtlGutter w:val="0"/>
          <w:docGrid w:linePitch="360"/>
        </w:sectPr>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8</w:t>
      </w:r>
      <w:bookmarkEnd w:id="1213"/>
      <w:r>
        <w:rPr>
          <w:color w:val="000000"/>
          <w:spacing w:val="0"/>
          <w:w w:val="100"/>
          <w:position w:val="0"/>
        </w:rPr>
        <w:t>、其他应收款</w:t>
      </w:r>
      <w:bookmarkEnd w:id="1211"/>
      <w:bookmarkEnd w:id="1212"/>
      <w:bookmarkEnd w:id="12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6,989,764.44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8,789,026.91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6,989,764.44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8,789,026.91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5"/>
      <w:bookmarkEnd w:id="1216"/>
      <w:bookmarkEnd w:id="1218"/>
    </w:p>
    <w:p>
      <w:pPr>
        <w:pStyle w:val="Style32"/>
        <w:keepNext/>
        <w:keepLines/>
        <w:widowControl w:val="0"/>
        <w:shd w:val="clear" w:color="auto" w:fill="auto"/>
        <w:bidi w:val="0"/>
        <w:spacing w:before="0" w:line="240" w:lineRule="auto"/>
        <w:ind w:left="0" w:right="0" w:firstLine="0"/>
        <w:jc w:val="both"/>
      </w:pPr>
      <w:bookmarkStart w:id="1215" w:name="bookmark1215"/>
      <w:bookmarkStart w:id="1216" w:name="bookmark1216"/>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color w:val="000000"/>
          <w:spacing w:val="0"/>
          <w:w w:val="100"/>
          <w:position w:val="0"/>
        </w:rPr>
        <w:t>）应收利息分类</w:t>
      </w:r>
      <w:bookmarkEnd w:id="1215"/>
      <w:bookmarkEnd w:id="1216"/>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color w:val="000000"/>
          <w:spacing w:val="0"/>
          <w:w w:val="100"/>
          <w:position w:val="0"/>
        </w:rPr>
        <w:t>）重要逾期利息</w:t>
      </w:r>
      <w:bookmarkEnd w:id="1221"/>
      <w:bookmarkEnd w:id="1222"/>
      <w:bookmarkEnd w:id="122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3</w:t>
      </w:r>
      <w:bookmarkEnd w:id="1227"/>
      <w:r>
        <w:rPr>
          <w:color w:val="000000"/>
          <w:spacing w:val="0"/>
          <w:w w:val="100"/>
          <w:position w:val="0"/>
        </w:rPr>
        <w:t>）坏账准备计提情况</w:t>
      </w:r>
      <w:bookmarkEnd w:id="1225"/>
      <w:bookmarkEnd w:id="1226"/>
      <w:bookmarkEnd w:id="1228"/>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9"/>
      <w:bookmarkEnd w:id="1230"/>
      <w:bookmarkEnd w:id="1232"/>
    </w:p>
    <w:p>
      <w:pPr>
        <w:pStyle w:val="Style32"/>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）应收股利分类</w:t>
      </w:r>
      <w:bookmarkEnd w:id="1229"/>
      <w:bookmarkEnd w:id="1230"/>
      <w:bookmarkEnd w:id="123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35"/>
      <w:bookmarkEnd w:id="1236"/>
      <w:bookmarkEnd w:id="123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）坏账准备计提情况</w:t>
      </w:r>
      <w:bookmarkEnd w:id="1239"/>
      <w:bookmarkEnd w:id="1240"/>
      <w:bookmarkEnd w:id="124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both"/>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43"/>
      <w:bookmarkEnd w:id="1244"/>
      <w:bookmarkEnd w:id="1246"/>
    </w:p>
    <w:p>
      <w:pPr>
        <w:pStyle w:val="Style32"/>
        <w:keepNext/>
        <w:keepLines/>
        <w:widowControl w:val="0"/>
        <w:shd w:val="clear" w:color="auto" w:fill="auto"/>
        <w:bidi w:val="0"/>
        <w:spacing w:before="0" w:after="360" w:line="240" w:lineRule="auto"/>
        <w:ind w:left="0" w:right="0" w:firstLine="0"/>
        <w:jc w:val="both"/>
      </w:pPr>
      <w:bookmarkStart w:id="1243" w:name="bookmark1243"/>
      <w:bookmarkStart w:id="1244" w:name="bookmark1244"/>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color w:val="000000"/>
          <w:spacing w:val="0"/>
          <w:w w:val="100"/>
          <w:position w:val="0"/>
        </w:rPr>
        <w:t>）其他应收款按款项性质分类情况</w:t>
      </w:r>
      <w:bookmarkEnd w:id="1243"/>
      <w:bookmarkEnd w:id="1244"/>
      <w:bookmarkEnd w:id="12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7,373,600.38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10,507,321.62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代垫款及备用金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8,755,838.05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6,939,045.99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16,129,438.43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17,446,367.61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color w:val="000000"/>
          <w:spacing w:val="0"/>
          <w:w w:val="100"/>
          <w:position w:val="0"/>
        </w:rPr>
        <w:t>）坏账准备计提情况</w:t>
      </w:r>
      <w:bookmarkEnd w:id="1249"/>
      <w:bookmarkEnd w:id="1250"/>
      <w:bookmarkEnd w:id="12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772,162.04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7,885,178.66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8,657,340.70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685,499.01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-178,953.19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506,545.82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-24,212.53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-24,212.53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1,433,448.52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7,706,225.47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9,139,673.99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5,751,775.63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2,470,377.33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201,060.00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7,706,225.47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7,706,225.47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16,129,438.43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color w:val="000000"/>
          <w:spacing w:val="0"/>
          <w:w w:val="100"/>
          <w:position w:val="0"/>
        </w:rPr>
        <w:t>）本期计提、收回或转回的坏账准备情况</w:t>
      </w:r>
      <w:bookmarkEnd w:id="1253"/>
      <w:bookmarkEnd w:id="1254"/>
      <w:bookmarkEnd w:id="1256"/>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本期计提坏账准备情况：</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其他应收款坏</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8,657,340.7</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506,545.82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-24,212.53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9,139,673.99</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8,657,340.7</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506,545.82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-24,212.53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9,139,673.99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4</w:t>
      </w:r>
      <w:bookmarkEnd w:id="1259"/>
      <w:r>
        <w:rPr>
          <w:color w:val="000000"/>
          <w:spacing w:val="0"/>
          <w:w w:val="100"/>
          <w:position w:val="0"/>
        </w:rPr>
        <w:t>）本期实际核销的其他应收款情况</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5</w:t>
      </w:r>
      <w:bookmarkEnd w:id="1263"/>
      <w:r>
        <w:rPr>
          <w:color w:val="000000"/>
          <w:spacing w:val="0"/>
          <w:w w:val="100"/>
          <w:position w:val="0"/>
        </w:rPr>
        <w:t>）按欠款方归集的期末余额前五名的其他应收款情况</w:t>
      </w:r>
      <w:bookmarkEnd w:id="1261"/>
      <w:bookmarkEnd w:id="1262"/>
      <w:bookmarkEnd w:id="1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4,233,360.84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4,233,360.84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777,600.00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6,844,960.84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5,821,300.84</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6</w:t>
      </w:r>
      <w:bookmarkEnd w:id="1267"/>
      <w:r>
        <w:rPr>
          <w:color w:val="000000"/>
          <w:spacing w:val="0"/>
          <w:w w:val="100"/>
          <w:position w:val="0"/>
        </w:rPr>
        <w:t>）涉及政府补助的应收款项</w:t>
      </w:r>
      <w:bookmarkEnd w:id="1265"/>
      <w:bookmarkEnd w:id="1266"/>
      <w:bookmarkEnd w:id="12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 额及依据</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type w:val="continuous"/>
          <w:pgSz w:w="11900" w:h="16840"/>
          <w:pgMar w:top="1313" w:right="1110" w:bottom="1573" w:left="1108" w:header="0" w:footer="3" w:gutter="0"/>
          <w:cols w:space="720"/>
          <w:noEndnote/>
          <w:rtlGutter w:val="0"/>
          <w:docGrid w:linePitch="360"/>
        </w:sectPr>
      </w:pPr>
    </w:p>
    <w:p>
      <w:pPr>
        <w:pStyle w:val="Style32"/>
        <w:keepNext/>
        <w:keepLines/>
        <w:widowControl w:val="0"/>
        <w:shd w:val="clear" w:color="auto" w:fill="auto"/>
        <w:tabs>
          <w:tab w:pos="387" w:val="left"/>
        </w:tabs>
        <w:bidi w:val="0"/>
        <w:spacing w:before="54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7</w:t>
      </w:r>
      <w:bookmarkEnd w:id="1271"/>
      <w:r>
        <w:rPr>
          <w:color w:val="000000"/>
          <w:spacing w:val="0"/>
          <w:w w:val="100"/>
          <w:position w:val="0"/>
        </w:rPr>
        <w:t>）</w:t>
        <w:tab/>
        <w:t>因金融资产转移而终止确认的其他应收款</w:t>
      </w:r>
      <w:bookmarkEnd w:id="1269"/>
      <w:bookmarkEnd w:id="1270"/>
      <w:bookmarkEnd w:id="1272"/>
    </w:p>
    <w:p>
      <w:pPr>
        <w:pStyle w:val="Style32"/>
        <w:keepNext/>
        <w:keepLines/>
        <w:widowControl w:val="0"/>
        <w:shd w:val="clear" w:color="auto" w:fill="auto"/>
        <w:tabs>
          <w:tab w:pos="392" w:val="left"/>
        </w:tabs>
        <w:bidi w:val="0"/>
        <w:spacing w:before="0" w:line="240" w:lineRule="auto"/>
        <w:ind w:left="0" w:right="0" w:firstLine="0"/>
        <w:jc w:val="both"/>
      </w:pPr>
      <w:bookmarkStart w:id="1269" w:name="bookmark1269"/>
      <w:bookmarkStart w:id="1270" w:name="bookmark1270"/>
      <w:bookmarkStart w:id="1273" w:name="bookmark1273"/>
      <w:bookmarkStart w:id="1274" w:name="bookmark1274"/>
      <w:r>
        <w:rPr>
          <w:rFonts w:ascii="Times New Roman" w:eastAsia="Times New Roman" w:hAnsi="Times New Roman" w:cs="Times New Roman"/>
          <w:color w:val="000000"/>
          <w:spacing w:val="0"/>
          <w:w w:val="100"/>
          <w:position w:val="0"/>
        </w:rPr>
        <w:t>8</w:t>
      </w:r>
      <w:bookmarkEnd w:id="1273"/>
      <w:r>
        <w:rPr>
          <w:color w:val="000000"/>
          <w:spacing w:val="0"/>
          <w:w w:val="100"/>
          <w:position w:val="0"/>
        </w:rPr>
        <w:t>）</w:t>
        <w:tab/>
        <w:t>转移其他应收款且继续涉入形成的资产、负债金额</w:t>
      </w:r>
      <w:bookmarkEnd w:id="1269"/>
      <w:bookmarkEnd w:id="1270"/>
      <w:bookmarkEnd w:id="1274"/>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9</w:t>
      </w:r>
      <w:bookmarkEnd w:id="1277"/>
      <w:r>
        <w:rPr>
          <w:color w:val="000000"/>
          <w:spacing w:val="0"/>
          <w:w w:val="100"/>
          <w:position w:val="0"/>
        </w:rPr>
        <w:t>、存货</w:t>
      </w:r>
      <w:bookmarkEnd w:id="1275"/>
      <w:bookmarkEnd w:id="1276"/>
      <w:bookmarkEnd w:id="1278"/>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9"/>
      <w:bookmarkEnd w:id="1280"/>
      <w:bookmarkEnd w:id="12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81,008,671.88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8,599,469.55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72,409,202.33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29,052,240.78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5,537,315.03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23,514,925.75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29,834,352.80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29,834,352.80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28,292,542.23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28,292,542.23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144,302,792.29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2,485,307.67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141,817,484.62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151,621,882.45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1,985,697.73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149,636,184.72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374,834.48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374,834.48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385,080.18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255,520,651.45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11,084,777.22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244,435,874.23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209,351,745.64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7,523,012.76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201,828,732.88</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3"/>
      <w:bookmarkEnd w:id="1284"/>
      <w:bookmarkEnd w:id="12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5,537,315.03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3,381,133.44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8,599,469.55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1,985,697.73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722,913.07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2,485,307.67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7,523,012.76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4,104,046.51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542,282.05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11,084,777.22</w:t>
            </w:r>
          </w:p>
        </w:tc>
      </w:tr>
    </w:tbl>
    <w:p>
      <w:pPr>
        <w:widowControl w:val="0"/>
        <w:spacing w:after="339" w:line="1" w:lineRule="exact"/>
      </w:pPr>
    </w:p>
    <w:p>
      <w:pPr>
        <w:pStyle w:val="Style32"/>
        <w:keepNext/>
        <w:keepLines/>
        <w:widowControl w:val="0"/>
        <w:shd w:val="clear" w:color="auto" w:fill="auto"/>
        <w:tabs>
          <w:tab w:pos="488" w:val="left"/>
        </w:tabs>
        <w:bidi w:val="0"/>
        <w:spacing w:before="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7"/>
      <w:bookmarkEnd w:id="1288"/>
      <w:bookmarkEnd w:id="1290"/>
    </w:p>
    <w:p>
      <w:pPr>
        <w:pStyle w:val="Style32"/>
        <w:keepNext/>
        <w:keepLines/>
        <w:widowControl w:val="0"/>
        <w:shd w:val="clear" w:color="auto" w:fill="auto"/>
        <w:tabs>
          <w:tab w:pos="488" w:val="left"/>
        </w:tabs>
        <w:bidi w:val="0"/>
        <w:spacing w:before="0" w:line="240" w:lineRule="auto"/>
        <w:ind w:left="0" w:right="0" w:firstLine="0"/>
        <w:jc w:val="both"/>
      </w:pPr>
      <w:bookmarkStart w:id="1287" w:name="bookmark1287"/>
      <w:bookmarkStart w:id="1288" w:name="bookmark1288"/>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7"/>
      <w:bookmarkEnd w:id="1288"/>
      <w:bookmarkEnd w:id="1292"/>
    </w:p>
    <w:p>
      <w:pPr>
        <w:pStyle w:val="Style32"/>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87"/>
      <w:bookmarkEnd w:id="1288"/>
      <w:bookmarkEnd w:id="1294"/>
      <w:r>
        <w:br w:type="page"/>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95"/>
      <w:bookmarkEnd w:id="1296"/>
      <w:bookmarkEnd w:id="129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99"/>
      <w:bookmarkEnd w:id="1300"/>
      <w:bookmarkEnd w:id="1302"/>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03"/>
      <w:bookmarkEnd w:id="1304"/>
      <w:bookmarkEnd w:id="13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11,598,657.05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1,199,842.54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2,365,789.34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1,490,202.93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13,964,446.39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2,690,045.47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07"/>
      <w:bookmarkEnd w:id="1308"/>
      <w:bookmarkEnd w:id="13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1"/>
      <w:bookmarkEnd w:id="1312"/>
      <w:bookmarkEnd w:id="131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2"/>
        <w:gridCol w:w="1037"/>
        <w:gridCol w:w="1032"/>
        <w:gridCol w:w="1032"/>
        <w:gridCol w:w="1042"/>
      </w:tblGrid>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140" w:right="0" w:firstLine="0"/>
              <w:jc w:val="left"/>
            </w:pPr>
            <w:r>
              <w:rPr>
                <w:rFonts w:ascii="SimSun" w:eastAsia="SimSun" w:hAnsi="SimSun" w:cs="SimSun"/>
                <w:color w:val="000000"/>
                <w:spacing w:val="0"/>
                <w:w w:val="100"/>
                <w:position w:val="0"/>
              </w:rPr>
              <w:t>本期公允 价值变动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37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15"/>
      <w:bookmarkEnd w:id="1316"/>
      <w:bookmarkEnd w:id="1318"/>
    </w:p>
    <w:p>
      <w:pPr>
        <w:pStyle w:val="Style32"/>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15"/>
      <w:bookmarkEnd w:id="1316"/>
      <w:bookmarkEnd w:id="132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折现率区间</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8" w:val="left"/>
        </w:tabs>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1"/>
      <w:bookmarkEnd w:id="1322"/>
      <w:bookmarkEnd w:id="1324"/>
    </w:p>
    <w:p>
      <w:pPr>
        <w:pStyle w:val="Style32"/>
        <w:keepNext/>
        <w:keepLines/>
        <w:widowControl w:val="0"/>
        <w:shd w:val="clear" w:color="auto" w:fill="auto"/>
        <w:tabs>
          <w:tab w:pos="488" w:val="left"/>
        </w:tabs>
        <w:bidi w:val="0"/>
        <w:spacing w:before="0" w:after="360" w:line="240" w:lineRule="auto"/>
        <w:ind w:left="0" w:right="0" w:firstLine="0"/>
        <w:jc w:val="left"/>
      </w:pPr>
      <w:bookmarkStart w:id="1321" w:name="bookmark1321"/>
      <w:bookmarkStart w:id="1322" w:name="bookmark1322"/>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21"/>
      <w:bookmarkEnd w:id="1322"/>
      <w:bookmarkEnd w:id="132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27"/>
      <w:bookmarkEnd w:id="1328"/>
      <w:bookmarkEnd w:id="13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其他权 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上海恒</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毓投资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210,63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3,529,5</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2,526,8</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216,68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中心</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 合伙）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210,63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0,598.5</w:t>
            </w:r>
          </w:p>
          <w:p>
            <w:pPr>
              <w:pStyle w:val="Style2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3,529,5</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2,526,8</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216,68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6,984.3</w:t>
            </w:r>
          </w:p>
          <w:p>
            <w:pPr>
              <w:pStyle w:val="Style2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210,63</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0,598.5</w:t>
            </w:r>
          </w:p>
          <w:p>
            <w:pPr>
              <w:pStyle w:val="Style2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3,529,5</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2,526,8</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216,68</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6,984.3</w:t>
            </w:r>
          </w:p>
          <w:p>
            <w:pPr>
              <w:pStyle w:val="Style2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1"/>
      <w:bookmarkEnd w:id="1332"/>
      <w:bookmarkEnd w:id="13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南京盛宇涌鑫股权投资中心（有限合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江苏丹阳农村商业银行股份有限公司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耐思生活环保科技（北京）有限公司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21,030,000.00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5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其他综合收益</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转入留存收益</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指定为以公允 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其他综合收益 转入留存收益 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35"/>
      <w:bookmarkEnd w:id="1336"/>
      <w:bookmarkEnd w:id="13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39"/>
      <w:bookmarkEnd w:id="1340"/>
      <w:bookmarkEnd w:id="1342"/>
    </w:p>
    <w:p>
      <w:pPr>
        <w:pStyle w:val="Style32"/>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39"/>
      <w:bookmarkEnd w:id="1340"/>
      <w:bookmarkEnd w:id="134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numPr>
          <w:ilvl w:val="0"/>
          <w:numId w:val="81"/>
        </w:numPr>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采用公允价值计量模式的投资性房地产</w:t>
      </w:r>
      <w:bookmarkEnd w:id="1345"/>
      <w:bookmarkEnd w:id="1346"/>
      <w:bookmarkEnd w:id="134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81"/>
        </w:numPr>
        <w:shd w:val="clear" w:color="auto" w:fill="auto"/>
        <w:bidi w:val="0"/>
        <w:spacing w:before="0" w:after="36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未办妥产权证书的投资性房地产情况</w:t>
      </w:r>
      <w:bookmarkEnd w:id="1349"/>
      <w:bookmarkEnd w:id="1350"/>
      <w:bookmarkEnd w:id="13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53"/>
      <w:bookmarkEnd w:id="1354"/>
      <w:bookmarkEnd w:id="13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313,581,913.10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177,832,871.02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313,581,913.10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177,832,871.02</w:t>
            </w:r>
          </w:p>
        </w:tc>
      </w:tr>
    </w:tbl>
    <w:p>
      <w:pPr>
        <w:widowControl w:val="0"/>
        <w:spacing w:after="359" w:line="1" w:lineRule="exact"/>
      </w:pPr>
    </w:p>
    <w:p>
      <w:pPr>
        <w:pStyle w:val="Style32"/>
        <w:keepNext/>
        <w:keepLines/>
        <w:widowControl w:val="0"/>
        <w:numPr>
          <w:ilvl w:val="0"/>
          <w:numId w:val="83"/>
        </w:numPr>
        <w:shd w:val="clear" w:color="auto" w:fill="auto"/>
        <w:bidi w:val="0"/>
        <w:spacing w:before="0" w:after="360" w:line="240" w:lineRule="auto"/>
        <w:ind w:left="0" w:right="0" w:firstLine="22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固定资产情况</w:t>
      </w:r>
      <w:bookmarkEnd w:id="1357"/>
      <w:bookmarkEnd w:id="1358"/>
      <w:bookmarkEnd w:id="136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通用设备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172,031,751.53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393,150,836.41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6,445,871.56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29,350,863.39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600,979,322.89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147,418,263.03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4,629,085.15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8,146,558.47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2,008,032.69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162,201,939.34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113,449,822.66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4,722,400.17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8,147,737.01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2,020,933.33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128,340,893.17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 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33,968,440.37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33,968,440.37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)外币报表折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-93,315.02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-12,900.64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-107,394.20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2,348,495.90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429,463.00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146,695.38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2,968,254.28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2,348,495.90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429,463.00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146,695.38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2,968,254.28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319,406,414.56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395,431,425.66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14,162,967.03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31,212,200.70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760,213,007.95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86,973,747.66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306,726,730.87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4,846,144.89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24,599,828.45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423,146,451.87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5,707,160.17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16,862,419.86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1,246,668.55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1,499,799.74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25,316,048.32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5,707,160.17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16,954,188.62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1,247,844.48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1,514,110.52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25,423,303.79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）外币报表折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-91,768.76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-14,310.78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-107,255.47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1,246,879.22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407,989.85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135,116.27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1,831,405.34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1,246,879.22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407,989.85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135,116.27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1,831,405.34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92,639,487.83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322,342,271.51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5,684,823.59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25,964,511.92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446,631,094.85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226,766,926.73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73,089,154.15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8,478,143.44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5,247,688.78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313,581,913.10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85,058,003.87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86,424,105.54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1,599,726.67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4,751,034.94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177,832,871.02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61"/>
      <w:bookmarkEnd w:id="1362"/>
      <w:bookmarkEnd w:id="136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备注</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65"/>
      <w:bookmarkEnd w:id="1366"/>
      <w:bookmarkEnd w:id="1368"/>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299" w:line="1" w:lineRule="exact"/>
      </w:pPr>
    </w:p>
    <w:p>
      <w:pPr>
        <w:pStyle w:val="Style32"/>
        <w:keepNext/>
        <w:keepLines/>
        <w:widowControl w:val="0"/>
        <w:numPr>
          <w:ilvl w:val="0"/>
          <w:numId w:val="81"/>
        </w:numPr>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通过经营租赁租出的固定资产</w:t>
      </w:r>
      <w:bookmarkEnd w:id="1369"/>
      <w:bookmarkEnd w:id="1370"/>
      <w:bookmarkEnd w:id="13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299" w:line="1" w:lineRule="exact"/>
      </w:pPr>
    </w:p>
    <w:p>
      <w:pPr>
        <w:pStyle w:val="Style32"/>
        <w:keepNext/>
        <w:keepLines/>
        <w:widowControl w:val="0"/>
        <w:numPr>
          <w:ilvl w:val="0"/>
          <w:numId w:val="81"/>
        </w:numPr>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未办妥产权证书的固定资产情况</w:t>
      </w:r>
      <w:bookmarkEnd w:id="1373"/>
      <w:bookmarkEnd w:id="1374"/>
      <w:bookmarkEnd w:id="13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恒宝智能南京办公用房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33,161,689.91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恒宝润芯上海办公用房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111,926,605.50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bookmarkStart w:id="1377" w:name="bookmark1377"/>
      <w:r>
        <w:rPr>
          <w:color w:val="000000"/>
          <w:spacing w:val="0"/>
          <w:w w:val="100"/>
          <w:position w:val="0"/>
        </w:rPr>
        <w:t>其</w:t>
      </w:r>
      <w:bookmarkEnd w:id="1377"/>
      <w:r>
        <w:rPr>
          <w:color w:val="000000"/>
          <w:spacing w:val="0"/>
          <w:w w:val="100"/>
          <w:position w:val="0"/>
        </w:rPr>
        <w:t>他说明</w:t>
      </w:r>
    </w:p>
    <w:p>
      <w:pPr>
        <w:pStyle w:val="Style32"/>
        <w:keepNext/>
        <w:keepLines/>
        <w:widowControl w:val="0"/>
        <w:numPr>
          <w:ilvl w:val="0"/>
          <w:numId w:val="81"/>
        </w:numPr>
        <w:shd w:val="clear" w:color="auto" w:fill="auto"/>
        <w:bidi w:val="0"/>
        <w:spacing w:before="0" w:after="360" w:line="240" w:lineRule="auto"/>
        <w:ind w:left="0" w:right="0" w:firstLine="0"/>
        <w:jc w:val="both"/>
      </w:pPr>
      <w:bookmarkStart w:id="1378" w:name="bookmark1378"/>
      <w:bookmarkStart w:id="1379" w:name="bookmark1379"/>
      <w:bookmarkStart w:id="1380" w:name="bookmark1380"/>
      <w:bookmarkStart w:id="1381" w:name="bookmark1381"/>
      <w:bookmarkEnd w:id="1380"/>
      <w:r>
        <w:rPr>
          <w:color w:val="000000"/>
          <w:spacing w:val="0"/>
          <w:w w:val="100"/>
          <w:position w:val="0"/>
        </w:rPr>
        <w:t>固定资产清理</w:t>
      </w:r>
      <w:bookmarkEnd w:id="1378"/>
      <w:bookmarkEnd w:id="1379"/>
      <w:bookmarkEnd w:id="13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82"/>
      <w:bookmarkEnd w:id="1383"/>
      <w:bookmarkEnd w:id="13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3,837,623.75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23,124,534.68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3,837,623.75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23,124,534.68</w:t>
            </w:r>
          </w:p>
        </w:tc>
      </w:tr>
    </w:tbl>
    <w:p>
      <w:pPr>
        <w:widowControl w:val="0"/>
        <w:spacing w:after="299" w:line="1" w:lineRule="exact"/>
      </w:pPr>
    </w:p>
    <w:p>
      <w:pPr>
        <w:pStyle w:val="Style32"/>
        <w:keepNext/>
        <w:keepLines/>
        <w:widowControl w:val="0"/>
        <w:numPr>
          <w:ilvl w:val="0"/>
          <w:numId w:val="85"/>
        </w:numPr>
        <w:shd w:val="clear" w:color="auto" w:fill="auto"/>
        <w:bidi w:val="0"/>
        <w:spacing w:before="0" w:after="36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在建工程情况</w:t>
      </w:r>
      <w:bookmarkEnd w:id="1386"/>
      <w:bookmarkEnd w:id="1387"/>
      <w:bookmarkEnd w:id="13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恒宝智能南京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23,124,534.68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23,124,534.68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恒宝股份办公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3,837,623.75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3,837,623.75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3,837,623.75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3,837,623.75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23,124,534.68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23,124,534.68</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90"/>
      <w:bookmarkEnd w:id="1391"/>
      <w:bookmarkEnd w:id="13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 增加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160"/>
              <w:jc w:val="both"/>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6" w:lineRule="exact"/>
              <w:ind w:left="18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 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其中：</w:t>
            </w:r>
          </w:p>
          <w:p>
            <w:pPr>
              <w:pStyle w:val="Style22"/>
              <w:keepNext w:val="0"/>
              <w:keepLines w:val="0"/>
              <w:widowControl w:val="0"/>
              <w:shd w:val="clear" w:color="auto" w:fill="auto"/>
              <w:bidi w:val="0"/>
              <w:spacing w:before="0" w:after="0" w:line="293" w:lineRule="exact"/>
              <w:ind w:left="180" w:right="0" w:firstLine="0"/>
              <w:jc w:val="left"/>
            </w:pPr>
            <w:r>
              <w:rPr>
                <w:rFonts w:ascii="SimSun" w:eastAsia="SimSun" w:hAnsi="SimSun" w:cs="SimSun"/>
                <w:color w:val="000000"/>
                <w:spacing w:val="0"/>
                <w:w w:val="100"/>
                <w:position w:val="0"/>
              </w:rPr>
              <w:t>本期</w:t>
            </w:r>
          </w:p>
          <w:p>
            <w:pPr>
              <w:pStyle w:val="Style22"/>
              <w:keepNext w:val="0"/>
              <w:keepLines w:val="0"/>
              <w:widowControl w:val="0"/>
              <w:shd w:val="clear" w:color="auto" w:fill="auto"/>
              <w:bidi w:val="0"/>
              <w:spacing w:before="0" w:after="0" w:line="293" w:lineRule="exact"/>
              <w:ind w:left="180" w:right="0" w:firstLine="0"/>
              <w:jc w:val="left"/>
            </w:pPr>
            <w:r>
              <w:rPr>
                <w:rFonts w:ascii="SimSun" w:eastAsia="SimSun" w:hAnsi="SimSun" w:cs="SimSun"/>
                <w:color w:val="000000"/>
                <w:spacing w:val="0"/>
                <w:w w:val="100"/>
                <w:position w:val="0"/>
              </w:rPr>
              <w:t>利息</w:t>
            </w:r>
          </w:p>
          <w:p>
            <w:pPr>
              <w:pStyle w:val="Style22"/>
              <w:keepNext w:val="0"/>
              <w:keepLines w:val="0"/>
              <w:widowControl w:val="0"/>
              <w:shd w:val="clear" w:color="auto" w:fill="auto"/>
              <w:bidi w:val="0"/>
              <w:spacing w:before="0" w:after="0" w:line="293" w:lineRule="exact"/>
              <w:ind w:left="180" w:right="0" w:firstLine="0"/>
              <w:jc w:val="left"/>
            </w:pPr>
            <w:r>
              <w:rPr>
                <w:rFonts w:ascii="SimSun" w:eastAsia="SimSun" w:hAnsi="SimSun" w:cs="SimSun"/>
                <w:color w:val="000000"/>
                <w:spacing w:val="0"/>
                <w:w w:val="100"/>
                <w:position w:val="0"/>
              </w:rPr>
              <w:t>资本 化金</w:t>
            </w:r>
          </w:p>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 来源</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恒宝 智能 南京 办公 楼项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32,695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23,124</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,534.6</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10,843</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,905.6</w:t>
            </w:r>
          </w:p>
          <w:p>
            <w:pPr>
              <w:pStyle w:val="Style2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33,968</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,440.3</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恒宝 股份 办公 楼装 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6,100,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3,837,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3,837,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62.91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62.91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38,795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23,124</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,534.6</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14,681</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,529.4</w:t>
            </w:r>
          </w:p>
          <w:p>
            <w:pPr>
              <w:pStyle w:val="Style2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33,968</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,440.3</w:t>
            </w:r>
          </w:p>
          <w:p>
            <w:pPr>
              <w:pStyle w:val="Style2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3,837,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623.75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94"/>
      <w:bookmarkEnd w:id="1395"/>
      <w:bookmarkEnd w:id="13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98"/>
      <w:bookmarkEnd w:id="1399"/>
      <w:bookmarkEnd w:id="14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02"/>
      <w:bookmarkEnd w:id="1403"/>
      <w:bookmarkEnd w:id="1405"/>
    </w:p>
    <w:p>
      <w:pPr>
        <w:pStyle w:val="Style32"/>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02"/>
      <w:bookmarkEnd w:id="1403"/>
      <w:bookmarkEnd w:id="140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85"/>
        </w:numPr>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采用公允价值计量模式的生产性生物资产</w:t>
      </w:r>
      <w:bookmarkEnd w:id="1408"/>
      <w:bookmarkEnd w:id="1409"/>
      <w:bookmarkEnd w:id="141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2"/>
      <w:bookmarkEnd w:id="1413"/>
      <w:bookmarkEnd w:id="1415"/>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16"/>
      <w:bookmarkEnd w:id="1417"/>
      <w:bookmarkEnd w:id="141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20"/>
      <w:bookmarkEnd w:id="1421"/>
      <w:bookmarkEnd w:id="1423"/>
    </w:p>
    <w:p>
      <w:pPr>
        <w:pStyle w:val="Style32"/>
        <w:keepNext/>
        <w:keepLines/>
        <w:widowControl w:val="0"/>
        <w:numPr>
          <w:ilvl w:val="0"/>
          <w:numId w:val="87"/>
        </w:numPr>
        <w:shd w:val="clear" w:color="auto" w:fill="auto"/>
        <w:bidi w:val="0"/>
        <w:spacing w:before="0" w:after="360" w:line="240" w:lineRule="auto"/>
        <w:ind w:left="0" w:right="0" w:firstLine="0"/>
        <w:jc w:val="both"/>
      </w:pPr>
      <w:bookmarkStart w:id="1420" w:name="bookmark1420"/>
      <w:bookmarkStart w:id="1421" w:name="bookmark1421"/>
      <w:bookmarkStart w:id="1424" w:name="bookmark1424"/>
      <w:bookmarkStart w:id="1425" w:name="bookmark1425"/>
      <w:bookmarkEnd w:id="1424"/>
      <w:r>
        <w:rPr>
          <w:color w:val="000000"/>
          <w:spacing w:val="0"/>
          <w:w w:val="100"/>
          <w:position w:val="0"/>
        </w:rPr>
        <w:t>无形资产情况</w:t>
      </w:r>
      <w:bookmarkEnd w:id="1420"/>
      <w:bookmarkEnd w:id="1421"/>
      <w:bookmarkEnd w:id="14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商标使用权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30,525,565.74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91,747,249.47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134,478,000.00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276,750,815.21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-2,425.12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)外币报表折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-2,425.12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30,525,565.74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91,744,824.35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134,478,000.00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276,748,390.09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7,442,726.79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38,977,725.98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60,778,000.00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125,198,452.77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624,664.00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3,560,800.95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13,400,000.00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19,585,464.95</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624,664.00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3,563,226.07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19,587,890.07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）外币报表折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-2,425.12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8,067,390.79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42,538,526.93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74,178,000.00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144,783,917.72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27,998,988.00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27,998,988.00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56,198,300.00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56,198,300.00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56,198,300.00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56,198,300.00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27,998,988.00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56,198,300.00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84,197,288.00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22,458,174.95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21,207,309.42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47,767,184.37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23,082,838.95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24,770,535.49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123,553,374.44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6"/>
      <w:bookmarkEnd w:id="1427"/>
      <w:bookmarkEnd w:id="1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30"/>
      <w:bookmarkEnd w:id="1431"/>
      <w:bookmarkEnd w:id="143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内部开发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确认为无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转入当期</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支出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形资产</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34"/>
      <w:bookmarkEnd w:id="1435"/>
      <w:bookmarkEnd w:id="1437"/>
    </w:p>
    <w:p>
      <w:pPr>
        <w:pStyle w:val="Style32"/>
        <w:keepNext/>
        <w:keepLines/>
        <w:widowControl w:val="0"/>
        <w:numPr>
          <w:ilvl w:val="0"/>
          <w:numId w:val="89"/>
        </w:numPr>
        <w:shd w:val="clear" w:color="auto" w:fill="auto"/>
        <w:bidi w:val="0"/>
        <w:spacing w:before="0" w:line="240" w:lineRule="auto"/>
        <w:ind w:left="0" w:right="0" w:firstLine="0"/>
        <w:jc w:val="left"/>
      </w:pPr>
      <w:bookmarkStart w:id="1434" w:name="bookmark1434"/>
      <w:bookmarkStart w:id="1435" w:name="bookmark1435"/>
      <w:bookmarkStart w:id="1438" w:name="bookmark1438"/>
      <w:bookmarkStart w:id="1439" w:name="bookmark1439"/>
      <w:bookmarkEnd w:id="1438"/>
      <w:r>
        <w:rPr>
          <w:color w:val="000000"/>
          <w:spacing w:val="0"/>
          <w:w w:val="100"/>
          <w:position w:val="0"/>
        </w:rPr>
        <w:t>商誉账面原值</w:t>
      </w:r>
      <w:bookmarkEnd w:id="1434"/>
      <w:bookmarkEnd w:id="1435"/>
      <w:bookmarkEnd w:id="1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被投资单位名 称或形成商誉</w:t>
            </w:r>
          </w:p>
          <w:p>
            <w:pPr>
              <w:pStyle w:val="Style22"/>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北京东方英卡 数字信息技术 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深圳一卡易科 技股份有限公 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收购马来西亚 境内两家子公 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4,425,017.47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4,425,017.47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86,398,241.14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86,398,241.14</w:t>
            </w:r>
          </w:p>
        </w:tc>
      </w:tr>
    </w:tbl>
    <w:p>
      <w:pPr>
        <w:widowControl w:val="0"/>
        <w:spacing w:after="339" w:line="1" w:lineRule="exact"/>
      </w:pPr>
    </w:p>
    <w:p>
      <w:pPr>
        <w:pStyle w:val="Style32"/>
        <w:keepNext/>
        <w:keepLines/>
        <w:widowControl w:val="0"/>
        <w:numPr>
          <w:ilvl w:val="0"/>
          <w:numId w:val="89"/>
        </w:numPr>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商誉减值准备</w:t>
      </w:r>
      <w:bookmarkEnd w:id="1440"/>
      <w:bookmarkEnd w:id="1441"/>
      <w:bookmarkEnd w:id="14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北京东方英卡 数字信息技术 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深圳一卡易科 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18,321,262.57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52,514,546.43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29,458,677.24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52,514,546.43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81,973,223.67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pStyle w:val="Style29"/>
        <w:keepNext w:val="0"/>
        <w:keepLines w:val="0"/>
        <w:widowControl w:val="0"/>
        <w:shd w:val="clear" w:color="auto" w:fill="auto"/>
        <w:bidi w:val="0"/>
        <w:spacing w:before="0" w:after="34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2010</w:t>
      </w:r>
      <w:r>
        <w:rPr>
          <w:color w:val="000000"/>
          <w:spacing w:val="0"/>
          <w:w w:val="100"/>
          <w:position w:val="0"/>
        </w:rPr>
        <w:t>年以人民币</w:t>
      </w:r>
      <w:r>
        <w:rPr>
          <w:rFonts w:ascii="Times New Roman" w:eastAsia="Times New Roman" w:hAnsi="Times New Roman" w:cs="Times New Roman"/>
          <w:color w:val="000000"/>
          <w:spacing w:val="0"/>
          <w:w w:val="100"/>
          <w:position w:val="0"/>
        </w:rPr>
        <w:t>26,000,000.00</w:t>
      </w:r>
      <w:r>
        <w:rPr>
          <w:color w:val="000000"/>
          <w:spacing w:val="0"/>
          <w:w w:val="100"/>
          <w:position w:val="0"/>
        </w:rPr>
        <w:t>元收购东方英卡</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股权，收购价格与可辨认净资产公允价值份额的差额人 </w:t>
      </w:r>
      <w:r>
        <w:rPr>
          <w:rStyle w:val="CharStyle46"/>
          <w:rFonts w:ascii="SimSun" w:eastAsia="SimSun" w:hAnsi="SimSun" w:cs="SimSun"/>
        </w:rPr>
        <w:t>民币</w:t>
      </w:r>
      <w:r>
        <w:rPr>
          <w:rStyle w:val="CharStyle46"/>
        </w:rPr>
        <w:t>11,137,414.67</w:t>
      </w:r>
      <w:r>
        <w:rPr>
          <w:rStyle w:val="CharStyle46"/>
          <w:rFonts w:ascii="SimSun" w:eastAsia="SimSun" w:hAnsi="SimSun" w:cs="SimSun"/>
        </w:rPr>
        <w:t>元确认为商誉。</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年以人民币</w:t>
      </w:r>
      <w:r>
        <w:rPr>
          <w:rFonts w:ascii="Times New Roman" w:eastAsia="Times New Roman" w:hAnsi="Times New Roman" w:cs="Times New Roman"/>
          <w:color w:val="000000"/>
          <w:spacing w:val="0"/>
          <w:w w:val="100"/>
          <w:position w:val="0"/>
        </w:rPr>
        <w:t>136,980,000.00</w:t>
      </w:r>
      <w:r>
        <w:rPr>
          <w:color w:val="000000"/>
          <w:spacing w:val="0"/>
          <w:w w:val="100"/>
          <w:position w:val="0"/>
        </w:rPr>
        <w:t>元收购一"易股份</w:t>
      </w:r>
      <w:r>
        <w:rPr>
          <w:rFonts w:ascii="Times New Roman" w:eastAsia="Times New Roman" w:hAnsi="Times New Roman" w:cs="Times New Roman"/>
          <w:color w:val="000000"/>
          <w:spacing w:val="0"/>
          <w:w w:val="100"/>
          <w:position w:val="0"/>
        </w:rPr>
        <w:t>45.66%</w:t>
      </w:r>
      <w:r>
        <w:rPr>
          <w:color w:val="000000"/>
          <w:spacing w:val="0"/>
          <w:w w:val="100"/>
          <w:position w:val="0"/>
        </w:rPr>
        <w:t>股权，收购价格与可辨认净资产公允价值份额的差 额人民币</w:t>
      </w:r>
      <w:r>
        <w:rPr>
          <w:rFonts w:ascii="Times New Roman" w:eastAsia="Times New Roman" w:hAnsi="Times New Roman" w:cs="Times New Roman"/>
          <w:color w:val="000000"/>
          <w:spacing w:val="0"/>
          <w:w w:val="100"/>
          <w:position w:val="0"/>
        </w:rPr>
        <w:t>70,835,809.00</w:t>
      </w:r>
      <w:r>
        <w:rPr>
          <w:color w:val="000000"/>
          <w:spacing w:val="0"/>
          <w:w w:val="100"/>
          <w:position w:val="0"/>
        </w:rPr>
        <w:t>元确认为商誉。</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：公司之下属子公司恒宝国际有限责任公司于</w:t>
      </w:r>
      <w:r>
        <w:rPr>
          <w:rFonts w:ascii="Times New Roman" w:eastAsia="Times New Roman" w:hAnsi="Times New Roman" w:cs="Times New Roman"/>
          <w:color w:val="000000"/>
          <w:spacing w:val="0"/>
          <w:w w:val="100"/>
          <w:position w:val="0"/>
        </w:rPr>
        <w:t>2019</w:t>
      </w:r>
      <w:r>
        <w:rPr>
          <w:color w:val="000000"/>
          <w:spacing w:val="0"/>
          <w:w w:val="100"/>
          <w:position w:val="0"/>
        </w:rPr>
        <w:t>年以一揽子交易方式收购马来西亚境内</w:t>
      </w:r>
      <w:r>
        <w:rPr>
          <w:rFonts w:ascii="Times New Roman" w:eastAsia="Times New Roman" w:hAnsi="Times New Roman" w:cs="Times New Roman"/>
          <w:color w:val="000000"/>
          <w:spacing w:val="0"/>
          <w:w w:val="100"/>
          <w:position w:val="0"/>
        </w:rPr>
        <w:t>MOD</w:t>
      </w:r>
      <w:r>
        <w:rPr>
          <w:color w:val="000000"/>
          <w:spacing w:val="0"/>
          <w:w w:val="100"/>
          <w:position w:val="0"/>
        </w:rPr>
        <w:t>和</w:t>
      </w:r>
      <w:r>
        <w:rPr>
          <w:rFonts w:ascii="Times New Roman" w:eastAsia="Times New Roman" w:hAnsi="Times New Roman" w:cs="Times New Roman"/>
          <w:color w:val="000000"/>
          <w:spacing w:val="0"/>
          <w:w w:val="100"/>
          <w:position w:val="0"/>
        </w:rPr>
        <w:t>ASCC100%</w:t>
      </w:r>
      <w:r>
        <w:rPr>
          <w:color w:val="000000"/>
          <w:spacing w:val="0"/>
          <w:w w:val="100"/>
          <w:position w:val="0"/>
        </w:rPr>
        <w:t>股权， 收购价格</w:t>
      </w:r>
      <w:r>
        <w:rPr>
          <w:rFonts w:ascii="Times New Roman" w:eastAsia="Times New Roman" w:hAnsi="Times New Roman" w:cs="Times New Roman"/>
          <w:color w:val="000000"/>
          <w:spacing w:val="0"/>
          <w:w w:val="100"/>
          <w:position w:val="0"/>
        </w:rPr>
        <w:t>455,498.65</w:t>
      </w:r>
      <w:r>
        <w:rPr>
          <w:color w:val="000000"/>
          <w:spacing w:val="0"/>
          <w:w w:val="100"/>
          <w:position w:val="0"/>
        </w:rPr>
        <w:t>美元（折人民币</w:t>
      </w:r>
      <w:r>
        <w:rPr>
          <w:rFonts w:ascii="Times New Roman" w:eastAsia="Times New Roman" w:hAnsi="Times New Roman" w:cs="Times New Roman"/>
          <w:color w:val="000000"/>
          <w:spacing w:val="0"/>
          <w:w w:val="100"/>
          <w:position w:val="0"/>
        </w:rPr>
        <w:t>3,052,979.7</w:t>
      </w:r>
      <w:r>
        <w:rPr>
          <w:rFonts w:ascii="Times New Roman" w:eastAsia="Times New Roman" w:hAnsi="Times New Roman" w:cs="Times New Roman"/>
          <w:color w:val="000000"/>
          <w:spacing w:val="0"/>
          <w:w w:val="100"/>
          <w:position w:val="0"/>
        </w:rPr>
        <w:t>0</w:t>
      </w:r>
      <w:r>
        <w:rPr>
          <w:color w:val="000000"/>
          <w:spacing w:val="0"/>
          <w:w w:val="100"/>
          <w:position w:val="0"/>
        </w:rPr>
        <w:t>元）。收购价格与可辨认净资产公允价值份额的差额</w:t>
      </w:r>
      <w:r>
        <w:rPr>
          <w:rFonts w:ascii="Times New Roman" w:eastAsia="Times New Roman" w:hAnsi="Times New Roman" w:cs="Times New Roman"/>
          <w:color w:val="000000"/>
          <w:spacing w:val="0"/>
          <w:w w:val="100"/>
          <w:position w:val="0"/>
        </w:rPr>
        <w:t>634,301.98</w:t>
      </w:r>
      <w:r>
        <w:rPr>
          <w:color w:val="000000"/>
          <w:spacing w:val="0"/>
          <w:w w:val="100"/>
          <w:position w:val="0"/>
        </w:rPr>
        <w:t>美元（折人民 币</w:t>
      </w:r>
      <w:r>
        <w:rPr>
          <w:rFonts w:ascii="Times New Roman" w:eastAsia="Times New Roman" w:hAnsi="Times New Roman" w:cs="Times New Roman"/>
          <w:color w:val="000000"/>
          <w:spacing w:val="0"/>
          <w:w w:val="100"/>
          <w:position w:val="0"/>
        </w:rPr>
        <w:t>4,425,017.47</w:t>
      </w:r>
      <w:r>
        <w:rPr>
          <w:color w:val="000000"/>
          <w:spacing w:val="0"/>
          <w:w w:val="100"/>
          <w:position w:val="0"/>
        </w:rPr>
        <w:t>元）确认为商誉。</w:t>
      </w:r>
    </w:p>
    <w:p>
      <w:pPr>
        <w:pStyle w:val="Style29"/>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：公司根据以往对东方英卡构成的整体资产组进行测试的结果，于</w:t>
      </w:r>
      <w:r>
        <w:rPr>
          <w:rFonts w:ascii="Times New Roman" w:eastAsia="Times New Roman" w:hAnsi="Times New Roman" w:cs="Times New Roman"/>
          <w:color w:val="000000"/>
          <w:spacing w:val="0"/>
          <w:w w:val="100"/>
          <w:position w:val="0"/>
        </w:rPr>
        <w:t>2012</w:t>
      </w:r>
      <w:r>
        <w:rPr>
          <w:color w:val="000000"/>
          <w:spacing w:val="0"/>
          <w:w w:val="100"/>
          <w:position w:val="0"/>
        </w:rPr>
        <w:t>年度对收购东方英卡产生的商誉全额计提减 值准备，公司预计未来东方英卡仍持续亏损，已计提的商誉减值准备在本期不存在价值回升的情况。</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一卡易股份商誉减值测试</w:t>
      </w:r>
    </w:p>
    <w:p>
      <w:pPr>
        <w:pStyle w:val="Style29"/>
        <w:keepNext w:val="0"/>
        <w:keepLines w:val="0"/>
        <w:widowControl w:val="0"/>
        <w:numPr>
          <w:ilvl w:val="0"/>
          <w:numId w:val="91"/>
        </w:numPr>
        <w:shd w:val="clear" w:color="auto" w:fill="auto"/>
        <w:bidi w:val="0"/>
        <w:spacing w:before="0" w:after="80" w:line="240" w:lineRule="auto"/>
        <w:ind w:left="0" w:right="0" w:firstLine="380"/>
        <w:jc w:val="both"/>
      </w:pPr>
      <w:bookmarkStart w:id="1444" w:name="bookmark1444"/>
      <w:bookmarkEnd w:id="1444"/>
      <w:r>
        <w:rPr>
          <w:color w:val="000000"/>
          <w:spacing w:val="0"/>
          <w:w w:val="100"/>
          <w:position w:val="0"/>
        </w:rPr>
        <w:t>减值测试过程</w:t>
      </w:r>
    </w:p>
    <w:tbl>
      <w:tblPr>
        <w:tblOverlap w:val="never"/>
        <w:jc w:val="left"/>
        <w:tblLayout w:type="fixed"/>
      </w:tblPr>
      <w:tblGrid>
        <w:gridCol w:w="3110"/>
        <w:gridCol w:w="5851"/>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不含商誉的资产组账面价值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80" w:right="0" w:firstLine="0"/>
              <w:jc w:val="left"/>
            </w:pPr>
            <w:r>
              <w:rPr>
                <w:color w:val="000000"/>
                <w:spacing w:val="0"/>
                <w:w w:val="100"/>
                <w:position w:val="0"/>
              </w:rPr>
              <w:t>62,863,967.48</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包含整体商誉的资产组账面价值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80" w:right="0" w:firstLine="0"/>
              <w:jc w:val="left"/>
            </w:pPr>
            <w:r>
              <w:rPr>
                <w:color w:val="000000"/>
                <w:spacing w:val="0"/>
                <w:w w:val="100"/>
                <w:position w:val="0"/>
              </w:rPr>
              <w:t>177,876,114.72</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未来可收回金额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7,150,000.00</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rPr>
              <w:t>170,726,114.72</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rPr>
              <w:t>115,012,147.24</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归属于母公司的商誉减值金额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60" w:right="0" w:firstLine="0"/>
              <w:jc w:val="left"/>
            </w:pPr>
            <w:r>
              <w:rPr>
                <w:color w:val="000000"/>
                <w:spacing w:val="0"/>
                <w:w w:val="100"/>
                <w:position w:val="0"/>
              </w:rPr>
              <w:t>52,514,546.43</w:t>
            </w:r>
          </w:p>
        </w:tc>
      </w:tr>
    </w:tbl>
    <w:p>
      <w:pPr>
        <w:pStyle w:val="Style29"/>
        <w:keepNext w:val="0"/>
        <w:keepLines w:val="0"/>
        <w:widowControl w:val="0"/>
        <w:numPr>
          <w:ilvl w:val="0"/>
          <w:numId w:val="91"/>
        </w:numPr>
        <w:shd w:val="clear" w:color="auto" w:fill="auto"/>
        <w:tabs>
          <w:tab w:pos="701" w:val="left"/>
        </w:tabs>
        <w:bidi w:val="0"/>
        <w:spacing w:before="0" w:after="0" w:line="312" w:lineRule="exact"/>
        <w:ind w:left="0" w:right="0" w:firstLine="380"/>
        <w:jc w:val="both"/>
      </w:pPr>
      <w:bookmarkStart w:id="1445" w:name="bookmark1445"/>
      <w:bookmarkEnd w:id="1445"/>
      <w:r>
        <w:rPr>
          <w:color w:val="000000"/>
          <w:spacing w:val="0"/>
          <w:w w:val="100"/>
          <w:position w:val="0"/>
        </w:rPr>
        <w:t>鉴于公司于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月下旬至今对一卡易股份已无法正常行使股东权利并已实质失去控制（详见附注十五</w:t>
      </w:r>
      <w:r>
        <w:rPr>
          <w:rFonts w:ascii="Times New Roman" w:eastAsia="Times New Roman" w:hAnsi="Times New Roman" w:cs="Times New Roman"/>
          <w:color w:val="000000"/>
          <w:spacing w:val="0"/>
          <w:w w:val="100"/>
          <w:position w:val="0"/>
        </w:rPr>
        <w:t>-</w:t>
      </w:r>
      <w:r>
        <w:rPr>
          <w:color w:val="000000"/>
          <w:spacing w:val="0"/>
          <w:w w:val="100"/>
          <w:position w:val="0"/>
        </w:rPr>
        <w:t>资产负债表 日后事项），进行商誉测试时，公司假设在现实情况下，如果公司继续持有一卡易股份股权，不考虑后续投入更多资源，至 多维持</w:t>
      </w:r>
      <w:r>
        <w:rPr>
          <w:rFonts w:ascii="Times New Roman" w:eastAsia="Times New Roman" w:hAnsi="Times New Roman" w:cs="Times New Roman"/>
          <w:color w:val="000000"/>
          <w:spacing w:val="0"/>
          <w:w w:val="100"/>
          <w:position w:val="0"/>
        </w:rPr>
        <w:t>2020</w:t>
      </w:r>
      <w:r>
        <w:rPr>
          <w:color w:val="000000"/>
          <w:spacing w:val="0"/>
          <w:w w:val="100"/>
          <w:position w:val="0"/>
        </w:rPr>
        <w:t>年的收益水平，并据此测算资产组的可收回金额。</w:t>
      </w:r>
    </w:p>
    <w:p>
      <w:pPr>
        <w:pStyle w:val="Style29"/>
        <w:keepNext w:val="0"/>
        <w:keepLines w:val="0"/>
        <w:widowControl w:val="0"/>
        <w:numPr>
          <w:ilvl w:val="0"/>
          <w:numId w:val="91"/>
        </w:numPr>
        <w:shd w:val="clear" w:color="auto" w:fill="auto"/>
        <w:tabs>
          <w:tab w:pos="706" w:val="left"/>
        </w:tabs>
        <w:bidi w:val="0"/>
        <w:spacing w:before="0" w:after="0" w:line="312" w:lineRule="exact"/>
        <w:ind w:left="0" w:right="0" w:firstLine="380"/>
        <w:jc w:val="both"/>
      </w:pPr>
      <w:bookmarkStart w:id="1446" w:name="bookmark1446"/>
      <w:bookmarkEnd w:id="1446"/>
      <w:r>
        <w:rPr>
          <w:color w:val="000000"/>
          <w:spacing w:val="0"/>
          <w:w w:val="100"/>
          <w:position w:val="0"/>
        </w:rPr>
        <w:t>公司聘请北京北方亚事资产评估事务所（特殊普通合伙）出具北方亚事评报字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01-386</w:t>
      </w:r>
      <w:r>
        <w:rPr>
          <w:color w:val="000000"/>
          <w:spacing w:val="0"/>
          <w:w w:val="100"/>
          <w:position w:val="0"/>
        </w:rPr>
        <w:t>号评估报告对一卡易股 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日的商誉进行减值测试。根据评估结果，包含商誉的资产组可收回金额为人民币</w:t>
      </w:r>
      <w:r>
        <w:rPr>
          <w:rFonts w:ascii="Times New Roman" w:eastAsia="Times New Roman" w:hAnsi="Times New Roman" w:cs="Times New Roman"/>
          <w:color w:val="000000"/>
          <w:spacing w:val="0"/>
          <w:w w:val="100"/>
          <w:position w:val="0"/>
        </w:rPr>
        <w:t>7,150,000.00</w:t>
      </w:r>
      <w:r>
        <w:rPr>
          <w:color w:val="000000"/>
          <w:spacing w:val="0"/>
          <w:w w:val="100"/>
          <w:position w:val="0"/>
        </w:rPr>
        <w:t>元，报告期 内公司对一卡易股份商誉计提减值准备人民币</w:t>
      </w:r>
      <w:r>
        <w:rPr>
          <w:rFonts w:ascii="Times New Roman" w:eastAsia="Times New Roman" w:hAnsi="Times New Roman" w:cs="Times New Roman"/>
          <w:color w:val="000000"/>
          <w:spacing w:val="0"/>
          <w:w w:val="100"/>
          <w:position w:val="0"/>
        </w:rPr>
        <w:t>52,514,546.43</w:t>
      </w:r>
      <w:r>
        <w:rPr>
          <w:color w:val="000000"/>
          <w:spacing w:val="0"/>
          <w:w w:val="100"/>
          <w:position w:val="0"/>
        </w:rPr>
        <w:t>元，累计计提减值准备金额人民币</w:t>
      </w:r>
      <w:r>
        <w:rPr>
          <w:rFonts w:ascii="Times New Roman" w:eastAsia="Times New Roman" w:hAnsi="Times New Roman" w:cs="Times New Roman"/>
          <w:color w:val="000000"/>
          <w:spacing w:val="0"/>
          <w:w w:val="100"/>
          <w:position w:val="0"/>
        </w:rPr>
        <w:t>70,835,809.00</w:t>
      </w:r>
      <w:r>
        <w:rPr>
          <w:color w:val="000000"/>
          <w:spacing w:val="0"/>
          <w:w w:val="100"/>
          <w:position w:val="0"/>
        </w:rPr>
        <w:t>元。</w:t>
      </w:r>
    </w:p>
    <w:p>
      <w:pPr>
        <w:pStyle w:val="Style29"/>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MOD&amp;ASCC</w:t>
      </w:r>
      <w:r>
        <w:rPr>
          <w:color w:val="000000"/>
          <w:spacing w:val="0"/>
          <w:w w:val="100"/>
          <w:position w:val="0"/>
        </w:rPr>
        <w:t>商誉减值测试</w:t>
      </w:r>
    </w:p>
    <w:p>
      <w:pPr>
        <w:pStyle w:val="Style27"/>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①减值测试过程</w:t>
      </w:r>
    </w:p>
    <w:tbl>
      <w:tblPr>
        <w:tblOverlap w:val="never"/>
        <w:jc w:val="left"/>
        <w:tblLayout w:type="fixed"/>
      </w:tblPr>
      <w:tblGrid>
        <w:gridCol w:w="3106"/>
        <w:gridCol w:w="5827"/>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不含商誉的资产组账面价值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860" w:right="0" w:firstLine="0"/>
              <w:jc w:val="left"/>
            </w:pPr>
            <w:r>
              <w:rPr>
                <w:color w:val="000000"/>
                <w:spacing w:val="0"/>
                <w:w w:val="100"/>
                <w:position w:val="0"/>
              </w:rPr>
              <w:t>1,813,854.67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包含整体商誉的资产组账面价值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860" w:right="0" w:firstLine="0"/>
              <w:jc w:val="left"/>
            </w:pPr>
            <w:r>
              <w:rPr>
                <w:color w:val="000000"/>
                <w:spacing w:val="0"/>
                <w:w w:val="100"/>
                <w:position w:val="0"/>
              </w:rPr>
              <w:t>6,238,872.14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未来可收回金额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860" w:right="0" w:firstLine="0"/>
              <w:jc w:val="left"/>
            </w:pPr>
            <w:r>
              <w:rPr>
                <w:color w:val="000000"/>
                <w:spacing w:val="0"/>
                <w:w w:val="100"/>
                <w:position w:val="0"/>
              </w:rPr>
              <w:t>9,920,000.00</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480" w:right="0" w:firstLine="0"/>
              <w:jc w:val="left"/>
            </w:pPr>
            <w:r>
              <w:rPr>
                <w:color w:val="000000"/>
                <w:spacing w:val="0"/>
                <w:w w:val="100"/>
                <w:position w:val="0"/>
              </w:rPr>
              <w:t>0.00</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归属于母公司的商誉减值金额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480" w:right="0" w:firstLine="0"/>
              <w:jc w:val="left"/>
            </w:pPr>
            <w:r>
              <w:rPr>
                <w:color w:val="000000"/>
                <w:spacing w:val="0"/>
                <w:w w:val="100"/>
                <w:position w:val="0"/>
              </w:rPr>
              <w:t>0.00</w:t>
            </w:r>
          </w:p>
        </w:tc>
      </w:tr>
    </w:tbl>
    <w:p>
      <w:pPr>
        <w:pStyle w:val="Style29"/>
        <w:keepNext w:val="0"/>
        <w:keepLines w:val="0"/>
        <w:widowControl w:val="0"/>
        <w:numPr>
          <w:ilvl w:val="0"/>
          <w:numId w:val="93"/>
        </w:numPr>
        <w:shd w:val="clear" w:color="auto" w:fill="auto"/>
        <w:tabs>
          <w:tab w:pos="706" w:val="left"/>
        </w:tabs>
        <w:bidi w:val="0"/>
        <w:spacing w:before="0" w:after="0" w:line="307" w:lineRule="exact"/>
        <w:ind w:left="0" w:right="0" w:firstLine="380"/>
        <w:jc w:val="both"/>
      </w:pPr>
      <w:bookmarkStart w:id="1447" w:name="bookmark1447"/>
      <w:bookmarkEnd w:id="1447"/>
      <w:r>
        <w:rPr>
          <w:color w:val="000000"/>
          <w:spacing w:val="0"/>
          <w:w w:val="100"/>
          <w:position w:val="0"/>
        </w:rPr>
        <w:t>进行商誉减值测试时，公司将相关资产组（含商誉）的账面价值与其未来可收回金额进行比较，如果可收回金额低于 账面价值，相关差额计入当期损益。公司商誉分摊于</w:t>
      </w:r>
      <w:r>
        <w:rPr>
          <w:rFonts w:ascii="Times New Roman" w:eastAsia="Times New Roman" w:hAnsi="Times New Roman" w:cs="Times New Roman"/>
          <w:color w:val="000000"/>
          <w:spacing w:val="0"/>
          <w:w w:val="100"/>
          <w:position w:val="0"/>
        </w:rPr>
        <w:t>2020</w:t>
      </w:r>
      <w:r>
        <w:rPr>
          <w:color w:val="000000"/>
          <w:spacing w:val="0"/>
          <w:w w:val="100"/>
          <w:position w:val="0"/>
        </w:rPr>
        <w:t>年度未发生变化。</w:t>
      </w:r>
    </w:p>
    <w:p>
      <w:pPr>
        <w:pStyle w:val="Style29"/>
        <w:keepNext w:val="0"/>
        <w:keepLines w:val="0"/>
        <w:widowControl w:val="0"/>
        <w:numPr>
          <w:ilvl w:val="0"/>
          <w:numId w:val="93"/>
        </w:numPr>
        <w:shd w:val="clear" w:color="auto" w:fill="auto"/>
        <w:tabs>
          <w:tab w:pos="716" w:val="left"/>
        </w:tabs>
        <w:bidi w:val="0"/>
        <w:spacing w:before="0" w:after="0" w:line="307" w:lineRule="exact"/>
        <w:ind w:left="0" w:right="0" w:firstLine="380"/>
        <w:jc w:val="both"/>
      </w:pPr>
      <w:bookmarkStart w:id="1448" w:name="bookmark1448"/>
      <w:bookmarkEnd w:id="1448"/>
      <w:r>
        <w:rPr>
          <w:color w:val="000000"/>
          <w:spacing w:val="0"/>
          <w:w w:val="100"/>
          <w:position w:val="0"/>
        </w:rPr>
        <w:t>公司聘请北京北方亚事资产评估事务所（特殊普通合伙）出具北方亚事评报字</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01-407</w:t>
      </w:r>
      <w:r>
        <w:rPr>
          <w:color w:val="000000"/>
          <w:spacing w:val="0"/>
          <w:w w:val="100"/>
          <w:position w:val="0"/>
        </w:rPr>
        <w:t xml:space="preserve">号评估报告对 </w:t>
      </w:r>
      <w:r>
        <w:rPr>
          <w:rFonts w:ascii="Times New Roman" w:eastAsia="Times New Roman" w:hAnsi="Times New Roman" w:cs="Times New Roman"/>
          <w:color w:val="000000"/>
          <w:spacing w:val="0"/>
          <w:w w:val="100"/>
          <w:position w:val="0"/>
        </w:rPr>
        <w:t>MOD&amp;ASCC</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日的商誉进行减值测试。根据评估结果，包含商誉的资产组可收回金额为人民币</w:t>
      </w:r>
      <w:r>
        <w:rPr>
          <w:rFonts w:ascii="Times New Roman" w:eastAsia="Times New Roman" w:hAnsi="Times New Roman" w:cs="Times New Roman"/>
          <w:color w:val="000000"/>
          <w:spacing w:val="0"/>
          <w:w w:val="100"/>
          <w:position w:val="0"/>
        </w:rPr>
        <w:t>9,920,000.00</w:t>
        <w:br w:type="page"/>
      </w:r>
      <w:r>
        <w:rPr>
          <w:color w:val="000000"/>
          <w:spacing w:val="0"/>
          <w:w w:val="100"/>
          <w:position w:val="0"/>
        </w:rPr>
        <w:t>元，报告期内公司</w:t>
      </w:r>
      <w:r>
        <w:rPr>
          <w:rFonts w:ascii="Times New Roman" w:eastAsia="Times New Roman" w:hAnsi="Times New Roman" w:cs="Times New Roman"/>
          <w:color w:val="000000"/>
          <w:spacing w:val="0"/>
          <w:w w:val="100"/>
          <w:position w:val="0"/>
        </w:rPr>
        <w:t>MOD&amp;ASC C</w:t>
      </w:r>
      <w:r>
        <w:rPr>
          <w:color w:val="000000"/>
          <w:spacing w:val="0"/>
          <w:w w:val="100"/>
          <w:position w:val="0"/>
        </w:rPr>
        <w:t>的商誉未发生减值。 商誉减值测试的影响</w:t>
      </w:r>
    </w:p>
    <w:p>
      <w:pPr>
        <w:pStyle w:val="Style29"/>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49"/>
      <w:bookmarkEnd w:id="1450"/>
      <w:bookmarkEnd w:id="14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1,453,864.10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166,971.79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1,068,126.69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552,709.20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预付房租及服务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1,710,691.82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1,981,928.33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852,227.57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2,840,392.58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2,069,616.38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401,087.19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924,259.30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1,546,444.27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10,033,264.81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4,180,527.00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5,852,737.81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5,234,172.30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12,583,252.12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7,025,140.56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10,792,283.86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3"/>
      <w:bookmarkEnd w:id="1454"/>
      <w:bookmarkEnd w:id="1456"/>
    </w:p>
    <w:p>
      <w:pPr>
        <w:pStyle w:val="Style32"/>
        <w:keepNext/>
        <w:keepLines/>
        <w:widowControl w:val="0"/>
        <w:numPr>
          <w:ilvl w:val="0"/>
          <w:numId w:val="95"/>
        </w:numPr>
        <w:shd w:val="clear" w:color="auto" w:fill="auto"/>
        <w:bidi w:val="0"/>
        <w:spacing w:before="0" w:line="240" w:lineRule="auto"/>
        <w:ind w:left="0" w:right="0" w:firstLine="0"/>
        <w:jc w:val="left"/>
      </w:pPr>
      <w:bookmarkStart w:id="1453" w:name="bookmark1453"/>
      <w:bookmarkStart w:id="1454" w:name="bookmark1454"/>
      <w:bookmarkStart w:id="1457" w:name="bookmark1457"/>
      <w:bookmarkStart w:id="1458" w:name="bookmark1458"/>
      <w:bookmarkEnd w:id="1457"/>
      <w:r>
        <w:rPr>
          <w:color w:val="000000"/>
          <w:spacing w:val="0"/>
          <w:w w:val="100"/>
          <w:position w:val="0"/>
        </w:rPr>
        <w:t>未经抵销的递延所得税资产</w:t>
      </w:r>
      <w:bookmarkEnd w:id="1453"/>
      <w:bookmarkEnd w:id="1454"/>
      <w:bookmarkEnd w:id="14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34,074,924.65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4,074,448.43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27,728,481.15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3,005,943.24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6,055,828.29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605,582.83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2,115,431.25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212,689.69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10,138,000.58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1,013,800.06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19,704,905.34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1,970,490.53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按合伙份额计算的应 分尚未分的被投资合 伙企业的利润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375,891.74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37,589.17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内部未实现利润抵销 而确认的递延所得税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425,432.63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106,358.16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51,070,077.89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5,837,778.65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49,548,817.74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5,189,123.46</w:t>
            </w:r>
          </w:p>
        </w:tc>
      </w:tr>
    </w:tbl>
    <w:p>
      <w:pPr>
        <w:widowControl w:val="0"/>
        <w:spacing w:after="339" w:line="1" w:lineRule="exact"/>
      </w:pPr>
    </w:p>
    <w:p>
      <w:pPr>
        <w:pStyle w:val="Style32"/>
        <w:keepNext/>
        <w:keepLines/>
        <w:widowControl w:val="0"/>
        <w:numPr>
          <w:ilvl w:val="0"/>
          <w:numId w:val="95"/>
        </w:numPr>
        <w:shd w:val="clear" w:color="auto" w:fill="auto"/>
        <w:bidi w:val="0"/>
        <w:spacing w:before="0" w:line="240" w:lineRule="auto"/>
        <w:ind w:left="0" w:right="0" w:firstLine="14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未经抵销的递延所得税负债</w:t>
      </w:r>
      <w:bookmarkEnd w:id="1459"/>
      <w:bookmarkEnd w:id="1460"/>
      <w:bookmarkEnd w:id="14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非同一控制下企业合</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并形成的公允价值调</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4,101,700.00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615,255.00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11,355,000.00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5,605,045.47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560,504.55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8,331,762.23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833,176.22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13,869,387.92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1,386,938.79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11,651,645.90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1,165,164.59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资产账面价值大于计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2,614,449.39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375,865.28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26,190,582.78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2,938,563.62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95,683,408.13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13,353,340.81</w:t>
            </w:r>
          </w:p>
        </w:tc>
      </w:tr>
    </w:tbl>
    <w:p>
      <w:pPr>
        <w:widowControl w:val="0"/>
        <w:spacing w:after="299" w:line="1" w:lineRule="exact"/>
      </w:pPr>
    </w:p>
    <w:p>
      <w:pPr>
        <w:pStyle w:val="Style32"/>
        <w:keepNext/>
        <w:keepLines/>
        <w:widowControl w:val="0"/>
        <w:numPr>
          <w:ilvl w:val="0"/>
          <w:numId w:val="95"/>
        </w:numPr>
        <w:shd w:val="clear" w:color="auto" w:fill="auto"/>
        <w:bidi w:val="0"/>
        <w:spacing w:before="0" w:after="36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以抵销后净额列示的递延所得税资产或负债</w:t>
      </w:r>
      <w:bookmarkEnd w:id="1463"/>
      <w:bookmarkEnd w:id="1464"/>
      <w:bookmarkEnd w:id="14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5,837,778.65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5,189,123.46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2,938,563.62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13,353,340.81</w:t>
            </w:r>
          </w:p>
        </w:tc>
      </w:tr>
    </w:tbl>
    <w:p>
      <w:pPr>
        <w:widowControl w:val="0"/>
        <w:spacing w:after="299" w:line="1" w:lineRule="exact"/>
      </w:pPr>
    </w:p>
    <w:p>
      <w:pPr>
        <w:pStyle w:val="Style32"/>
        <w:keepNext/>
        <w:keepLines/>
        <w:widowControl w:val="0"/>
        <w:numPr>
          <w:ilvl w:val="0"/>
          <w:numId w:val="95"/>
        </w:numPr>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未确认递延所得税资产明细</w:t>
      </w:r>
      <w:bookmarkEnd w:id="1467"/>
      <w:bookmarkEnd w:id="1468"/>
      <w:bookmarkEnd w:id="14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35,418,919.40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33,312,303.48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62,465,333.78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55,343,505.23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97,884,253.18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88,655,808.71</w:t>
            </w:r>
          </w:p>
        </w:tc>
      </w:tr>
    </w:tbl>
    <w:p>
      <w:pPr>
        <w:widowControl w:val="0"/>
        <w:spacing w:after="299" w:line="1" w:lineRule="exact"/>
      </w:pPr>
    </w:p>
    <w:p>
      <w:pPr>
        <w:pStyle w:val="Style32"/>
        <w:keepNext/>
        <w:keepLines/>
        <w:widowControl w:val="0"/>
        <w:numPr>
          <w:ilvl w:val="0"/>
          <w:numId w:val="95"/>
        </w:numPr>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未确认递延所得税资产的可抵扣亏损将于以下年度到期</w:t>
      </w:r>
      <w:bookmarkEnd w:id="1471"/>
      <w:bookmarkEnd w:id="1472"/>
      <w:bookmarkEnd w:id="14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19,093,545.60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19,093,545.60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7,583,629.83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7,583,629.83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6,920,242.53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6,920,242.53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8,297,199.54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8,297,199.54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9,090,192.60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4,451,265.51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2,184,512.98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2,294,312.69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2,788,133.48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无期限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6,507,877.22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6,693,119.76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62,465,333.78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55,343,505.23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75"/>
      <w:bookmarkEnd w:id="1476"/>
      <w:bookmarkEnd w:id="14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长期资产预付款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1,169,561.</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1,169,561.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1,169,561.</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1,169,561.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79"/>
      <w:bookmarkEnd w:id="1480"/>
      <w:bookmarkEnd w:id="1482"/>
    </w:p>
    <w:p>
      <w:pPr>
        <w:pStyle w:val="Style32"/>
        <w:keepNext/>
        <w:keepLines/>
        <w:widowControl w:val="0"/>
        <w:numPr>
          <w:ilvl w:val="0"/>
          <w:numId w:val="97"/>
        </w:numPr>
        <w:shd w:val="clear" w:color="auto" w:fill="auto"/>
        <w:bidi w:val="0"/>
        <w:spacing w:before="0" w:after="360" w:line="240" w:lineRule="auto"/>
        <w:ind w:left="0" w:right="0" w:firstLine="140"/>
        <w:jc w:val="both"/>
      </w:pPr>
      <w:bookmarkStart w:id="1479" w:name="bookmark1479"/>
      <w:bookmarkStart w:id="1480" w:name="bookmark1480"/>
      <w:bookmarkStart w:id="1483" w:name="bookmark1483"/>
      <w:bookmarkStart w:id="1484" w:name="bookmark1484"/>
      <w:bookmarkEnd w:id="1483"/>
      <w:r>
        <w:rPr>
          <w:color w:val="000000"/>
          <w:spacing w:val="0"/>
          <w:w w:val="100"/>
          <w:position w:val="0"/>
        </w:rPr>
        <w:t>短期借款分类</w:t>
      </w:r>
      <w:bookmarkEnd w:id="1479"/>
      <w:bookmarkEnd w:id="1480"/>
      <w:bookmarkEnd w:id="14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2"/>
        <w:keepNext/>
        <w:keepLines/>
        <w:widowControl w:val="0"/>
        <w:numPr>
          <w:ilvl w:val="0"/>
          <w:numId w:val="97"/>
        </w:numPr>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已逾期未偿还的短期借款情况</w:t>
      </w:r>
      <w:bookmarkEnd w:id="1485"/>
      <w:bookmarkEnd w:id="1486"/>
      <w:bookmarkEnd w:id="148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89"/>
      <w:bookmarkEnd w:id="1490"/>
      <w:bookmarkEnd w:id="14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93"/>
      <w:bookmarkEnd w:id="1494"/>
      <w:bookmarkEnd w:id="1496"/>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97"/>
      <w:bookmarkEnd w:id="1498"/>
      <w:bookmarkEnd w:id="15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01"/>
      <w:bookmarkEnd w:id="1502"/>
      <w:bookmarkEnd w:id="1504"/>
    </w:p>
    <w:p>
      <w:pPr>
        <w:pStyle w:val="Style32"/>
        <w:keepNext/>
        <w:keepLines/>
        <w:widowControl w:val="0"/>
        <w:numPr>
          <w:ilvl w:val="0"/>
          <w:numId w:val="99"/>
        </w:numPr>
        <w:shd w:val="clear" w:color="auto" w:fill="auto"/>
        <w:bidi w:val="0"/>
        <w:spacing w:before="0" w:after="360" w:line="240" w:lineRule="auto"/>
        <w:ind w:left="0" w:right="0" w:firstLine="14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应付账款列示</w:t>
      </w:r>
      <w:bookmarkEnd w:id="1501"/>
      <w:bookmarkEnd w:id="1502"/>
      <w:bookmarkEnd w:id="15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材料及服务类款项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182,935,319.04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214,497,601.90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7,342,678.62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2,688,615.67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190,277,997.66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217,186,217.57</w:t>
            </w:r>
          </w:p>
        </w:tc>
      </w:tr>
    </w:tbl>
    <w:p>
      <w:pPr>
        <w:widowControl w:val="0"/>
        <w:spacing w:after="299" w:line="1" w:lineRule="exact"/>
      </w:pPr>
    </w:p>
    <w:p>
      <w:pPr>
        <w:pStyle w:val="Style32"/>
        <w:keepNext/>
        <w:keepLines/>
        <w:widowControl w:val="0"/>
        <w:numPr>
          <w:ilvl w:val="0"/>
          <w:numId w:val="99"/>
        </w:numPr>
        <w:shd w:val="clear" w:color="auto" w:fill="auto"/>
        <w:bidi w:val="0"/>
        <w:spacing w:before="0" w:after="36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07"/>
      <w:bookmarkEnd w:id="1508"/>
      <w:bookmarkEnd w:id="15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11"/>
      <w:bookmarkEnd w:id="1512"/>
      <w:bookmarkEnd w:id="1514"/>
    </w:p>
    <w:p>
      <w:pPr>
        <w:pStyle w:val="Style32"/>
        <w:keepNext/>
        <w:keepLines/>
        <w:widowControl w:val="0"/>
        <w:numPr>
          <w:ilvl w:val="0"/>
          <w:numId w:val="101"/>
        </w:numPr>
        <w:shd w:val="clear" w:color="auto" w:fill="auto"/>
        <w:bidi w:val="0"/>
        <w:spacing w:before="0" w:after="360" w:line="240" w:lineRule="auto"/>
        <w:ind w:left="0" w:right="0" w:firstLine="0"/>
        <w:jc w:val="both"/>
      </w:pPr>
      <w:bookmarkStart w:id="1511" w:name="bookmark1511"/>
      <w:bookmarkStart w:id="1512" w:name="bookmark1512"/>
      <w:bookmarkStart w:id="1515" w:name="bookmark1515"/>
      <w:bookmarkStart w:id="1516" w:name="bookmark1516"/>
      <w:bookmarkEnd w:id="1515"/>
      <w:r>
        <w:rPr>
          <w:color w:val="000000"/>
          <w:spacing w:val="0"/>
          <w:w w:val="100"/>
          <w:position w:val="0"/>
        </w:rPr>
        <w:t>预收款项列示</w:t>
      </w:r>
      <w:bookmarkEnd w:id="1511"/>
      <w:bookmarkEnd w:id="1512"/>
      <w:bookmarkEnd w:id="15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299" w:line="1" w:lineRule="exact"/>
      </w:pPr>
    </w:p>
    <w:p>
      <w:pPr>
        <w:pStyle w:val="Style32"/>
        <w:keepNext/>
        <w:keepLines/>
        <w:widowControl w:val="0"/>
        <w:numPr>
          <w:ilvl w:val="0"/>
          <w:numId w:val="101"/>
        </w:numPr>
        <w:shd w:val="clear" w:color="auto" w:fill="auto"/>
        <w:bidi w:val="0"/>
        <w:spacing w:before="0" w:after="360" w:line="240" w:lineRule="auto"/>
        <w:ind w:left="0" w:right="0" w:firstLine="14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17"/>
      <w:bookmarkEnd w:id="1518"/>
      <w:bookmarkEnd w:id="15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21"/>
      <w:bookmarkEnd w:id="1522"/>
      <w:bookmarkEnd w:id="15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83,942,563.78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59,695,621.54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计入其他流动负债（附注七、</w:t>
            </w:r>
            <w:r>
              <w:rPr>
                <w:color w:val="000000"/>
                <w:spacing w:val="0"/>
                <w:w w:val="100"/>
                <w:position w:val="0"/>
              </w:rPr>
              <w:t>44</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-8,461,491.75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-4,589,601.78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75,481,072.03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55,106,019.76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5"/>
      <w:bookmarkEnd w:id="1526"/>
      <w:bookmarkEnd w:id="1528"/>
    </w:p>
    <w:p>
      <w:pPr>
        <w:pStyle w:val="Style32"/>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25"/>
      <w:bookmarkEnd w:id="1526"/>
      <w:bookmarkEnd w:id="15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4,731,503.02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202,931,179.39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204,067,411.11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3,595,271.30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8,512,039.97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8,501,735.19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114,366.53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2,018,640.00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2,018,640.00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4,835,564.77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213,461,859.36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214,587,786.30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3,709,637.83</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14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1"/>
      <w:bookmarkEnd w:id="1532"/>
      <w:bookmarkEnd w:id="15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4,683,594.09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184,449,165.74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185,610,059.10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3,522,700.73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1,591,723.57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1,591,723.57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467.83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6,440,795.50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6,434,284.31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其中：医疗保险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467.83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5,964,361.03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5,958,130.01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6,698.85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工伤保险</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138,307.69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138,307.69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rFonts w:ascii="SimSun" w:eastAsia="SimSun" w:hAnsi="SimSun" w:cs="SimSun"/>
                <w:color w:val="000000"/>
                <w:spacing w:val="0"/>
                <w:w w:val="100"/>
                <w:position w:val="0"/>
              </w:rPr>
              <w:t>生育保险</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338,126.78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10,178,053.45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10,160,368.24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19,410.21</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271,441.13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270,975.89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46,181.34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4,731,503.02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202,931,179.39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204,067,411.11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3,595,271.30</w:t>
            </w:r>
          </w:p>
        </w:tc>
      </w:tr>
    </w:tbl>
    <w:p>
      <w:pPr>
        <w:widowControl w:val="0"/>
        <w:spacing w:after="299" w:line="1" w:lineRule="exact"/>
      </w:pPr>
    </w:p>
    <w:p>
      <w:pPr>
        <w:pStyle w:val="Style32"/>
        <w:keepNext/>
        <w:keepLines/>
        <w:widowControl w:val="0"/>
        <w:numPr>
          <w:ilvl w:val="0"/>
          <w:numId w:val="101"/>
        </w:numPr>
        <w:shd w:val="clear" w:color="auto" w:fill="auto"/>
        <w:bidi w:val="0"/>
        <w:spacing w:before="0" w:after="360" w:line="240" w:lineRule="auto"/>
        <w:ind w:left="0" w:right="0" w:firstLine="14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设定提存计划列示</w:t>
      </w:r>
      <w:bookmarkEnd w:id="1535"/>
      <w:bookmarkEnd w:id="1536"/>
      <w:bookmarkEnd w:id="15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104,061.75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8,251,543.10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8,241,378.41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114,226.44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260,496.87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260,356.78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104,061.75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8,512,039.97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8,501,735.19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114,366.53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39"/>
      <w:bookmarkEnd w:id="1540"/>
      <w:bookmarkEnd w:id="15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2,379,527.96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4,801,538.74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4,217,308.01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5,300,152.84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675,691.65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1,254,202.70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217,021.28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369,732.20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154,497.51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264,094.44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252,841.70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254,153.03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116,125.00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116,125.00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148,283.00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112,687.00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8,161,297.22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12,479,326.39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43"/>
      <w:bookmarkEnd w:id="1544"/>
      <w:bookmarkEnd w:id="15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15,107,199.16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22,780,263.36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15,107,199.16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22,780,263.36</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14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47"/>
      <w:bookmarkEnd w:id="1548"/>
      <w:bookmarkEnd w:id="15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51"/>
      <w:bookmarkEnd w:id="1552"/>
      <w:bookmarkEnd w:id="15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55"/>
      <w:bookmarkEnd w:id="1556"/>
      <w:bookmarkEnd w:id="1558"/>
    </w:p>
    <w:p>
      <w:pPr>
        <w:pStyle w:val="Style32"/>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9" w:name="bookmark1559"/>
      <w:bookmarkStart w:id="1560" w:name="bookmark1560"/>
      <w:r>
        <w:rPr>
          <w:rFonts w:ascii="Times New Roman" w:eastAsia="Times New Roman" w:hAnsi="Times New Roman" w:cs="Times New Roman"/>
          <w:color w:val="000000"/>
          <w:spacing w:val="0"/>
          <w:w w:val="100"/>
          <w:position w:val="0"/>
        </w:rPr>
        <w:t>1</w:t>
      </w:r>
      <w:bookmarkEnd w:id="1559"/>
      <w:r>
        <w:rPr>
          <w:color w:val="000000"/>
          <w:spacing w:val="0"/>
          <w:w w:val="100"/>
          <w:position w:val="0"/>
        </w:rPr>
        <w:t>）按款项性质列示其他应付款</w:t>
      </w:r>
      <w:bookmarkEnd w:id="1555"/>
      <w:bookmarkEnd w:id="1556"/>
      <w:bookmarkEnd w:id="15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预提成本费用款项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14,677,049.16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21,167,690.16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139,150.00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1,155,150.00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应付暂收款项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91,423.20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15,107,199.16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22,780,263.36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1"/>
      <w:bookmarkEnd w:id="1562"/>
      <w:bookmarkEnd w:id="15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8,011,207.56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8,011,207.56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4</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65"/>
      <w:bookmarkEnd w:id="1566"/>
      <w:bookmarkEnd w:id="15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69"/>
      <w:bookmarkEnd w:id="1570"/>
      <w:bookmarkEnd w:id="15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20,419,681.25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20,419,681.25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73"/>
      <w:bookmarkEnd w:id="1574"/>
      <w:bookmarkEnd w:id="15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8,461,491.75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4,589,601.78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8,461,491.75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4,589,601.78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77"/>
      <w:bookmarkEnd w:id="1578"/>
      <w:bookmarkEnd w:id="1580"/>
    </w:p>
    <w:p>
      <w:pPr>
        <w:pStyle w:val="Style32"/>
        <w:keepNext/>
        <w:keepLines/>
        <w:widowControl w:val="0"/>
        <w:shd w:val="clear" w:color="auto" w:fill="auto"/>
        <w:bidi w:val="0"/>
        <w:spacing w:before="0" w:after="360" w:line="240" w:lineRule="auto"/>
        <w:ind w:left="0" w:right="0" w:firstLine="0"/>
        <w:jc w:val="left"/>
      </w:pPr>
      <w:bookmarkStart w:id="1577" w:name="bookmark1577"/>
      <w:bookmarkStart w:id="1578" w:name="bookmark1578"/>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7"/>
      <w:bookmarkEnd w:id="1578"/>
      <w:bookmarkEnd w:id="15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40,660,000.00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83"/>
      <w:bookmarkEnd w:id="1584"/>
      <w:bookmarkEnd w:id="1586"/>
    </w:p>
    <w:p>
      <w:pPr>
        <w:pStyle w:val="Style32"/>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83"/>
      <w:bookmarkEnd w:id="1584"/>
      <w:bookmarkEnd w:id="15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pStyle w:val="Style32"/>
        <w:keepNext/>
        <w:keepLines/>
        <w:widowControl w:val="0"/>
        <w:shd w:val="clear" w:color="auto" w:fill="auto"/>
        <w:bidi w:val="0"/>
        <w:spacing w:before="0" w:after="360" w:line="240" w:lineRule="auto"/>
        <w:ind w:left="0" w:right="0" w:firstLine="0"/>
        <w:jc w:val="both"/>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89"/>
      <w:bookmarkEnd w:id="1590"/>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发行日</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按面值 计提利 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88" w:val="left"/>
        </w:tabs>
        <w:bidi w:val="0"/>
        <w:spacing w:before="0" w:after="360" w:line="240" w:lineRule="auto"/>
        <w:ind w:left="0" w:right="0" w:firstLine="0"/>
        <w:jc w:val="both"/>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93"/>
      <w:bookmarkEnd w:id="1594"/>
      <w:bookmarkEnd w:id="1596"/>
    </w:p>
    <w:p>
      <w:pPr>
        <w:pStyle w:val="Style32"/>
        <w:keepNext/>
        <w:keepLines/>
        <w:widowControl w:val="0"/>
        <w:shd w:val="clear" w:color="auto" w:fill="auto"/>
        <w:tabs>
          <w:tab w:pos="488" w:val="left"/>
        </w:tabs>
        <w:bidi w:val="0"/>
        <w:spacing w:before="0" w:after="360" w:line="240" w:lineRule="auto"/>
        <w:ind w:left="0" w:right="0" w:firstLine="0"/>
        <w:jc w:val="both"/>
      </w:pPr>
      <w:bookmarkStart w:id="1593" w:name="bookmark1593"/>
      <w:bookmarkStart w:id="1594" w:name="bookmark1594"/>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93"/>
      <w:bookmarkEnd w:id="1594"/>
      <w:bookmarkEnd w:id="1598"/>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99"/>
      <w:bookmarkEnd w:id="1600"/>
      <w:bookmarkEnd w:id="16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03"/>
      <w:bookmarkEnd w:id="1604"/>
      <w:bookmarkEnd w:id="160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7"/>
      <w:bookmarkEnd w:id="1608"/>
      <w:bookmarkEnd w:id="160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10"/>
      <w:bookmarkEnd w:id="1611"/>
      <w:bookmarkEnd w:id="161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14"/>
      <w:bookmarkEnd w:id="1615"/>
      <w:bookmarkEnd w:id="1617"/>
    </w:p>
    <w:p>
      <w:pPr>
        <w:pStyle w:val="Style32"/>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14"/>
      <w:bookmarkEnd w:id="1615"/>
      <w:bookmarkEnd w:id="161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619" w:name="bookmark1619"/>
      <w:bookmarkStart w:id="1620" w:name="bookmark1620"/>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19"/>
      <w:bookmarkEnd w:id="1620"/>
      <w:bookmarkEnd w:id="16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计划资产：</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设定受益计划净负债（净资产）</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22"/>
      <w:bookmarkEnd w:id="1623"/>
      <w:bookmarkEnd w:id="162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26"/>
      <w:bookmarkEnd w:id="1627"/>
      <w:bookmarkEnd w:id="16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形成原因</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2,115,431.25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1,479,602.96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6,055,828.29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项目补助专项资</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bl>
    <w:p>
      <w:pPr>
        <w:spacing w:lineRule="exact" w:line="1"/>
        <w:rPr>
          <w:sz w:val="2"/>
          <w:szCs w:val="2"/>
        </w:rPr>
      </w:pPr>
      <w:r>
        <w:br w:type="page"/>
      </w:r>
    </w:p>
    <w:tbl>
      <w:tblPr>
        <w:tblOverlap w:val="never"/>
        <w:jc w:val="center"/>
        <w:tblLayout w:type="fixed"/>
      </w:tblPr>
      <w:tblGrid>
        <w:gridCol w:w="1598"/>
        <w:gridCol w:w="1598"/>
        <w:gridCol w:w="1594"/>
        <w:gridCol w:w="1589"/>
        <w:gridCol w:w="1598"/>
        <w:gridCol w:w="16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2,115,431.25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1,479,602.96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6,055,828.29</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58"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bl>
    <w:tbl>
      <w:tblPr>
        <w:tblOverlap w:val="never"/>
        <w:jc w:val="center"/>
        <w:tblLayout w:type="fixed"/>
      </w:tblPr>
      <w:tblGrid>
        <w:gridCol w:w="1018"/>
        <w:gridCol w:w="1248"/>
        <w:gridCol w:w="1013"/>
        <w:gridCol w:w="1008"/>
        <w:gridCol w:w="1013"/>
        <w:gridCol w:w="1008"/>
        <w:gridCol w:w="1008"/>
        <w:gridCol w:w="1248"/>
        <w:gridCol w:w="1018"/>
      </w:tblGrid>
      <w:tr>
        <w:trPr>
          <w:trHeight w:val="10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本期新增 补助金额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 其他收益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本期冲减 成本费用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促进制造 业与互联 网融合发 展的大数 据项目补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400,000.0</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0" w:lineRule="exact"/>
              <w:ind w:left="0" w:right="0" w:firstLine="0"/>
              <w:jc w:val="both"/>
            </w:pPr>
            <w:r>
              <w:rPr>
                <w:rFonts w:ascii="SimSun" w:eastAsia="SimSun" w:hAnsi="SimSun" w:cs="SimSun"/>
                <w:color w:val="000000"/>
                <w:spacing w:val="0"/>
                <w:w w:val="100"/>
                <w:position w:val="0"/>
              </w:rPr>
              <w:t>基于国产 芯片和国 密算法的 物联网安 全认证</w:t>
            </w:r>
          </w:p>
          <w:p>
            <w:pPr>
              <w:pStyle w:val="Style2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ESIM </w:t>
            </w:r>
            <w:r>
              <w:rPr>
                <w:rFonts w:ascii="SimSun" w:eastAsia="SimSun" w:hAnsi="SimSun" w:cs="SimSun"/>
                <w:color w:val="000000"/>
                <w:spacing w:val="0"/>
                <w:w w:val="100"/>
                <w:position w:val="0"/>
              </w:rPr>
              <w:t>的</w:t>
            </w:r>
          </w:p>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研发及产 业化补助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128,000.0</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5G</w:t>
            </w:r>
            <w:r>
              <w:rPr>
                <w:rFonts w:ascii="SimSun" w:eastAsia="SimSun" w:hAnsi="SimSun" w:cs="SimSun"/>
                <w:color w:val="000000"/>
                <w:spacing w:val="0"/>
                <w:w w:val="100"/>
                <w:position w:val="0"/>
              </w:rPr>
              <w:t>移动通 信网络身 份识别模 块研发及 产业化补 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195,283.0</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217,216.98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云会员移 动互联网 营销服务 平台补助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22,931.25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22,931.25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面向互联 网安全支 付的有源 可视蓝牙 智能卡研 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3,180,000.</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198,750.0</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2,981,250.00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99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5G</w:t>
            </w:r>
            <w:r>
              <w:rPr>
                <w:rFonts w:ascii="SimSun" w:eastAsia="SimSun" w:hAnsi="SimSun" w:cs="SimSun"/>
                <w:color w:val="000000"/>
                <w:spacing w:val="0"/>
                <w:w w:val="100"/>
                <w:position w:val="0"/>
              </w:rPr>
              <w:t>移动通 信国产安 全识别模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512,820.5</w:t>
            </w:r>
          </w:p>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1,487,179.49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18"/>
        <w:gridCol w:w="1248"/>
        <w:gridCol w:w="1013"/>
        <w:gridCol w:w="1008"/>
        <w:gridCol w:w="1013"/>
        <w:gridCol w:w="1008"/>
        <w:gridCol w:w="1008"/>
        <w:gridCol w:w="1248"/>
        <w:gridCol w:w="1018"/>
      </w:tblGrid>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基于国密 标准的国 产芯片</w:t>
            </w:r>
            <w:r>
              <w:rPr>
                <w:color w:val="000000"/>
                <w:spacing w:val="0"/>
                <w:w w:val="100"/>
                <w:position w:val="0"/>
              </w:rPr>
              <w:t xml:space="preserve">5G </w:t>
            </w:r>
            <w:r>
              <w:rPr>
                <w:rFonts w:ascii="SimSun" w:eastAsia="SimSun" w:hAnsi="SimSun" w:cs="SimSun"/>
                <w:color w:val="000000"/>
                <w:spacing w:val="0"/>
                <w:w w:val="100"/>
                <w:position w:val="0"/>
              </w:rPr>
              <w:t>移动通信 智能卡行 业应用产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240,000.0</w:t>
            </w:r>
          </w:p>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218,181.82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 关</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2,115,431.25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5,420,000.</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1,479,602.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6,055,828.29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30"/>
      <w:bookmarkEnd w:id="1631"/>
      <w:bookmarkEnd w:id="16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34"/>
      <w:bookmarkEnd w:id="1635"/>
      <w:bookmarkEnd w:id="16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696,921,354.</w:t>
            </w:r>
          </w:p>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696,921,354.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38"/>
      <w:bookmarkEnd w:id="1639"/>
      <w:bookmarkEnd w:id="1641"/>
    </w:p>
    <w:p>
      <w:pPr>
        <w:pStyle w:val="Style32"/>
        <w:keepNext/>
        <w:keepLines/>
        <w:widowControl w:val="0"/>
        <w:shd w:val="clear" w:color="auto" w:fill="auto"/>
        <w:tabs>
          <w:tab w:pos="628" w:val="left"/>
        </w:tabs>
        <w:bidi w:val="0"/>
        <w:spacing w:before="0" w:after="360" w:line="240" w:lineRule="auto"/>
        <w:ind w:left="0" w:right="0" w:firstLine="140"/>
        <w:jc w:val="left"/>
      </w:pPr>
      <w:bookmarkStart w:id="1638" w:name="bookmark1638"/>
      <w:bookmarkStart w:id="1639" w:name="bookmark1639"/>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38"/>
      <w:bookmarkEnd w:id="1639"/>
      <w:bookmarkEnd w:id="1643"/>
    </w:p>
    <w:p>
      <w:pPr>
        <w:pStyle w:val="Style32"/>
        <w:keepNext/>
        <w:keepLines/>
        <w:widowControl w:val="0"/>
        <w:shd w:val="clear" w:color="auto" w:fill="auto"/>
        <w:tabs>
          <w:tab w:pos="628" w:val="left"/>
        </w:tabs>
        <w:bidi w:val="0"/>
        <w:spacing w:before="0" w:after="360" w:line="240" w:lineRule="auto"/>
        <w:ind w:left="0" w:right="0" w:firstLine="140"/>
        <w:jc w:val="left"/>
      </w:pPr>
      <w:bookmarkStart w:id="1638" w:name="bookmark1638"/>
      <w:bookmarkStart w:id="1639" w:name="bookmark1639"/>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38"/>
      <w:bookmarkEnd w:id="1639"/>
      <w:bookmarkEnd w:id="16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发行在外 的金融工</w:t>
            </w:r>
          </w:p>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32"/>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46"/>
      <w:bookmarkEnd w:id="1647"/>
      <w:bookmarkEnd w:id="16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833,192.07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833,192.07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833,192.07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833,192.07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50"/>
      <w:bookmarkEnd w:id="1651"/>
      <w:bookmarkEnd w:id="16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4"/>
      <w:bookmarkEnd w:id="1655"/>
      <w:bookmarkEnd w:id="16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本期所 得税前 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税后归</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属于少</w:t>
            </w:r>
          </w:p>
          <w:p>
            <w:pPr>
              <w:pStyle w:val="Style2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1,468,601</w:t>
            </w:r>
          </w:p>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-712,38</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-712,38</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756,21</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其中：权益法下可转损益的其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2,526,83</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2,526,83</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1,468,601</w:t>
            </w:r>
          </w:p>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-3,239,2</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-1,770,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618.42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1,468,601</w:t>
            </w:r>
          </w:p>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-712,38</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-712,38</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756,21</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60" w:line="240" w:lineRule="auto"/>
        <w:ind w:left="0" w:right="0" w:firstLine="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58"/>
      <w:bookmarkEnd w:id="1659"/>
      <w:bookmarkEnd w:id="16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2"/>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62"/>
      <w:bookmarkEnd w:id="1663"/>
      <w:bookmarkEnd w:id="16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207,011,309.90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207,011,309.90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207,011,309.90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207,011,309.90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6"/>
      <w:bookmarkEnd w:id="1667"/>
      <w:bookmarkEnd w:id="16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1,022,055,351.76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944,612,685.27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408,578.92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1,022,055,351.76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945,021,264.19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1,724,407.34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86,769,193.40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9,735,105.83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1,023,779,759.10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1,022,055,351.76</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00" w:line="240" w:lineRule="auto"/>
        <w:ind w:left="0" w:right="0" w:firstLine="0"/>
        <w:jc w:val="left"/>
      </w:pPr>
      <w:bookmarkStart w:id="1670" w:name="bookmark1670"/>
      <w:r>
        <w:rPr>
          <w:rFonts w:ascii="Times New Roman" w:eastAsia="Times New Roman" w:hAnsi="Times New Roman" w:cs="Times New Roman"/>
          <w:color w:val="000000"/>
          <w:spacing w:val="0"/>
          <w:w w:val="100"/>
          <w:position w:val="0"/>
        </w:rPr>
        <w:t>1</w:t>
      </w:r>
      <w:bookmarkEnd w:id="167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671" w:name="bookmark1671"/>
      <w:r>
        <w:rPr>
          <w:rFonts w:ascii="Times New Roman" w:eastAsia="Times New Roman" w:hAnsi="Times New Roman" w:cs="Times New Roman"/>
          <w:color w:val="000000"/>
          <w:spacing w:val="0"/>
          <w:w w:val="100"/>
          <w:position w:val="0"/>
        </w:rPr>
        <w:t>2</w:t>
      </w:r>
      <w:bookmarkEnd w:id="167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672" w:name="bookmark1672"/>
      <w:r>
        <w:rPr>
          <w:rFonts w:ascii="Times New Roman" w:eastAsia="Times New Roman" w:hAnsi="Times New Roman" w:cs="Times New Roman"/>
          <w:color w:val="000000"/>
          <w:spacing w:val="0"/>
          <w:w w:val="100"/>
          <w:position w:val="0"/>
        </w:rPr>
        <w:t>3</w:t>
      </w:r>
      <w:bookmarkEnd w:id="167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673" w:name="bookmark1673"/>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60" w:line="240" w:lineRule="auto"/>
        <w:ind w:left="0" w:right="0" w:firstLine="0"/>
        <w:jc w:val="left"/>
      </w:pPr>
      <w:bookmarkStart w:id="1674" w:name="bookmark1674"/>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75"/>
      <w:bookmarkEnd w:id="1676"/>
      <w:bookmarkEnd w:id="16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1,043,253,421.12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728,425,613.90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1,531,803,412.29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1,166,348,910.10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8,910,317.03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6,066,635.35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3,663,843.06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3,060,497.71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1,052,163,738.15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734,492,249.25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1,535,467,255.35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1,169,409,407.81</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3"/>
        <w:gridCol w:w="21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1,052,163,738.15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1,535,467,255.35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189"/>
        <w:gridCol w:w="2640"/>
        <w:gridCol w:w="2573"/>
        <w:gridCol w:w="21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69,203,134.19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79,189,833.63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网络版会员软件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45,155,452.35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47,100,301.76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子公司一卡易股份的业 务，期后控制权存在不确 定性</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电子智能支付设备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15,137,364.81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28,425,688.81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子公司一卡易股份的业 务，期后控制权存在不确 定性</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7,255,014.41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2,704,081.43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材料销售非公司主营业 务</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1,655,302.62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959,761.63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非公司主营业务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与主营业务无</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关的业务收入小计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69,203,134.19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79,189,833.63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不具备商业实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质的收入小计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982,960,603.96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1,456,277,421.72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360" w:line="33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75,481,072.03</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rPr>
        <w:t xml:space="preserve">73,436,741.29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575,975.35</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240,218.39</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 其他说明</w:t>
      </w:r>
    </w:p>
    <w:p>
      <w:pPr>
        <w:pStyle w:val="Style32"/>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79"/>
      <w:bookmarkEnd w:id="1680"/>
      <w:bookmarkEnd w:id="16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2,590,255.87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4,131,981.06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1,849,223.90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2,950,889.51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1,464,986.53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620,796.05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476,342.20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487,033.18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450,834.80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396,741.80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37,112.02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6,858,817.95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8,624,553.62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83"/>
      <w:bookmarkEnd w:id="1684"/>
      <w:bookmarkEnd w:id="16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42,204,368.34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44,384,780.25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21,798,506.86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6,166,389.61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5,683,961.70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2,376,606.58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5,108,613.65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3,310,146.99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3,899,056.13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租赁及物业费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1,411,912.24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1,516,332.67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2,001,344.90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1,440,167.60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第三方机构服务费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3,187,351.02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1,266,356.75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售后维护费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901,793.02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474,760.28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865,484.27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1,051,002.38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725,263.91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424,083.94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417,829.96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63,509,759.30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88,136,353.75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87"/>
      <w:bookmarkEnd w:id="1688"/>
      <w:bookmarkEnd w:id="16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30,677,198.25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26,161,652.06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23,555,286.41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21,190,215.25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7,336,683.25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7,393,325.02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第三方机构服务费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5,794,718.92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6,141,916.70</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租赁及物业费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3,968,467.64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4,451,515.53</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3,541,308.82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3,611,871.17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3,636,839.56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2,808,592.84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1,031,791.70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557,927.72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79,542,294.55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72,317,016.29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91"/>
      <w:bookmarkEnd w:id="1692"/>
      <w:bookmarkEnd w:id="16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87,545,633.01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96,734,945.25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检测及服务费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17,024,967.93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10,154,472.19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10,891,988.16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9,900,334.53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3,162,972.35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4,965,000.65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8,457,081.51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4,870,095.68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392,196.47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414,187.57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127,474,839.43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127,039,035.87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95"/>
      <w:bookmarkEnd w:id="1696"/>
      <w:bookmarkEnd w:id="16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443,493.45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97,138.75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4,794,438.14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5,456,589.18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1,185,687.21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811,974.21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349,986.32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427,959.16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-2,815,271.16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-4,119,517.06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6</w:t>
      </w:r>
      <w:bookmarkEnd w:id="170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99"/>
      <w:bookmarkEnd w:id="1700"/>
      <w:bookmarkEnd w:id="17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990,324.28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13,995,166.87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10,122,796.57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5,763,954.82</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个人所得税手续费返还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132,516.86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129,828.10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11,245,637.71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19,888,949.79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6</w:t>
      </w:r>
      <w:bookmarkEnd w:id="170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03"/>
      <w:bookmarkEnd w:id="1704"/>
      <w:bookmarkEnd w:id="17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3,529,548.66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1,195,549.74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4,818,014.41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4,337,592.21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19,279,626.12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10,740,380.01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27,627,189.19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16,273,521.96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07"/>
      <w:bookmarkEnd w:id="1708"/>
      <w:bookmarkEnd w:id="17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11"/>
      <w:bookmarkEnd w:id="1712"/>
      <w:bookmarkEnd w:id="17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3,542,886.64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3,542,886.64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15"/>
      <w:bookmarkEnd w:id="1716"/>
      <w:bookmarkEnd w:id="17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-506,545.82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527,393.40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-4,728,474.77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-2,612,556.09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-5,235,020.59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-2,085,162.69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9"/>
      <w:bookmarkEnd w:id="1720"/>
      <w:bookmarkEnd w:id="172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-4,104,046.51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-3,387,416.54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-56,198,300.00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-52,514,546.43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-13,201,996.92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-112,816,892.94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-16,589,413.46</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23"/>
      <w:bookmarkEnd w:id="1724"/>
      <w:bookmarkEnd w:id="17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-1,023,212.06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-577,486.26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-1,023,212.06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-577,486.26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7</w:t>
      </w:r>
      <w:bookmarkEnd w:id="172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27"/>
      <w:bookmarkEnd w:id="1728"/>
      <w:bookmarkEnd w:id="17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116,574.62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302,551.95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116,574.62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违约金收入</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2,411,350.03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2,411,350.03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106,956.93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106,956.93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2,634,881.58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330,139.66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2,634,881.58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补贴是否 影响当年 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是否特殊 补贴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促进总部 经济发展 的企业奖 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丹阳市政</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105,774.62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162,551.95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中小企业 国际市场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丹阳市政</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 方政府招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61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商引资等 地方性扶 持政策而 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丹阳市云 阳街道财 政所扶持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丹阳市政 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江苏省丹 阳高新技 术产业开 发区高层 次人才引 进补助资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丹阳市政 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丹阳市政 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302,551.95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注：本年度子公司钱客多与深圳市联合利丰供应链股份有限公司达成协议：钱客多与深圳市联合利丰供应链股份有限公司签 订的原委托深圳市联合利丰供应链股份有限公司以钱客多信息公司名义向境外公司</w:t>
      </w:r>
      <w:r>
        <w:rPr>
          <w:rFonts w:ascii="Times New Roman" w:eastAsia="Times New Roman" w:hAnsi="Times New Roman" w:cs="Times New Roman"/>
          <w:color w:val="000000"/>
          <w:spacing w:val="0"/>
          <w:w w:val="100"/>
          <w:position w:val="0"/>
        </w:rPr>
        <w:t>NIPPON Platform Co.,Ltd</w:t>
      </w:r>
      <w:r>
        <w:rPr>
          <w:color w:val="000000"/>
          <w:spacing w:val="0"/>
          <w:w w:val="100"/>
          <w:position w:val="0"/>
        </w:rPr>
        <w:t>销售电子智能 支付设备的销售货款的合同，因</w:t>
      </w:r>
      <w:r>
        <w:rPr>
          <w:rFonts w:ascii="Times New Roman" w:eastAsia="Times New Roman" w:hAnsi="Times New Roman" w:cs="Times New Roman"/>
          <w:color w:val="000000"/>
          <w:spacing w:val="0"/>
          <w:w w:val="100"/>
          <w:position w:val="0"/>
        </w:rPr>
        <w:t>NIPPON Platform Co.,Ltd</w:t>
      </w:r>
      <w:r>
        <w:rPr>
          <w:color w:val="000000"/>
          <w:spacing w:val="0"/>
          <w:w w:val="100"/>
          <w:position w:val="0"/>
        </w:rPr>
        <w:t>要求终止合同，钱客多退还预收货款</w:t>
      </w:r>
      <w:r>
        <w:rPr>
          <w:rFonts w:ascii="Times New Roman" w:eastAsia="Times New Roman" w:hAnsi="Times New Roman" w:cs="Times New Roman"/>
          <w:color w:val="000000"/>
          <w:spacing w:val="0"/>
          <w:w w:val="100"/>
          <w:position w:val="0"/>
        </w:rPr>
        <w:t>3,401,840.08</w:t>
      </w:r>
      <w:r>
        <w:rPr>
          <w:color w:val="000000"/>
          <w:spacing w:val="0"/>
          <w:w w:val="100"/>
          <w:position w:val="0"/>
        </w:rPr>
        <w:t>元中的</w:t>
      </w:r>
      <w:r>
        <w:rPr>
          <w:rFonts w:ascii="Times New Roman" w:eastAsia="Times New Roman" w:hAnsi="Times New Roman" w:cs="Times New Roman"/>
          <w:color w:val="000000"/>
          <w:spacing w:val="0"/>
          <w:w w:val="100"/>
          <w:position w:val="0"/>
        </w:rPr>
        <w:t xml:space="preserve">990,490.05 </w:t>
      </w:r>
      <w:r>
        <w:rPr>
          <w:color w:val="000000"/>
          <w:spacing w:val="0"/>
          <w:w w:val="100"/>
          <w:position w:val="0"/>
        </w:rPr>
        <w:t>元后终止合同，上述预收货款扣除退还金额后的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,411,350.03</w:t>
      </w:r>
      <w:r>
        <w:rPr>
          <w:color w:val="000000"/>
          <w:spacing w:val="0"/>
          <w:w w:val="100"/>
          <w:position w:val="0"/>
        </w:rPr>
        <w:t>元计入营业外收入。</w:t>
      </w:r>
    </w:p>
    <w:p>
      <w:pPr>
        <w:pStyle w:val="Style32"/>
        <w:keepNext/>
        <w:keepLines/>
        <w:widowControl w:val="0"/>
        <w:shd w:val="clear" w:color="auto" w:fill="auto"/>
        <w:bidi w:val="0"/>
        <w:spacing w:before="0" w:after="36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7</w:t>
      </w:r>
      <w:bookmarkEnd w:id="173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31"/>
      <w:bookmarkEnd w:id="1732"/>
      <w:bookmarkEnd w:id="17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141,936.49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148,110.98</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非流动资产毁损报废损失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39,019.09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196,786.82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188,950.07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196,786.82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35"/>
      <w:bookmarkEnd w:id="1736"/>
      <w:bookmarkEnd w:id="1738"/>
    </w:p>
    <w:p>
      <w:pPr>
        <w:pStyle w:val="Style32"/>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35"/>
      <w:bookmarkEnd w:id="1736"/>
      <w:bookmarkEnd w:id="17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6,415,571.36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7,836,928.26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-11,063,432.38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-3,758,041.50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-4,647,861.02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4,078,886.76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40"/>
      <w:bookmarkEnd w:id="1741"/>
      <w:bookmarkEnd w:id="17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-31,120,268.46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-3,112,026.85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2,520,907.88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-9,660,637.41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-46,869.92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2,264,826.28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-1,556,851.28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税率调整导致年初递延所得税资产</w:t>
            </w:r>
            <w:r>
              <w:rPr>
                <w:color w:val="000000"/>
                <w:spacing w:val="0"/>
                <w:w w:val="100"/>
                <w:position w:val="0"/>
              </w:rPr>
              <w:t>/</w:t>
            </w:r>
            <w:r>
              <w:rPr>
                <w:rFonts w:ascii="SimSun" w:eastAsia="SimSun" w:hAnsi="SimSun" w:cs="SimSun"/>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-431,265.53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5,251,454.64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小微企业税收优惠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-209,357.68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-4,647,861.02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3"/>
      <w:bookmarkEnd w:id="1744"/>
      <w:bookmarkEnd w:id="174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详见附注附注七、</w:t>
      </w:r>
      <w:r>
        <w:rPr>
          <w:rFonts w:ascii="Times New Roman" w:eastAsia="Times New Roman" w:hAnsi="Times New Roman" w:cs="Times New Roman"/>
          <w:color w:val="000000"/>
          <w:spacing w:val="0"/>
          <w:w w:val="100"/>
          <w:position w:val="0"/>
        </w:rPr>
        <w:t>57</w:t>
      </w:r>
      <w:r>
        <w:rPr>
          <w:color w:val="000000"/>
          <w:spacing w:val="0"/>
          <w:w w:val="100"/>
          <w:position w:val="0"/>
        </w:rPr>
        <w:t>。</w:t>
      </w:r>
      <w:r>
        <w:br w:type="page"/>
      </w:r>
    </w:p>
    <w:p>
      <w:pPr>
        <w:pStyle w:val="Style32"/>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47"/>
      <w:bookmarkEnd w:id="1748"/>
      <w:bookmarkEnd w:id="1750"/>
    </w:p>
    <w:p>
      <w:pPr>
        <w:pStyle w:val="Style32"/>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7"/>
      <w:bookmarkEnd w:id="1748"/>
      <w:bookmarkEnd w:id="17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7,593,048.56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9,858,327.20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14,179,768.23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6,488,161.77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4,794,438.14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5,456,589.18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净额法核算收入的代收款项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492,756,000.00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4,837,069.03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w:t>
            </w:r>
            <w:r>
              <w:rPr>
                <w:color w:val="000000"/>
                <w:spacing w:val="0"/>
                <w:w w:val="100"/>
                <w:position w:val="0"/>
              </w:rPr>
              <w:t>3</w:t>
            </w:r>
            <w:r>
              <w:rPr>
                <w:rFonts w:ascii="SimSun" w:eastAsia="SimSun" w:hAnsi="SimSun" w:cs="SimSun"/>
                <w:color w:val="000000"/>
                <w:spacing w:val="0"/>
                <w:w w:val="100"/>
                <w:position w:val="0"/>
              </w:rPr>
              <w:t>个月以上到期的保函保证金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4,716,990.39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3,945,311.42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239,473.79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166,420.23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524,279,719.11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30,751,878.83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60" w:line="240" w:lineRule="auto"/>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52"/>
      <w:bookmarkEnd w:id="1753"/>
      <w:bookmarkEnd w:id="17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77,860,608.47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90,505,540.34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w:t>
            </w:r>
            <w:r>
              <w:rPr>
                <w:color w:val="000000"/>
                <w:spacing w:val="0"/>
                <w:w w:val="100"/>
                <w:position w:val="0"/>
              </w:rPr>
              <w:t>3</w:t>
            </w:r>
            <w:r>
              <w:rPr>
                <w:rFonts w:ascii="SimSun" w:eastAsia="SimSun" w:hAnsi="SimSun" w:cs="SimSun"/>
                <w:color w:val="000000"/>
                <w:spacing w:val="0"/>
                <w:w w:val="100"/>
                <w:position w:val="0"/>
              </w:rPr>
              <w:t>个月以上到期的保函保证金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6,935,608.64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4,716,990.39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4,485,327.32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12,229,480.00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1,894,792.06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12,189,669.39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141,936.49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2,287,320.47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1,504,592.08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93,611,767.94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121,288,208.69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55"/>
      <w:bookmarkEnd w:id="1756"/>
      <w:bookmarkEnd w:id="17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9"/>
      <w:bookmarkEnd w:id="1760"/>
      <w:bookmarkEnd w:id="176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36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63"/>
      <w:bookmarkEnd w:id="1764"/>
      <w:bookmarkEnd w:id="17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7"/>
      <w:bookmarkEnd w:id="1768"/>
      <w:bookmarkEnd w:id="17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股票回购款项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53,009,074.03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53,009,074.03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7</w:t>
      </w:r>
      <w:bookmarkEnd w:id="177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71"/>
      <w:bookmarkEnd w:id="1772"/>
      <w:bookmarkEnd w:id="1774"/>
    </w:p>
    <w:p>
      <w:pPr>
        <w:pStyle w:val="Style32"/>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71"/>
      <w:bookmarkEnd w:id="1772"/>
      <w:bookmarkEnd w:id="17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-26,472,407.44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87,033,117.24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118,051,913.53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18,674,576.15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固定资产折旧、油气资产折耗、</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25,423,303.79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27,428,304.78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19,587,890.07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21,701,145.71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7,025,140.56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1,769,911.84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1,023,212.06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577,486.26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固定资产报废损失（收益以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公允价值变动损失（收益以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-3,542,886.64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财务费用（收益以“一”号填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1,629,180.66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59,805.05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投资损失（收益以“一”号填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-27,627,189.19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-16,273,521.96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-648,655.19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-1,095,407.01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-10,414,777.19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-2,662,634.49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-46,711,187.86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-8,671,750.09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820"/>
              <w:jc w:val="left"/>
            </w:pPr>
            <w:r>
              <w:rPr>
                <w:rFonts w:ascii="SimSun" w:eastAsia="SimSun" w:hAnsi="SimSun" w:cs="SimSun"/>
                <w:color w:val="000000"/>
                <w:spacing w:val="0"/>
                <w:w w:val="100"/>
                <w:position w:val="0"/>
              </w:rPr>
              <w:t>经营性应收项目的减少（增加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455,194,823.92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-230,394,464.32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820"/>
              <w:jc w:val="left"/>
            </w:pPr>
            <w:r>
              <w:rPr>
                <w:rFonts w:ascii="SimSun" w:eastAsia="SimSun" w:hAnsi="SimSun" w:cs="SimSun"/>
                <w:color w:val="000000"/>
                <w:spacing w:val="0"/>
                <w:w w:val="100"/>
                <w:position w:val="0"/>
              </w:rPr>
              <w:t>经营性应付项目的增加（减少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2,627,435.25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57,401,607.58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515,155,453.08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-44,451,823.26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459,658,611.46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497,972,770.37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497,972,770.37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771,050,604.51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886,347.38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886,347.38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-39,200,506.29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-272,191,486.76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76"/>
      <w:bookmarkEnd w:id="1777"/>
      <w:bookmarkEnd w:id="17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numPr>
          <w:ilvl w:val="0"/>
          <w:numId w:val="103"/>
        </w:numPr>
        <w:shd w:val="clear" w:color="auto" w:fill="auto"/>
        <w:bidi w:val="0"/>
        <w:spacing w:before="0" w:after="36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本期收到的处置子公司的现金净额</w:t>
      </w:r>
      <w:bookmarkEnd w:id="1779"/>
      <w:bookmarkEnd w:id="1780"/>
      <w:bookmarkEnd w:id="17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103"/>
        </w:numPr>
        <w:shd w:val="clear" w:color="auto" w:fill="auto"/>
        <w:bidi w:val="0"/>
        <w:spacing w:before="0" w:after="360" w:line="240" w:lineRule="auto"/>
        <w:ind w:left="0" w:right="0" w:firstLine="14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现金和现金等价物的构成</w:t>
      </w:r>
      <w:bookmarkEnd w:id="1783"/>
      <w:bookmarkEnd w:id="1784"/>
      <w:bookmarkEnd w:id="17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459,658,611.46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497,972,770.37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113,411.98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345,269.50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459,545,199.48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497,627,500.87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886,347.38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886,347.38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459,658,611.46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498,859,117.75</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8</w:t>
      </w:r>
      <w:bookmarkEnd w:id="178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87"/>
      <w:bookmarkEnd w:id="1788"/>
      <w:bookmarkEnd w:id="17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8</w:t>
      </w:r>
      <w:bookmarkEnd w:id="179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91"/>
      <w:bookmarkEnd w:id="1792"/>
      <w:bookmarkEnd w:id="17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6,935,608.64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70,480,706.79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17,974,939.65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抵押(注)</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95,391,255.08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注：详见第四节四、</w:t>
      </w:r>
      <w:r>
        <w:rPr>
          <w:color w:val="000000"/>
          <w:spacing w:val="0"/>
          <w:w w:val="100"/>
          <w:position w:val="0"/>
          <w:sz w:val="18"/>
          <w:szCs w:val="18"/>
        </w:rPr>
        <w:t>3</w:t>
      </w:r>
      <w:r>
        <w:rPr>
          <w:color w:val="000000"/>
          <w:spacing w:val="0"/>
          <w:w w:val="100"/>
          <w:position w:val="0"/>
        </w:rPr>
        <w:t>。</w:t>
      </w:r>
      <w:r>
        <w:br w:type="page"/>
      </w:r>
    </w:p>
    <w:p>
      <w:pPr>
        <w:pStyle w:val="Style32"/>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8</w:t>
      </w:r>
      <w:bookmarkEnd w:id="179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95"/>
      <w:bookmarkEnd w:id="1796"/>
      <w:bookmarkEnd w:id="1798"/>
    </w:p>
    <w:p>
      <w:pPr>
        <w:pStyle w:val="Style32"/>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95"/>
      <w:bookmarkEnd w:id="1796"/>
      <w:bookmarkEnd w:id="17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1,639,166.34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10,695,396.45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231,261.29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1,855,871.85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157,010.24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774,280.30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1,917,165.18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12,509,311.08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1,031,286.67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6,729,042.39</w:t>
            </w:r>
          </w:p>
        </w:tc>
      </w:tr>
    </w:tbl>
    <w:p>
      <w:pPr>
        <w:widowControl w:val="0"/>
        <w:spacing w:after="9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317" w:lineRule="exact"/>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00"/>
      <w:bookmarkEnd w:id="1801"/>
      <w:bookmarkEnd w:id="180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792"/>
        <w:gridCol w:w="1704"/>
        <w:gridCol w:w="2333"/>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记账本位币</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恒宝国际有限责任公司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新加坡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恒宝科技（印度）私人有限公司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印度卢比</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恒宝（中东非洲）有限责任公司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肯尼亚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肯尼亚先令</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Modularsoft Sdn.Bhd.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马来西亚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林吉特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Asia Smart Cards Centre(M)Sdn.Bhd.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马来西亚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林吉特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Chipstone Technologies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新加坡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新加坡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bl>
    <w:p>
      <w:pPr>
        <w:spacing w:lineRule="exact" w:line="1"/>
        <w:rPr>
          <w:sz w:val="2"/>
          <w:szCs w:val="2"/>
        </w:rPr>
      </w:pPr>
      <w:r>
        <w:br w:type="page"/>
      </w:r>
    </w:p>
    <w:tbl>
      <w:tblPr>
        <w:tblOverlap w:val="never"/>
        <w:jc w:val="center"/>
        <w:tblLayout w:type="fixed"/>
      </w:tblPr>
      <w:tblGrid>
        <w:gridCol w:w="3792"/>
        <w:gridCol w:w="1704"/>
        <w:gridCol w:w="2333"/>
      </w:tblGrid>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PT.Chipstone Technologies Indonesia</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印度尼西亚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印度尼西亚卢比</w:t>
            </w:r>
          </w:p>
        </w:tc>
      </w:tr>
    </w:tbl>
    <w:p>
      <w:pPr>
        <w:widowControl w:val="0"/>
        <w:spacing w:after="619" w:line="1" w:lineRule="exact"/>
      </w:pPr>
    </w:p>
    <w:p>
      <w:pPr>
        <w:pStyle w:val="Style32"/>
        <w:keepNext/>
        <w:keepLines/>
        <w:widowControl w:val="0"/>
        <w:shd w:val="clear" w:color="auto" w:fill="auto"/>
        <w:tabs>
          <w:tab w:pos="483" w:val="left"/>
        </w:tabs>
        <w:bidi w:val="0"/>
        <w:spacing w:before="0" w:after="36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8</w:t>
      </w:r>
      <w:bookmarkEnd w:id="180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03"/>
      <w:bookmarkEnd w:id="1804"/>
      <w:bookmarkEnd w:id="180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8</w:t>
      </w:r>
      <w:bookmarkEnd w:id="180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7"/>
      <w:bookmarkEnd w:id="1808"/>
      <w:bookmarkEnd w:id="1810"/>
    </w:p>
    <w:p>
      <w:pPr>
        <w:pStyle w:val="Style32"/>
        <w:keepNext/>
        <w:keepLines/>
        <w:widowControl w:val="0"/>
        <w:shd w:val="clear" w:color="auto" w:fill="auto"/>
        <w:bidi w:val="0"/>
        <w:spacing w:before="0" w:after="360" w:line="240" w:lineRule="auto"/>
        <w:ind w:left="0" w:right="0" w:firstLine="0"/>
        <w:jc w:val="left"/>
      </w:pPr>
      <w:bookmarkStart w:id="1807" w:name="bookmark1807"/>
      <w:bookmarkStart w:id="1808" w:name="bookmark1808"/>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7"/>
      <w:bookmarkEnd w:id="1808"/>
      <w:bookmarkEnd w:id="18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省级工业和信息产业转型升 级专项资金</w:t>
            </w:r>
            <w:r>
              <w:rPr>
                <w:color w:val="000000"/>
                <w:spacing w:val="0"/>
                <w:w w:val="100"/>
                <w:position w:val="0"/>
              </w:rPr>
              <w:t>-5G</w:t>
            </w:r>
            <w:r>
              <w:rPr>
                <w:rFonts w:ascii="SimSun" w:eastAsia="SimSun" w:hAnsi="SimSun" w:cs="SimSun"/>
                <w:color w:val="000000"/>
                <w:spacing w:val="0"/>
                <w:w w:val="100"/>
                <w:position w:val="0"/>
              </w:rPr>
              <w:t>移动通信国 产安全识别模块项目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512,820.51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江苏省丹阳高新技术产业开 发区科技发展资助类项目资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212,538.71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212,538.71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省科学技术奖配套奖励资金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丹阳市省级商务发展专项资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国家级服务外包专项资金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538,900.00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538,900.00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省科技成果转化专项资金</w:t>
            </w:r>
            <w:r>
              <w:rPr>
                <w:color w:val="000000"/>
                <w:spacing w:val="0"/>
                <w:w w:val="100"/>
                <w:position w:val="0"/>
              </w:rPr>
              <w:t xml:space="preserve">- </w:t>
            </w:r>
            <w:r>
              <w:rPr>
                <w:rFonts w:ascii="SimSun" w:eastAsia="SimSun" w:hAnsi="SimSun" w:cs="SimSun"/>
                <w:color w:val="000000"/>
                <w:spacing w:val="0"/>
                <w:w w:val="100"/>
                <w:position w:val="0"/>
              </w:rPr>
              <w:t>面向互联网安全支付的有源 可视蓝牙智能卡研发及产业 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2,820,000.00</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省科技成果转化专项资金</w:t>
            </w:r>
            <w:r>
              <w:rPr>
                <w:color w:val="000000"/>
                <w:spacing w:val="0"/>
                <w:w w:val="100"/>
                <w:position w:val="0"/>
              </w:rPr>
              <w:t xml:space="preserve">- </w:t>
            </w:r>
            <w:r>
              <w:rPr>
                <w:rFonts w:ascii="SimSun" w:eastAsia="SimSun" w:hAnsi="SimSun" w:cs="SimSun"/>
                <w:color w:val="000000"/>
                <w:spacing w:val="0"/>
                <w:w w:val="100"/>
                <w:position w:val="0"/>
              </w:rPr>
              <w:t>面向互联网安全支付的有源 可视蓝牙智能卡研发及产业 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198,750.00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省级工程技术研究中心立项</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和绩效评估奖励经费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丹阳市促进实体发展专项资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250,000.00</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丹阳市科技创新专项资金竞 争类项目</w:t>
            </w:r>
            <w:r>
              <w:rPr>
                <w:color w:val="000000"/>
                <w:spacing w:val="0"/>
                <w:w w:val="100"/>
                <w:position w:val="0"/>
              </w:rPr>
              <w:t>-</w:t>
            </w:r>
            <w:r>
              <w:rPr>
                <w:rFonts w:ascii="SimSun" w:eastAsia="SimSun" w:hAnsi="SimSun" w:cs="SimSun"/>
                <w:color w:val="000000"/>
                <w:spacing w:val="0"/>
                <w:w w:val="100"/>
                <w:position w:val="0"/>
              </w:rPr>
              <w:t>基于国密标准的 国产芯片</w:t>
            </w:r>
            <w:r>
              <w:rPr>
                <w:color w:val="000000"/>
                <w:spacing w:val="0"/>
                <w:w w:val="100"/>
                <w:position w:val="0"/>
              </w:rPr>
              <w:t>5G</w:t>
            </w:r>
            <w:r>
              <w:rPr>
                <w:rFonts w:ascii="SimSun" w:eastAsia="SimSun" w:hAnsi="SimSun" w:cs="SimSun"/>
                <w:color w:val="000000"/>
                <w:spacing w:val="0"/>
                <w:w w:val="100"/>
                <w:position w:val="0"/>
              </w:rPr>
              <w:t>移动通信智能 卡行业应用产品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21,818.18</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丹阳市商务局信保保费项目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丹阳市商务资质认证奖励项</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丹阳市商务局重点服务项目 外包在岸业务项目补贴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境外研发中心项目资金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127,600.00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丹阳市劳动就业管理中心疫</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情补贴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257,485.00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257,485.00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丹阳市科技创新专项资金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年首批认定的市级总 部企业政策兑现资金计划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丹阳市科学技术局项目补贴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新加坡人力资源部就业支持 计划</w:t>
            </w:r>
            <w:r>
              <w:rPr>
                <w:color w:val="000000"/>
                <w:spacing w:val="0"/>
                <w:w w:val="100"/>
                <w:position w:val="0"/>
              </w:rPr>
              <w:t>U j sssheme</w:t>
            </w:r>
            <w:r>
              <w:rPr>
                <w:rFonts w:ascii="SimSun" w:eastAsia="SimSun" w:hAnsi="SimSun" w:cs="SimSun"/>
                <w:color w:val="000000"/>
                <w:spacing w:val="0"/>
                <w:w w:val="100"/>
                <w:position w:val="0"/>
              </w:rPr>
              <w:t>、</w:t>
            </w:r>
            <w:r>
              <w:rPr>
                <w:color w:val="000000"/>
                <w:spacing w:val="0"/>
                <w:w w:val="100"/>
                <w:position w:val="0"/>
              </w:rPr>
              <w:t>momsubsidy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620,443.17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620,443.17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马来西亚疫情政府就业补助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307,316.73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307,316.73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年软件著作权补贴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深圳市龙华区科技创新局</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(展会补贴)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年第</w:t>
            </w:r>
            <w:r>
              <w:rPr>
                <w:color w:val="000000"/>
                <w:spacing w:val="0"/>
                <w:w w:val="100"/>
                <w:position w:val="0"/>
              </w:rPr>
              <w:t>8</w:t>
            </w:r>
            <w:r>
              <w:rPr>
                <w:rFonts w:ascii="SimSun" w:eastAsia="SimSun" w:hAnsi="SimSun" w:cs="SimSun"/>
                <w:color w:val="000000"/>
                <w:spacing w:val="0"/>
                <w:w w:val="100"/>
                <w:position w:val="0"/>
              </w:rPr>
              <w:t>批深圳市龙华区 人力资源局龙华以工代训补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年研发支助政府补贴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454,000.00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深圳市科技创新委员会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年科技创新专项补助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300,200.00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促进总部经济发展的企业奖 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105,774.62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105,774.62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14,179,768.23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9,493,156.92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12"/>
      <w:bookmarkEnd w:id="1813"/>
      <w:bookmarkEnd w:id="18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8</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15"/>
      <w:bookmarkEnd w:id="1816"/>
      <w:bookmarkEnd w:id="1818"/>
    </w:p>
    <w:p>
      <w:pPr>
        <w:pStyle w:val="Style25"/>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sz w:val="24"/>
          <w:szCs w:val="24"/>
        </w:rPr>
        <w:t>八</w:t>
      </w:r>
      <w:bookmarkEnd w:id="1821"/>
      <w:r>
        <w:rPr>
          <w:color w:val="000000"/>
          <w:spacing w:val="0"/>
          <w:w w:val="100"/>
          <w:position w:val="0"/>
          <w:sz w:val="24"/>
          <w:szCs w:val="24"/>
        </w:rPr>
        <w:t>、合并范围的变更</w:t>
      </w:r>
      <w:bookmarkEnd w:id="1819"/>
      <w:bookmarkEnd w:id="1820"/>
      <w:bookmarkEnd w:id="1822"/>
    </w:p>
    <w:p>
      <w:pPr>
        <w:pStyle w:val="Style32"/>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bookmarkEnd w:id="1825"/>
      <w:r>
        <w:rPr>
          <w:color w:val="000000"/>
          <w:spacing w:val="0"/>
          <w:w w:val="100"/>
          <w:position w:val="0"/>
        </w:rPr>
        <w:t>、非同一控制下企业合并</w:t>
      </w:r>
      <w:bookmarkEnd w:id="1823"/>
      <w:bookmarkEnd w:id="1824"/>
      <w:bookmarkEnd w:id="1826"/>
    </w:p>
    <w:p>
      <w:pPr>
        <w:pStyle w:val="Style32"/>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23"/>
      <w:bookmarkEnd w:id="1824"/>
      <w:bookmarkEnd w:id="18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购买日至</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购买日至</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被购买方</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股权取得</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股权取得</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购买日的</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期末被购</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期末被购</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时点</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确定依据</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买方的收</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买方的净</w:t>
            </w: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入</w:t>
            </w: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8"/>
      <w:bookmarkEnd w:id="1829"/>
      <w:bookmarkEnd w:id="18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31"/>
      <w:bookmarkEnd w:id="1832"/>
      <w:bookmarkEnd w:id="18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35"/>
      <w:bookmarkEnd w:id="1836"/>
      <w:bookmarkEnd w:id="183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48"/>
        <w:keepNext w:val="0"/>
        <w:keepLines w:val="0"/>
        <w:widowControl w:val="0"/>
        <w:shd w:val="clear" w:color="auto" w:fill="auto"/>
        <w:tabs>
          <w:tab w:pos="488" w:val="left"/>
        </w:tabs>
        <w:bidi w:val="0"/>
        <w:spacing w:before="0" w:after="360" w:line="240" w:lineRule="auto"/>
        <w:ind w:left="0" w:right="0" w:firstLine="0"/>
        <w:jc w:val="left"/>
      </w:pPr>
      <w:bookmarkStart w:id="1839" w:name="bookmark1839"/>
      <w:r>
        <w:rPr>
          <w:color w:val="000000"/>
          <w:spacing w:val="0"/>
          <w:w w:val="100"/>
          <w:position w:val="0"/>
        </w:rPr>
        <w:t>（</w:t>
      </w:r>
      <w:bookmarkEnd w:id="183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p>
    <w:p>
      <w:pPr>
        <w:pStyle w:val="Style48"/>
        <w:keepNext w:val="0"/>
        <w:keepLines w:val="0"/>
        <w:widowControl w:val="0"/>
        <w:shd w:val="clear" w:color="auto" w:fill="auto"/>
        <w:tabs>
          <w:tab w:pos="488" w:val="left"/>
        </w:tabs>
        <w:bidi w:val="0"/>
        <w:spacing w:before="0" w:after="360" w:line="240" w:lineRule="auto"/>
        <w:ind w:left="0" w:right="0" w:firstLine="0"/>
        <w:jc w:val="left"/>
      </w:pPr>
      <w:bookmarkStart w:id="1840" w:name="bookmark1840"/>
      <w:r>
        <w:rPr>
          <w:color w:val="000000"/>
          <w:spacing w:val="0"/>
          <w:w w:val="100"/>
          <w:position w:val="0"/>
        </w:rPr>
        <w:t>（</w:t>
      </w:r>
      <w:bookmarkEnd w:id="184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48"/>
        <w:keepNext w:val="0"/>
        <w:keepLines w:val="0"/>
        <w:widowControl w:val="0"/>
        <w:shd w:val="clear" w:color="auto" w:fill="auto"/>
        <w:bidi w:val="0"/>
        <w:spacing w:before="0" w:after="360" w:line="240" w:lineRule="auto"/>
        <w:ind w:left="0" w:right="0" w:firstLine="0"/>
        <w:jc w:val="left"/>
      </w:pPr>
      <w:bookmarkStart w:id="1841" w:name="bookmark1841"/>
      <w:r>
        <w:rPr>
          <w:rFonts w:ascii="Times New Roman" w:eastAsia="Times New Roman" w:hAnsi="Times New Roman" w:cs="Times New Roman"/>
          <w:color w:val="000000"/>
          <w:spacing w:val="0"/>
          <w:w w:val="100"/>
          <w:position w:val="0"/>
        </w:rPr>
        <w:t>2</w:t>
      </w:r>
      <w:bookmarkEnd w:id="1841"/>
      <w:r>
        <w:rPr>
          <w:color w:val="000000"/>
          <w:spacing w:val="0"/>
          <w:w w:val="100"/>
          <w:position w:val="0"/>
        </w:rPr>
        <w:t>、同一控制下企业合并</w:t>
      </w:r>
    </w:p>
    <w:p>
      <w:pPr>
        <w:pStyle w:val="Style4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160" w:right="0" w:firstLine="0"/>
              <w:jc w:val="left"/>
            </w:pPr>
            <w:r>
              <w:rPr>
                <w:rFonts w:ascii="SimSun" w:eastAsia="SimSun" w:hAnsi="SimSun" w:cs="SimSun"/>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160" w:right="0" w:firstLine="0"/>
              <w:jc w:val="left"/>
            </w:pPr>
            <w:r>
              <w:rPr>
                <w:rFonts w:ascii="SimSun" w:eastAsia="SimSun" w:hAnsi="SimSun" w:cs="SimSun"/>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合并当期 期初至合 并日被合 并方的收</w:t>
            </w:r>
          </w:p>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160" w:right="0" w:firstLine="0"/>
              <w:jc w:val="left"/>
            </w:pPr>
            <w:r>
              <w:rPr>
                <w:rFonts w:ascii="SimSun" w:eastAsia="SimSun" w:hAnsi="SimSun" w:cs="SimSun"/>
                <w:color w:val="000000"/>
                <w:spacing w:val="0"/>
                <w:w w:val="100"/>
                <w:position w:val="0"/>
              </w:rPr>
              <w:t>比较期间 被合并方 的净利润</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60" w:line="240" w:lineRule="auto"/>
        <w:ind w:left="0" w:right="0" w:firstLine="0"/>
        <w:jc w:val="left"/>
      </w:pPr>
      <w:bookmarkStart w:id="1842" w:name="bookmark1842"/>
      <w:r>
        <w:rPr>
          <w:color w:val="000000"/>
          <w:spacing w:val="0"/>
          <w:w w:val="100"/>
          <w:position w:val="0"/>
        </w:rPr>
        <w:t>（</w:t>
      </w:r>
      <w:bookmarkEnd w:id="184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tabs>
          <w:tab w:pos="378" w:val="left"/>
        </w:tabs>
        <w:bidi w:val="0"/>
        <w:spacing w:before="0" w:after="360" w:line="240" w:lineRule="auto"/>
        <w:ind w:left="0" w:right="0" w:firstLine="0"/>
        <w:jc w:val="left"/>
      </w:pPr>
      <w:bookmarkStart w:id="1843" w:name="bookmark1843"/>
      <w:r>
        <w:rPr>
          <w:rFonts w:ascii="Times New Roman" w:eastAsia="Times New Roman" w:hAnsi="Times New Roman" w:cs="Times New Roman"/>
          <w:color w:val="000000"/>
          <w:spacing w:val="0"/>
          <w:w w:val="100"/>
          <w:position w:val="0"/>
        </w:rPr>
        <w:t>3</w:t>
      </w:r>
      <w:bookmarkEnd w:id="1843"/>
      <w:r>
        <w:rPr>
          <w:color w:val="000000"/>
          <w:spacing w:val="0"/>
          <w:w w:val="100"/>
          <w:position w:val="0"/>
        </w:rPr>
        <w:t>、</w:t>
        <w:tab/>
        <w:t>反向购买</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48"/>
        <w:keepNext w:val="0"/>
        <w:keepLines w:val="0"/>
        <w:widowControl w:val="0"/>
        <w:shd w:val="clear" w:color="auto" w:fill="auto"/>
        <w:tabs>
          <w:tab w:pos="378" w:val="left"/>
        </w:tabs>
        <w:bidi w:val="0"/>
        <w:spacing w:before="0" w:after="360" w:line="240" w:lineRule="auto"/>
        <w:ind w:left="0" w:right="0" w:firstLine="0"/>
        <w:jc w:val="left"/>
      </w:pPr>
      <w:bookmarkStart w:id="1844" w:name="bookmark1844"/>
      <w:r>
        <w:rPr>
          <w:rFonts w:ascii="Times New Roman" w:eastAsia="Times New Roman" w:hAnsi="Times New Roman" w:cs="Times New Roman"/>
          <w:color w:val="000000"/>
          <w:spacing w:val="0"/>
          <w:w w:val="100"/>
          <w:position w:val="0"/>
        </w:rPr>
        <w:t>4</w:t>
      </w:r>
      <w:bookmarkEnd w:id="1844"/>
      <w:r>
        <w:rPr>
          <w:color w:val="000000"/>
          <w:spacing w:val="0"/>
          <w:w w:val="100"/>
          <w:position w:val="0"/>
        </w:rPr>
        <w:t>、</w:t>
        <w:tab/>
        <w:t>处置子公司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5</w:t>
      </w:r>
      <w:bookmarkEnd w:id="1847"/>
      <w:r>
        <w:rPr>
          <w:color w:val="000000"/>
          <w:spacing w:val="0"/>
          <w:w w:val="100"/>
          <w:position w:val="0"/>
        </w:rPr>
        <w:t>、</w:t>
        <w:tab/>
        <w:t>其他原因的合并范围变动</w:t>
      </w:r>
      <w:bookmarkEnd w:id="1845"/>
      <w:bookmarkEnd w:id="1846"/>
      <w:bookmarkEnd w:id="1848"/>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子公司云宝金服（北京）科技有限公司于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月设立子公司云玥科技（上海）有限公司，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月该公司纳入合并 范围。</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月设立子公司海南省恒宝数字科技有限公司，截止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日该公司尚未实际经营。</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月设立子公司恒宝物联网有限公司，截止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日该公司尚未实际经营。</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月出资设立子公司恒宝润芯数字科技有限公司，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月该公司纳入合并范围。</w:t>
      </w:r>
    </w:p>
    <w:p>
      <w:pPr>
        <w:pStyle w:val="Style45"/>
        <w:keepNext w:val="0"/>
        <w:keepLines w:val="0"/>
        <w:widowControl w:val="0"/>
        <w:shd w:val="clear" w:color="auto" w:fill="auto"/>
        <w:bidi w:val="0"/>
        <w:spacing w:before="0" w:line="312" w:lineRule="exact"/>
        <w:ind w:left="0" w:right="0"/>
        <w:jc w:val="left"/>
      </w:pPr>
      <w:r>
        <w:rPr>
          <w:rFonts w:ascii="SimSun" w:eastAsia="SimSun" w:hAnsi="SimSun" w:cs="SimSun"/>
          <w:color w:val="000000"/>
          <w:spacing w:val="0"/>
          <w:w w:val="100"/>
          <w:position w:val="0"/>
        </w:rPr>
        <w:t>子公司恒宝国际有限责任公司于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月出资设立子公司</w:t>
      </w:r>
      <w:r>
        <w:rPr>
          <w:color w:val="000000"/>
          <w:spacing w:val="0"/>
          <w:w w:val="100"/>
          <w:position w:val="0"/>
        </w:rPr>
        <w:t>Chipstone Technologies Pte.Ltd</w:t>
      </w:r>
      <w:r>
        <w:rPr>
          <w:rFonts w:ascii="SimSun" w:eastAsia="SimSun" w:hAnsi="SimSun" w:cs="SimSun"/>
          <w:color w:val="000000"/>
          <w:spacing w:val="0"/>
          <w:w w:val="100"/>
          <w:position w:val="0"/>
        </w:rPr>
        <w:t>和孙公司</w:t>
      </w:r>
      <w:r>
        <w:rPr>
          <w:color w:val="000000"/>
          <w:spacing w:val="0"/>
          <w:w w:val="100"/>
          <w:position w:val="0"/>
        </w:rPr>
        <w:t>Keyfort Pte.Ltd</w:t>
      </w:r>
      <w:r>
        <w:rPr>
          <w:rFonts w:ascii="SimSun" w:eastAsia="SimSun" w:hAnsi="SimSun" w:cs="SimSun"/>
          <w:color w:val="000000"/>
          <w:spacing w:val="0"/>
          <w:w w:val="100"/>
          <w:position w:val="0"/>
        </w:rPr>
        <w:t>，</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Chipstone Technologies Pte Ltd</w:t>
      </w:r>
      <w:r>
        <w:rPr>
          <w:rFonts w:ascii="SimSun" w:eastAsia="SimSun" w:hAnsi="SimSun" w:cs="SimSun"/>
          <w:color w:val="000000"/>
          <w:spacing w:val="0"/>
          <w:w w:val="100"/>
          <w:position w:val="0"/>
        </w:rPr>
        <w:t>和</w:t>
      </w:r>
      <w:r>
        <w:rPr>
          <w:color w:val="000000"/>
          <w:spacing w:val="0"/>
          <w:w w:val="100"/>
          <w:position w:val="0"/>
        </w:rPr>
        <w:t>Keyfort Pte.Ltd</w:t>
      </w:r>
      <w:r>
        <w:rPr>
          <w:rFonts w:ascii="SimSun" w:eastAsia="SimSun" w:hAnsi="SimSun" w:cs="SimSun"/>
          <w:color w:val="000000"/>
          <w:spacing w:val="0"/>
          <w:w w:val="100"/>
          <w:position w:val="0"/>
        </w:rPr>
        <w:t>纳入合并范围。</w:t>
      </w:r>
    </w:p>
    <w:p>
      <w:pPr>
        <w:pStyle w:val="Style32"/>
        <w:keepNext/>
        <w:keepLines/>
        <w:widowControl w:val="0"/>
        <w:shd w:val="clear" w:color="auto" w:fill="auto"/>
        <w:tabs>
          <w:tab w:pos="378"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6</w:t>
      </w:r>
      <w:bookmarkEnd w:id="1851"/>
      <w:r>
        <w:rPr>
          <w:color w:val="000000"/>
          <w:spacing w:val="0"/>
          <w:w w:val="100"/>
          <w:position w:val="0"/>
        </w:rPr>
        <w:t>、</w:t>
        <w:tab/>
        <w:t>其他</w:t>
      </w:r>
      <w:bookmarkEnd w:id="1849"/>
      <w:bookmarkEnd w:id="1850"/>
      <w:bookmarkEnd w:id="1852"/>
    </w:p>
    <w:p>
      <w:pPr>
        <w:pStyle w:val="Style25"/>
        <w:keepNext/>
        <w:keepLines/>
        <w:widowControl w:val="0"/>
        <w:shd w:val="clear" w:color="auto" w:fill="auto"/>
        <w:bidi w:val="0"/>
        <w:spacing w:before="0" w:after="34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sz w:val="24"/>
          <w:szCs w:val="24"/>
        </w:rPr>
        <w:t>九</w:t>
      </w:r>
      <w:bookmarkEnd w:id="1855"/>
      <w:r>
        <w:rPr>
          <w:color w:val="000000"/>
          <w:spacing w:val="0"/>
          <w:w w:val="100"/>
          <w:position w:val="0"/>
          <w:sz w:val="24"/>
          <w:szCs w:val="24"/>
        </w:rPr>
        <w:t>、在其他主体中的权益</w:t>
      </w:r>
      <w:bookmarkEnd w:id="1853"/>
      <w:bookmarkEnd w:id="1854"/>
      <w:bookmarkEnd w:id="1856"/>
    </w:p>
    <w:p>
      <w:pPr>
        <w:pStyle w:val="Style32"/>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57"/>
      <w:bookmarkEnd w:id="1858"/>
      <w:bookmarkEnd w:id="1859"/>
    </w:p>
    <w:p>
      <w:pPr>
        <w:pStyle w:val="Style32"/>
        <w:keepNext/>
        <w:keepLines/>
        <w:widowControl w:val="0"/>
        <w:shd w:val="clear" w:color="auto" w:fill="auto"/>
        <w:bidi w:val="0"/>
        <w:spacing w:before="0" w:line="240" w:lineRule="auto"/>
        <w:ind w:left="0" w:right="0" w:firstLine="140"/>
        <w:jc w:val="left"/>
      </w:pPr>
      <w:bookmarkStart w:id="1857" w:name="bookmark1857"/>
      <w:bookmarkStart w:id="1858" w:name="bookmark1858"/>
      <w:bookmarkStart w:id="1860" w:name="bookmark186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7"/>
      <w:bookmarkEnd w:id="1858"/>
      <w:bookmarkEnd w:id="1860"/>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江苏恒宝智能 系统技术有限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北京东方英卡 数字信息技术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恒宝国际有限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恒宝科技（印 度）私人有限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Modularsoft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Sdn.Bhd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Asia Smart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Cards</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Centre(M)Sdn.</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非同一控制下 企业合并取得</w:t>
            </w:r>
          </w:p>
        </w:tc>
      </w:tr>
      <w:tr>
        <w:trPr>
          <w:trHeight w:val="68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Chipstone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Technologies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云宝金服（北 京）科技有限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云玥科技（上 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深圳一卡易科 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深圳钱客多信 息科技有限公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深圳一卡易网 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企业合并取得</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恒宝（中东非 洲）有限责任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肯尼亚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肯尼亚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PT.Chipstone</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Technologies</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海南省恒宝数 字科技有限公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海南澄迈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海南澄迈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恒宝物联网有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江苏镇江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江苏镇江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恒宝润芯数字</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科技推广和应 用服务业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61"/>
      <w:bookmarkEnd w:id="1862"/>
      <w:bookmarkEnd w:id="186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期末少数股东权益余</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r>
    </w:tbl>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一卡易股份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-28,196,814.78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60,782,859.96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64"/>
      <w:bookmarkEnd w:id="1865"/>
      <w:bookmarkEnd w:id="18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 司名 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资产 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160"/>
              <w:jc w:val="left"/>
            </w:pPr>
            <w:r>
              <w:rPr>
                <w:rFonts w:ascii="SimSun" w:eastAsia="SimSun" w:hAnsi="SimSun" w:cs="SimSun"/>
                <w:color w:val="000000"/>
                <w:spacing w:val="0"/>
                <w:w w:val="100"/>
                <w:position w:val="0"/>
              </w:rPr>
              <w:t>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60"/>
              <w:jc w:val="left"/>
            </w:pPr>
            <w:r>
              <w:rPr>
                <w:rFonts w:ascii="SimSun" w:eastAsia="SimSun" w:hAnsi="SimSun" w:cs="SimSun"/>
                <w:color w:val="000000"/>
                <w:spacing w:val="0"/>
                <w:w w:val="100"/>
                <w:position w:val="0"/>
              </w:rPr>
              <w:t>负债 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非流 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资产 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60" w:right="0" w:firstLine="20"/>
              <w:jc w:val="left"/>
            </w:pPr>
            <w:r>
              <w:rPr>
                <w:rFonts w:ascii="SimSun" w:eastAsia="SimSun" w:hAnsi="SimSun" w:cs="SimSun"/>
                <w:color w:val="000000"/>
                <w:spacing w:val="0"/>
                <w:w w:val="100"/>
                <w:position w:val="0"/>
              </w:rPr>
              <w:t>负债 合计</w:t>
            </w:r>
          </w:p>
        </w:tc>
      </w:tr>
      <w:tr>
        <w:trPr>
          <w:trHeight w:val="446"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一卡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44,346</w:t>
            </w:r>
          </w:p>
        </w:tc>
      </w:tr>
      <w:tr>
        <w:trPr>
          <w:trHeight w:val="230"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7,108.</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342.91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,099.8</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,993.3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,931.2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,924.6</w:t>
            </w:r>
          </w:p>
        </w:tc>
      </w:tr>
      <w:tr>
        <w:trPr>
          <w:trHeight w:val="355"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160" w:right="0" w:firstLine="0"/>
              <w:jc w:val="left"/>
            </w:pPr>
            <w:r>
              <w:rPr>
                <w:rFonts w:ascii="SimSun" w:eastAsia="SimSun" w:hAnsi="SimSun" w:cs="SimSun"/>
                <w:color w:val="000000"/>
                <w:spacing w:val="0"/>
                <w:w w:val="100"/>
                <w:position w:val="0"/>
              </w:rPr>
              <w:t>经营活动 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140" w:right="0" w:firstLine="20"/>
              <w:jc w:val="left"/>
            </w:pPr>
            <w:r>
              <w:rPr>
                <w:rFonts w:ascii="SimSun" w:eastAsia="SimSun" w:hAnsi="SimSun" w:cs="SimSun"/>
                <w:color w:val="000000"/>
                <w:spacing w:val="0"/>
                <w:w w:val="100"/>
                <w:position w:val="0"/>
              </w:rPr>
              <w:t>经营活动 现金流量</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一卡易股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60,310,772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-50,891,43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-50,891,43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-14,186,92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75,525,990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2,185,765.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15,253,783</w:t>
            </w:r>
          </w:p>
        </w:tc>
      </w:tr>
      <w:tr>
        <w:trPr>
          <w:trHeight w:val="350"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8" w:val="left"/>
        </w:tabs>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8"/>
      <w:bookmarkEnd w:id="1869"/>
      <w:bookmarkEnd w:id="1871"/>
    </w:p>
    <w:p>
      <w:pPr>
        <w:pStyle w:val="Style32"/>
        <w:keepNext/>
        <w:keepLines/>
        <w:widowControl w:val="0"/>
        <w:shd w:val="clear" w:color="auto" w:fill="auto"/>
        <w:tabs>
          <w:tab w:pos="488" w:val="left"/>
        </w:tabs>
        <w:bidi w:val="0"/>
        <w:spacing w:before="0" w:after="360" w:line="240" w:lineRule="auto"/>
        <w:ind w:left="0" w:right="0" w:firstLine="0"/>
        <w:jc w:val="left"/>
      </w:pPr>
      <w:bookmarkStart w:id="1868" w:name="bookmark1868"/>
      <w:bookmarkStart w:id="1869" w:name="bookmark1869"/>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68"/>
      <w:bookmarkEnd w:id="1869"/>
      <w:bookmarkEnd w:id="187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bookmarkEnd w:id="1876"/>
      <w:r>
        <w:rPr>
          <w:color w:val="000000"/>
          <w:spacing w:val="0"/>
          <w:w w:val="100"/>
          <w:position w:val="0"/>
        </w:rPr>
        <w:t>、在子公司的所有者权益份额发生变化且仍控制子公司的交易</w:t>
      </w:r>
      <w:bookmarkEnd w:id="1874"/>
      <w:bookmarkEnd w:id="1875"/>
      <w:bookmarkEnd w:id="1877"/>
    </w:p>
    <w:p>
      <w:pPr>
        <w:pStyle w:val="Style32"/>
        <w:keepNext/>
        <w:keepLines/>
        <w:widowControl w:val="0"/>
        <w:shd w:val="clear" w:color="auto" w:fill="auto"/>
        <w:tabs>
          <w:tab w:pos="488" w:val="left"/>
        </w:tabs>
        <w:bidi w:val="0"/>
        <w:spacing w:before="0" w:after="360" w:line="240" w:lineRule="auto"/>
        <w:ind w:left="0" w:right="0" w:firstLine="0"/>
        <w:jc w:val="left"/>
      </w:pPr>
      <w:bookmarkStart w:id="1874" w:name="bookmark1874"/>
      <w:bookmarkStart w:id="1875" w:name="bookmark1875"/>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74"/>
      <w:bookmarkEnd w:id="1875"/>
      <w:bookmarkEnd w:id="1879"/>
    </w:p>
    <w:p>
      <w:pPr>
        <w:pStyle w:val="Style32"/>
        <w:keepNext/>
        <w:keepLines/>
        <w:widowControl w:val="0"/>
        <w:shd w:val="clear" w:color="auto" w:fill="auto"/>
        <w:tabs>
          <w:tab w:pos="488" w:val="left"/>
        </w:tabs>
        <w:bidi w:val="0"/>
        <w:spacing w:before="0" w:after="360" w:line="240" w:lineRule="auto"/>
        <w:ind w:left="0" w:right="0" w:firstLine="0"/>
        <w:jc w:val="left"/>
      </w:pPr>
      <w:bookmarkStart w:id="1874" w:name="bookmark1874"/>
      <w:bookmarkStart w:id="1875" w:name="bookmark1875"/>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74"/>
      <w:bookmarkEnd w:id="1875"/>
      <w:bookmarkEnd w:id="1881"/>
    </w:p>
    <w:p>
      <w:pPr>
        <w:pStyle w:val="Style29"/>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color w:val="000000"/>
          <w:spacing w:val="0"/>
          <w:w w:val="100"/>
          <w:position w:val="0"/>
        </w:rPr>
        <w:t>、在合营安排或联营企业中的权益</w:t>
      </w:r>
      <w:bookmarkEnd w:id="1882"/>
      <w:bookmarkEnd w:id="1883"/>
      <w:bookmarkEnd w:id="1885"/>
    </w:p>
    <w:p>
      <w:pPr>
        <w:pStyle w:val="Style32"/>
        <w:keepNext/>
        <w:keepLines/>
        <w:widowControl w:val="0"/>
        <w:shd w:val="clear" w:color="auto" w:fill="auto"/>
        <w:bidi w:val="0"/>
        <w:spacing w:before="0" w:after="360" w:line="240" w:lineRule="auto"/>
        <w:ind w:left="0" w:right="0" w:firstLine="0"/>
        <w:jc w:val="left"/>
      </w:pPr>
      <w:bookmarkStart w:id="1882" w:name="bookmark1882"/>
      <w:bookmarkStart w:id="1883" w:name="bookmark1883"/>
      <w:bookmarkStart w:id="1886" w:name="bookmark18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2"/>
      <w:bookmarkEnd w:id="1883"/>
      <w:bookmarkEnd w:id="1886"/>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上海恒毓投资 中心(有限合 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after="360" w:line="240" w:lineRule="auto"/>
        <w:ind w:left="0" w:right="0" w:firstLine="14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7"/>
      <w:bookmarkEnd w:id="1888"/>
      <w:bookmarkEnd w:id="18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numPr>
          <w:ilvl w:val="0"/>
          <w:numId w:val="105"/>
        </w:numPr>
        <w:shd w:val="clear" w:color="auto" w:fill="auto"/>
        <w:bidi w:val="0"/>
        <w:spacing w:before="0" w:after="360" w:line="240" w:lineRule="auto"/>
        <w:ind w:left="0" w:right="0" w:firstLine="0"/>
        <w:jc w:val="left"/>
      </w:pPr>
      <w:bookmarkStart w:id="1890" w:name="bookmark1890"/>
      <w:bookmarkStart w:id="1891" w:name="bookmark1891"/>
      <w:bookmarkStart w:id="1892" w:name="bookmark1892"/>
      <w:bookmarkStart w:id="1893" w:name="bookmark1893"/>
      <w:bookmarkEnd w:id="1892"/>
      <w:r>
        <w:rPr>
          <w:color w:val="000000"/>
          <w:spacing w:val="0"/>
          <w:w w:val="100"/>
          <w:position w:val="0"/>
        </w:rPr>
        <w:t>重要联营企业的主要财务信息</w:t>
      </w:r>
      <w:bookmarkEnd w:id="1890"/>
      <w:bookmarkEnd w:id="1891"/>
      <w:bookmarkEnd w:id="18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101,809,419.63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258,964,791.76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448,157,545.81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275,630,636.03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549,966,965.44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534,595,427.79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549,966,965.44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534,595,427.79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216,686,984.39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210,630,598.55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216,686,984.39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210,630,598.55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8,958,245.32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3,034,390.21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6,413,292.33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15,371,537.65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3,034,390.21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94"/>
      <w:bookmarkEnd w:id="1895"/>
      <w:bookmarkEnd w:id="18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8" w:val="left"/>
        </w:tabs>
        <w:bidi w:val="0"/>
        <w:spacing w:before="0" w:after="36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98"/>
      <w:bookmarkEnd w:id="1899"/>
      <w:bookmarkEnd w:id="1901"/>
    </w:p>
    <w:p>
      <w:pPr>
        <w:pStyle w:val="Style32"/>
        <w:keepNext/>
        <w:keepLines/>
        <w:widowControl w:val="0"/>
        <w:shd w:val="clear" w:color="auto" w:fill="auto"/>
        <w:tabs>
          <w:tab w:pos="488" w:val="left"/>
        </w:tabs>
        <w:bidi w:val="0"/>
        <w:spacing w:before="0" w:after="360" w:line="240" w:lineRule="auto"/>
        <w:ind w:left="0" w:right="0" w:firstLine="0"/>
        <w:jc w:val="left"/>
      </w:pPr>
      <w:bookmarkStart w:id="1898" w:name="bookmark1898"/>
      <w:bookmarkStart w:id="1899" w:name="bookmark1899"/>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98"/>
      <w:bookmarkEnd w:id="1899"/>
      <w:bookmarkEnd w:id="19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8" w:val="left"/>
        </w:tabs>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04"/>
      <w:bookmarkEnd w:id="1905"/>
      <w:bookmarkEnd w:id="1907"/>
    </w:p>
    <w:p>
      <w:pPr>
        <w:pStyle w:val="Style32"/>
        <w:keepNext/>
        <w:keepLines/>
        <w:widowControl w:val="0"/>
        <w:shd w:val="clear" w:color="auto" w:fill="auto"/>
        <w:tabs>
          <w:tab w:pos="488" w:val="left"/>
        </w:tabs>
        <w:bidi w:val="0"/>
        <w:spacing w:before="0" w:after="360" w:line="240" w:lineRule="auto"/>
        <w:ind w:left="0" w:right="0" w:firstLine="0"/>
        <w:jc w:val="left"/>
      </w:pPr>
      <w:bookmarkStart w:id="1904" w:name="bookmark1904"/>
      <w:bookmarkStart w:id="1905" w:name="bookmark1905"/>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04"/>
      <w:bookmarkEnd w:id="1905"/>
      <w:bookmarkEnd w:id="1909"/>
    </w:p>
    <w:p>
      <w:pPr>
        <w:pStyle w:val="Style32"/>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10" w:name="bookmark1910"/>
      <w:bookmarkStart w:id="1911" w:name="bookmark1911"/>
      <w:r>
        <w:rPr>
          <w:rFonts w:ascii="Times New Roman" w:eastAsia="Times New Roman" w:hAnsi="Times New Roman" w:cs="Times New Roman"/>
          <w:color w:val="000000"/>
          <w:spacing w:val="0"/>
          <w:w w:val="100"/>
          <w:position w:val="0"/>
        </w:rPr>
        <w:t>4</w:t>
      </w:r>
      <w:bookmarkEnd w:id="1910"/>
      <w:r>
        <w:rPr>
          <w:color w:val="000000"/>
          <w:spacing w:val="0"/>
          <w:w w:val="100"/>
          <w:position w:val="0"/>
        </w:rPr>
        <w:t>、重要的共同经营</w:t>
      </w:r>
      <w:bookmarkEnd w:id="1904"/>
      <w:bookmarkEnd w:id="1905"/>
      <w:bookmarkEnd w:id="1911"/>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82" w:val="left"/>
        </w:tabs>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color w:val="000000"/>
          <w:spacing w:val="0"/>
          <w:w w:val="100"/>
          <w:position w:val="0"/>
        </w:rPr>
        <w:t>、</w:t>
        <w:tab/>
        <w:t>在未纳入合并财务报表范围的结构化主体中的权益</w:t>
      </w:r>
      <w:bookmarkEnd w:id="1912"/>
      <w:bookmarkEnd w:id="1913"/>
      <w:bookmarkEnd w:id="191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82" w:val="left"/>
        </w:tabs>
        <w:bidi w:val="0"/>
        <w:spacing w:before="0" w:after="36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6</w:t>
      </w:r>
      <w:bookmarkEnd w:id="1918"/>
      <w:r>
        <w:rPr>
          <w:color w:val="000000"/>
          <w:spacing w:val="0"/>
          <w:w w:val="100"/>
          <w:position w:val="0"/>
        </w:rPr>
        <w:t>、</w:t>
        <w:tab/>
        <w:t>其他</w:t>
      </w:r>
      <w:bookmarkEnd w:id="1916"/>
      <w:bookmarkEnd w:id="1917"/>
      <w:bookmarkEnd w:id="1919"/>
    </w:p>
    <w:p>
      <w:pPr>
        <w:pStyle w:val="Style25"/>
        <w:keepNext/>
        <w:keepLines/>
        <w:widowControl w:val="0"/>
        <w:shd w:val="clear" w:color="auto" w:fill="auto"/>
        <w:bidi w:val="0"/>
        <w:spacing w:before="0" w:after="360" w:line="240" w:lineRule="auto"/>
        <w:ind w:left="0" w:right="0" w:firstLine="0"/>
        <w:jc w:val="left"/>
      </w:pPr>
      <w:bookmarkStart w:id="1920" w:name="bookmark1920"/>
      <w:bookmarkStart w:id="1921" w:name="bookmark1921"/>
      <w:bookmarkStart w:id="1922" w:name="bookmark1922"/>
      <w:r>
        <w:rPr>
          <w:color w:val="000000"/>
          <w:spacing w:val="0"/>
          <w:w w:val="100"/>
          <w:position w:val="0"/>
          <w:sz w:val="24"/>
          <w:szCs w:val="24"/>
        </w:rPr>
        <w:t>十、与金融工具相关的风险</w:t>
      </w:r>
      <w:bookmarkEnd w:id="1920"/>
      <w:bookmarkEnd w:id="1921"/>
      <w:bookmarkEnd w:id="1922"/>
    </w:p>
    <w:p>
      <w:pPr>
        <w:pStyle w:val="Style29"/>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公司在经营过程中面临各种金融风险：市场风险、信用风险和流动性风险。</w:t>
      </w:r>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 xml:space="preserve">公司风险管理的基本策略是确定和分析所面临的各种风险，建立适当的风险承受底线并进行风险管理，并及时可靠地对 </w:t>
      </w:r>
      <w:r>
        <w:rPr>
          <w:color w:val="000000"/>
          <w:spacing w:val="0"/>
          <w:w w:val="100"/>
          <w:position w:val="0"/>
        </w:rPr>
        <w:t>各种风险进行监督，从而将风险控制在限定的范围之内。</w:t>
      </w:r>
    </w:p>
    <w:p>
      <w:pPr>
        <w:pStyle w:val="Style29"/>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、市场风险</w:t>
      </w:r>
    </w:p>
    <w:p>
      <w:pPr>
        <w:pStyle w:val="Style29"/>
        <w:keepNext w:val="0"/>
        <w:keepLines w:val="0"/>
        <w:widowControl w:val="0"/>
        <w:shd w:val="clear" w:color="auto" w:fill="auto"/>
        <w:tabs>
          <w:tab w:pos="800" w:val="left"/>
        </w:tabs>
        <w:bidi w:val="0"/>
        <w:spacing w:before="0" w:line="312" w:lineRule="exact"/>
        <w:ind w:left="0" w:right="0"/>
        <w:jc w:val="both"/>
      </w:pPr>
      <w:bookmarkStart w:id="1923" w:name="bookmark1923"/>
      <w:r>
        <w:rPr>
          <w:color w:val="000000"/>
          <w:spacing w:val="0"/>
          <w:w w:val="100"/>
          <w:position w:val="0"/>
        </w:rPr>
        <w:t>（</w:t>
      </w:r>
      <w:bookmarkEnd w:id="1923"/>
      <w:r>
        <w:rPr>
          <w:rFonts w:ascii="Times New Roman" w:eastAsia="Times New Roman" w:hAnsi="Times New Roman" w:cs="Times New Roman"/>
          <w:color w:val="000000"/>
          <w:spacing w:val="0"/>
          <w:w w:val="100"/>
          <w:position w:val="0"/>
        </w:rPr>
        <w:t>1</w:t>
      </w:r>
      <w:r>
        <w:rPr>
          <w:color w:val="000000"/>
          <w:spacing w:val="0"/>
          <w:w w:val="100"/>
          <w:position w:val="0"/>
        </w:rPr>
        <w:t>）</w:t>
        <w:tab/>
        <w:t>汇率风险</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公司面临的汇率风险主要来自于公司境外子公司以外币计价的资产和负债以及公司以外币进行的采购和销售业务。公司 的其它主要业务活动以人民币计价结算。截至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日止，除本报告附注七、</w:t>
      </w:r>
      <w:r>
        <w:rPr>
          <w:rFonts w:ascii="Times New Roman" w:eastAsia="Times New Roman" w:hAnsi="Times New Roman" w:cs="Times New Roman"/>
          <w:color w:val="000000"/>
          <w:spacing w:val="0"/>
          <w:w w:val="100"/>
          <w:position w:val="0"/>
        </w:rPr>
        <w:t>82</w:t>
      </w:r>
      <w:r>
        <w:rPr>
          <w:color w:val="000000"/>
          <w:spacing w:val="0"/>
          <w:w w:val="100"/>
          <w:position w:val="0"/>
        </w:rPr>
        <w:t>所述资产及负债的外币余额外，公司 的其他资产及负债均为人民币余额。上述外币余额的资产和负债产生的汇率风险可能对公司的经营业绩产生影响。</w:t>
      </w:r>
    </w:p>
    <w:p>
      <w:pPr>
        <w:pStyle w:val="Style29"/>
        <w:keepNext w:val="0"/>
        <w:keepLines w:val="0"/>
        <w:widowControl w:val="0"/>
        <w:shd w:val="clear" w:color="auto" w:fill="auto"/>
        <w:tabs>
          <w:tab w:pos="800" w:val="left"/>
        </w:tabs>
        <w:bidi w:val="0"/>
        <w:spacing w:before="0" w:line="312" w:lineRule="exact"/>
        <w:ind w:left="0" w:right="0"/>
        <w:jc w:val="both"/>
      </w:pPr>
      <w:bookmarkStart w:id="1924" w:name="bookmark1924"/>
      <w:r>
        <w:rPr>
          <w:color w:val="000000"/>
          <w:spacing w:val="0"/>
          <w:w w:val="100"/>
          <w:position w:val="0"/>
        </w:rPr>
        <w:t>（</w:t>
      </w:r>
      <w:bookmarkEnd w:id="1924"/>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公司的利率风险产生于银行借款等带息债务。固定利率的金融负债使公司面临公允价值利率风险。</w:t>
      </w:r>
    </w:p>
    <w:p>
      <w:pPr>
        <w:pStyle w:val="Style29"/>
        <w:keepNext w:val="0"/>
        <w:keepLines w:val="0"/>
        <w:widowControl w:val="0"/>
        <w:shd w:val="clear" w:color="auto" w:fill="auto"/>
        <w:tabs>
          <w:tab w:pos="800" w:val="left"/>
        </w:tabs>
        <w:bidi w:val="0"/>
        <w:spacing w:before="0" w:line="312" w:lineRule="exact"/>
        <w:ind w:left="0" w:right="0"/>
        <w:jc w:val="both"/>
      </w:pPr>
      <w:bookmarkStart w:id="1925" w:name="bookmark1925"/>
      <w:r>
        <w:rPr>
          <w:color w:val="000000"/>
          <w:spacing w:val="0"/>
          <w:w w:val="100"/>
          <w:position w:val="0"/>
        </w:rPr>
        <w:t>（</w:t>
      </w:r>
      <w:bookmarkEnd w:id="1925"/>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29"/>
        <w:keepNext w:val="0"/>
        <w:keepLines w:val="0"/>
        <w:widowControl w:val="0"/>
        <w:shd w:val="clear" w:color="auto" w:fill="auto"/>
        <w:bidi w:val="0"/>
        <w:spacing w:before="0" w:line="312" w:lineRule="exact"/>
        <w:ind w:left="0" w:right="0"/>
        <w:jc w:val="left"/>
      </w:pPr>
      <w:r>
        <w:rPr>
          <w:color w:val="000000"/>
          <w:spacing w:val="0"/>
          <w:w w:val="100"/>
          <w:position w:val="0"/>
        </w:rPr>
        <w:t>公司持有的其他金融资产投资，管理层认为这些投资活动面临的市场价格风险是可以接受的。</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公司持有的其他金融资产投资列示如下：</w:t>
      </w:r>
    </w:p>
    <w:tbl>
      <w:tblPr>
        <w:tblOverlap w:val="never"/>
        <w:jc w:val="center"/>
        <w:tblLayout w:type="fixed"/>
      </w:tblPr>
      <w:tblGrid>
        <w:gridCol w:w="3130"/>
        <w:gridCol w:w="3043"/>
        <w:gridCol w:w="3082"/>
      </w:tblGrid>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交易性金融资产（银行理财）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863,892,886.64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379,200,000.00</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21,030,000.00</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869,922,886.64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400,230,000.00</w:t>
            </w:r>
          </w:p>
        </w:tc>
      </w:tr>
    </w:tbl>
    <w:p>
      <w:pPr>
        <w:widowControl w:val="0"/>
        <w:spacing w:after="39" w:line="1" w:lineRule="exact"/>
      </w:pPr>
    </w:p>
    <w:p>
      <w:pPr>
        <w:pStyle w:val="Style29"/>
        <w:keepNext w:val="0"/>
        <w:keepLines w:val="0"/>
        <w:widowControl w:val="0"/>
        <w:shd w:val="clear" w:color="auto" w:fill="auto"/>
        <w:bidi w:val="0"/>
        <w:spacing w:before="0" w:after="120" w:line="240" w:lineRule="auto"/>
        <w:ind w:left="0" w:right="0"/>
        <w:jc w:val="both"/>
      </w:pPr>
      <w:bookmarkStart w:id="1926" w:name="bookmark1926"/>
      <w:r>
        <w:rPr>
          <w:rFonts w:ascii="Times New Roman" w:eastAsia="Times New Roman" w:hAnsi="Times New Roman" w:cs="Times New Roman"/>
          <w:b/>
          <w:bCs/>
          <w:color w:val="000000"/>
          <w:spacing w:val="0"/>
          <w:w w:val="100"/>
          <w:position w:val="0"/>
        </w:rPr>
        <w:t>2</w:t>
      </w:r>
      <w:bookmarkEnd w:id="1926"/>
      <w:r>
        <w:rPr>
          <w:b/>
          <w:bCs/>
          <w:color w:val="000000"/>
          <w:spacing w:val="0"/>
          <w:w w:val="100"/>
          <w:position w:val="0"/>
        </w:rPr>
        <w:t>、信用风险</w:t>
      </w:r>
    </w:p>
    <w:p>
      <w:pPr>
        <w:pStyle w:val="Style29"/>
        <w:keepNext w:val="0"/>
        <w:keepLines w:val="0"/>
        <w:widowControl w:val="0"/>
        <w:shd w:val="clear" w:color="auto" w:fill="auto"/>
        <w:bidi w:val="0"/>
        <w:spacing w:before="0" w:line="240" w:lineRule="auto"/>
        <w:ind w:left="0" w:right="0"/>
        <w:jc w:val="both"/>
      </w:pPr>
      <w:r>
        <w:rPr>
          <w:color w:val="000000"/>
          <w:spacing w:val="0"/>
          <w:w w:val="100"/>
          <w:position w:val="0"/>
        </w:rPr>
        <w:t>公司对信用风险按组合分类进行管理。信用风险主要产生于银行存款、应收账款、其他应收款和应收票据等。</w:t>
      </w:r>
    </w:p>
    <w:p>
      <w:pPr>
        <w:pStyle w:val="Style29"/>
        <w:keepNext w:val="0"/>
        <w:keepLines w:val="0"/>
        <w:widowControl w:val="0"/>
        <w:shd w:val="clear" w:color="auto" w:fill="auto"/>
        <w:bidi w:val="0"/>
        <w:spacing w:before="0" w:line="307" w:lineRule="exact"/>
        <w:ind w:left="0" w:right="0"/>
        <w:jc w:val="both"/>
      </w:pPr>
      <w:r>
        <w:rPr>
          <w:color w:val="000000"/>
          <w:spacing w:val="0"/>
          <w:w w:val="100"/>
          <w:position w:val="0"/>
        </w:rPr>
        <w:t>公司银行存款主要存放于国有银行和其他信用评级较高的银行，公司认为其不存在重大的信用风险，不会产生因对方单 位违约而导致的任何重大损失。</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对于应收账款、其他应收款和应收票据，公司设定相关政策以控制信用风险敞口。公司基于对客户的财务状况、从第三 方获取担保的可能性、信用记录及其它因素诸如目前市场状况等评估客户的信用资质并设置相应信用期。定期对客户信用记 录进行监控，对于信用记录不良的客户，公司会采用书面催款、缩短信用期或取消信用期等方式，以确保公司的整体信用风 险在可控的范围内。此外，公司于每个资产负债表日审核每一单项应收款的回收情况，以确保就无法回收的款项计提充分的 坏账准备。因此，公司管理层认为所承担的信用风险已经大为降低。</w:t>
      </w:r>
    </w:p>
    <w:p>
      <w:pPr>
        <w:pStyle w:val="Style29"/>
        <w:keepNext w:val="0"/>
        <w:keepLines w:val="0"/>
        <w:widowControl w:val="0"/>
        <w:shd w:val="clear" w:color="auto" w:fill="auto"/>
        <w:bidi w:val="0"/>
        <w:spacing w:before="0" w:after="0"/>
        <w:ind w:left="0" w:right="0"/>
        <w:jc w:val="both"/>
      </w:pPr>
      <w:bookmarkStart w:id="1927" w:name="bookmark1927"/>
      <w:r>
        <w:rPr>
          <w:rFonts w:ascii="Times New Roman" w:eastAsia="Times New Roman" w:hAnsi="Times New Roman" w:cs="Times New Roman"/>
          <w:b/>
          <w:bCs/>
          <w:color w:val="000000"/>
          <w:spacing w:val="0"/>
          <w:w w:val="100"/>
          <w:position w:val="0"/>
        </w:rPr>
        <w:t>3</w:t>
      </w:r>
      <w:bookmarkEnd w:id="1927"/>
      <w:r>
        <w:rPr>
          <w:b/>
          <w:bCs/>
          <w:color w:val="000000"/>
          <w:spacing w:val="0"/>
          <w:w w:val="100"/>
          <w:position w:val="0"/>
        </w:rPr>
        <w:t>、流动风险</w:t>
      </w:r>
    </w:p>
    <w:p>
      <w:pPr>
        <w:pStyle w:val="Style29"/>
        <w:keepNext w:val="0"/>
        <w:keepLines w:val="0"/>
        <w:widowControl w:val="0"/>
        <w:shd w:val="clear" w:color="auto" w:fill="auto"/>
        <w:bidi w:val="0"/>
        <w:spacing w:before="0" w:after="720" w:line="312" w:lineRule="exact"/>
        <w:ind w:left="0" w:right="0"/>
        <w:jc w:val="both"/>
      </w:pPr>
      <w:r>
        <w:rPr>
          <w:color w:val="000000"/>
          <w:spacing w:val="0"/>
          <w:w w:val="100"/>
          <w:position w:val="0"/>
        </w:rPr>
        <w:t>流动风险为公司在到期日无法履行其财务义务的风险。公司管理流动性风险的方法是确保有足够的资金流动性来履行到 期债务，而不至于造成不可接受的损失或对企业信誉造成损害。公司定期分析负债结构和期限，以确保有充裕的资金。公司 管理层对银行借款的使用情况进行监控并确保遵守借款协议。同时与金融机构进行融资磋商，以保持一定的授信额度，降低 流动性风险。</w:t>
      </w:r>
    </w:p>
    <w:p>
      <w:pPr>
        <w:pStyle w:val="Style25"/>
        <w:keepNext/>
        <w:keepLines/>
        <w:widowControl w:val="0"/>
        <w:shd w:val="clear" w:color="auto" w:fill="auto"/>
        <w:bidi w:val="0"/>
        <w:spacing w:before="0" w:after="340" w:line="240" w:lineRule="auto"/>
        <w:ind w:left="0" w:right="0" w:firstLine="0"/>
        <w:jc w:val="left"/>
      </w:pPr>
      <w:bookmarkStart w:id="1928" w:name="bookmark1928"/>
      <w:bookmarkStart w:id="1929" w:name="bookmark1929"/>
      <w:bookmarkStart w:id="1930" w:name="bookmark1930"/>
      <w:r>
        <w:rPr>
          <w:color w:val="000000"/>
          <w:spacing w:val="0"/>
          <w:w w:val="100"/>
          <w:position w:val="0"/>
          <w:sz w:val="24"/>
          <w:szCs w:val="24"/>
        </w:rPr>
        <w:t>十^一、公允价值的披露</w:t>
      </w:r>
      <w:bookmarkEnd w:id="1928"/>
      <w:bookmarkEnd w:id="1929"/>
      <w:bookmarkEnd w:id="1930"/>
    </w:p>
    <w:p>
      <w:pPr>
        <w:pStyle w:val="Style32"/>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31"/>
      <w:bookmarkEnd w:id="1932"/>
      <w:bookmarkEnd w:id="19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第二层次公允价值计</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第三层次公允价值计</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一、持续的公允价值计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0"/>
      </w:tblGrid>
      <w:tr>
        <w:trPr>
          <w:trHeight w:val="36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863,892,886.64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863,892,886.64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863,892,886.64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863,892,886.64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持续以公允价值计量</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863,940,523.44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869,970,523.44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34"/>
      <w:bookmarkEnd w:id="1935"/>
      <w:bookmarkEnd w:id="1936"/>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w:t>
        <w:tab/>
        <w:t>持续和非持续第二层次公允价值计量项目，采用的估值技术和重要参数的定性及定量信息</w:t>
      </w:r>
      <w:bookmarkEnd w:id="1937"/>
      <w:bookmarkEnd w:id="1938"/>
      <w:bookmarkEnd w:id="1940"/>
    </w:p>
    <w:p>
      <w:pPr>
        <w:pStyle w:val="Style29"/>
        <w:keepNext w:val="0"/>
        <w:keepLines w:val="0"/>
        <w:widowControl w:val="0"/>
        <w:shd w:val="clear" w:color="auto" w:fill="auto"/>
        <w:tabs>
          <w:tab w:pos="820" w:val="left"/>
        </w:tabs>
        <w:bidi w:val="0"/>
        <w:spacing w:before="0" w:after="0" w:line="310" w:lineRule="exact"/>
        <w:ind w:left="0" w:right="0" w:firstLine="380"/>
        <w:jc w:val="both"/>
      </w:pPr>
      <w:bookmarkStart w:id="1941" w:name="bookmark1941"/>
      <w:r>
        <w:rPr>
          <w:color w:val="000000"/>
          <w:spacing w:val="0"/>
          <w:w w:val="100"/>
          <w:position w:val="0"/>
        </w:rPr>
        <w:t>（</w:t>
      </w:r>
      <w:bookmarkEnd w:id="1941"/>
      <w:r>
        <w:rPr>
          <w:rFonts w:ascii="Times New Roman" w:eastAsia="Times New Roman" w:hAnsi="Times New Roman" w:cs="Times New Roman"/>
          <w:color w:val="000000"/>
          <w:spacing w:val="0"/>
          <w:w w:val="100"/>
          <w:position w:val="0"/>
        </w:rPr>
        <w:t>1</w:t>
      </w:r>
      <w:r>
        <w:rPr>
          <w:color w:val="000000"/>
          <w:spacing w:val="0"/>
          <w:w w:val="100"/>
          <w:position w:val="0"/>
        </w:rPr>
        <w:t>）</w:t>
        <w:tab/>
        <w:t>公司持有的银行理财产品公允价值根据本金加上截止资产负债表日的预期收益确定；</w:t>
      </w:r>
    </w:p>
    <w:p>
      <w:pPr>
        <w:pStyle w:val="Style29"/>
        <w:keepNext w:val="0"/>
        <w:keepLines w:val="0"/>
        <w:widowControl w:val="0"/>
        <w:shd w:val="clear" w:color="auto" w:fill="auto"/>
        <w:tabs>
          <w:tab w:pos="820" w:val="left"/>
        </w:tabs>
        <w:bidi w:val="0"/>
        <w:spacing w:before="0" w:after="360" w:line="310" w:lineRule="exact"/>
        <w:ind w:left="0" w:right="0" w:firstLine="380"/>
        <w:jc w:val="both"/>
      </w:pPr>
      <w:bookmarkStart w:id="1942" w:name="bookmark1942"/>
      <w:r>
        <w:rPr>
          <w:color w:val="000000"/>
          <w:spacing w:val="0"/>
          <w:w w:val="100"/>
          <w:position w:val="0"/>
        </w:rPr>
        <w:t>（</w:t>
      </w:r>
      <w:bookmarkEnd w:id="1942"/>
      <w:r>
        <w:rPr>
          <w:rFonts w:ascii="Times New Roman" w:eastAsia="Times New Roman" w:hAnsi="Times New Roman" w:cs="Times New Roman"/>
          <w:color w:val="000000"/>
          <w:spacing w:val="0"/>
          <w:w w:val="100"/>
          <w:position w:val="0"/>
        </w:rPr>
        <w:t>2</w:t>
      </w:r>
      <w:r>
        <w:rPr>
          <w:color w:val="000000"/>
          <w:spacing w:val="0"/>
          <w:w w:val="100"/>
          <w:position w:val="0"/>
        </w:rPr>
        <w:t>）</w:t>
        <w:tab/>
        <w:t>对于持有的银行承兑汇票，其剩余期限较短，且预期以背书方式出售，故采用票面价值确定其公允价值。</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w:t>
        <w:tab/>
        <w:t>持续和非持续第三层次公允价值计量项目，采用的估值技术和重要参数的定性及定量信息</w:t>
      </w:r>
      <w:bookmarkEnd w:id="1943"/>
      <w:bookmarkEnd w:id="1944"/>
      <w:bookmarkEnd w:id="1946"/>
    </w:p>
    <w:p>
      <w:pPr>
        <w:pStyle w:val="Style29"/>
        <w:keepNext w:val="0"/>
        <w:keepLines w:val="0"/>
        <w:widowControl w:val="0"/>
        <w:shd w:val="clear" w:color="auto" w:fill="auto"/>
        <w:bidi w:val="0"/>
        <w:spacing w:before="0" w:after="280" w:line="310" w:lineRule="exact"/>
        <w:ind w:left="0" w:right="0" w:firstLine="380"/>
        <w:jc w:val="both"/>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31" w:right="1087" w:bottom="1468" w:left="1084" w:header="0" w:footer="3" w:gutter="0"/>
          <w:cols w:space="720"/>
          <w:noEndnote/>
          <w:titlePg/>
          <w:rtlGutter w:val="0"/>
          <w:docGrid w:linePitch="360"/>
        </w:sectPr>
      </w:pPr>
      <w:r>
        <w:rPr>
          <w:color w:val="000000"/>
          <w:spacing w:val="0"/>
          <w:w w:val="100"/>
          <w:position w:val="0"/>
        </w:rPr>
        <w:t>对于不在活跃市场上交易的金融工具，公司采用估值技术确定其公允价值。因被投资企业南京盛宇涌鑫股权投资中心（有 限合伙）、江苏丹阳农村商业银行股份有限公司及耐思生活环保科技（北京）有限公司的经营环境和经营情况、财务状况未 发生重大变化，所以公司按投资成本作为公允价值的合理估计进行计量。</w:t>
      </w:r>
    </w:p>
    <w:p>
      <w:pPr>
        <w:pStyle w:val="Style48"/>
        <w:keepNext w:val="0"/>
        <w:keepLines w:val="0"/>
        <w:widowControl w:val="0"/>
        <w:shd w:val="clear" w:color="auto" w:fill="auto"/>
        <w:tabs>
          <w:tab w:pos="378" w:val="left"/>
        </w:tabs>
        <w:bidi w:val="0"/>
        <w:spacing w:before="240" w:after="340" w:line="240" w:lineRule="auto"/>
        <w:ind w:left="0" w:right="0" w:firstLine="0"/>
        <w:jc w:val="left"/>
      </w:pPr>
      <w:bookmarkStart w:id="1947" w:name="bookmark1947"/>
      <w:r>
        <w:rPr>
          <w:rFonts w:ascii="Times New Roman" w:eastAsia="Times New Roman" w:hAnsi="Times New Roman" w:cs="Times New Roman"/>
          <w:color w:val="000000"/>
          <w:spacing w:val="0"/>
          <w:w w:val="100"/>
          <w:position w:val="0"/>
        </w:rPr>
        <w:t>5</w:t>
      </w:r>
      <w:bookmarkEnd w:id="1947"/>
      <w:r>
        <w:rPr>
          <w:color w:val="000000"/>
          <w:spacing w:val="0"/>
          <w:w w:val="100"/>
          <w:position w:val="0"/>
        </w:rPr>
        <w:t>、</w:t>
        <w:tab/>
        <w:t>持续的第三层次公允价值计量项目，期初与期末账面价值间的调节信息及不可观察参数敏感性分析</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1948" w:name="bookmark1948"/>
      <w:r>
        <w:rPr>
          <w:rFonts w:ascii="Times New Roman" w:eastAsia="Times New Roman" w:hAnsi="Times New Roman" w:cs="Times New Roman"/>
          <w:color w:val="000000"/>
          <w:spacing w:val="0"/>
          <w:w w:val="100"/>
          <w:position w:val="0"/>
        </w:rPr>
        <w:t>6</w:t>
      </w:r>
      <w:bookmarkEnd w:id="1948"/>
      <w:r>
        <w:rPr>
          <w:color w:val="000000"/>
          <w:spacing w:val="0"/>
          <w:w w:val="100"/>
          <w:position w:val="0"/>
        </w:rPr>
        <w:t>、</w:t>
        <w:tab/>
        <w:t>持续的公允价值计量项目，本期内发生各层级之间转换的，转换的原因及确定转换时点的政策</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1949" w:name="bookmark1949"/>
      <w:r>
        <w:rPr>
          <w:rFonts w:ascii="Times New Roman" w:eastAsia="Times New Roman" w:hAnsi="Times New Roman" w:cs="Times New Roman"/>
          <w:color w:val="000000"/>
          <w:spacing w:val="0"/>
          <w:w w:val="100"/>
          <w:position w:val="0"/>
        </w:rPr>
        <w:t>7</w:t>
      </w:r>
      <w:bookmarkEnd w:id="1949"/>
      <w:r>
        <w:rPr>
          <w:color w:val="000000"/>
          <w:spacing w:val="0"/>
          <w:w w:val="100"/>
          <w:position w:val="0"/>
        </w:rPr>
        <w:t>、</w:t>
        <w:tab/>
        <w:t>本期内发生的估值技术变更及变更原因</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1950" w:name="bookmark1950"/>
      <w:r>
        <w:rPr>
          <w:rFonts w:ascii="Times New Roman" w:eastAsia="Times New Roman" w:hAnsi="Times New Roman" w:cs="Times New Roman"/>
          <w:color w:val="000000"/>
          <w:spacing w:val="0"/>
          <w:w w:val="100"/>
          <w:position w:val="0"/>
        </w:rPr>
        <w:t>8</w:t>
      </w:r>
      <w:bookmarkEnd w:id="1950"/>
      <w:r>
        <w:rPr>
          <w:color w:val="000000"/>
          <w:spacing w:val="0"/>
          <w:w w:val="100"/>
          <w:position w:val="0"/>
        </w:rPr>
        <w:t>、</w:t>
        <w:tab/>
        <w:t>不以公允价值计量的金融资产和金融负债的公允价值情况</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1951" w:name="bookmark1951"/>
      <w:r>
        <w:rPr>
          <w:rFonts w:ascii="Times New Roman" w:eastAsia="Times New Roman" w:hAnsi="Times New Roman" w:cs="Times New Roman"/>
          <w:color w:val="000000"/>
          <w:spacing w:val="0"/>
          <w:w w:val="100"/>
          <w:position w:val="0"/>
        </w:rPr>
        <w:t>9</w:t>
      </w:r>
      <w:bookmarkEnd w:id="1951"/>
      <w:r>
        <w:rPr>
          <w:color w:val="000000"/>
          <w:spacing w:val="0"/>
          <w:w w:val="100"/>
          <w:position w:val="0"/>
        </w:rPr>
        <w:t>、</w:t>
        <w:tab/>
        <w:t>其他</w:t>
      </w:r>
    </w:p>
    <w:p>
      <w:pPr>
        <w:pStyle w:val="Style25"/>
        <w:keepNext/>
        <w:keepLines/>
        <w:widowControl w:val="0"/>
        <w:shd w:val="clear" w:color="auto" w:fill="auto"/>
        <w:bidi w:val="0"/>
        <w:spacing w:before="0" w:after="340" w:line="240" w:lineRule="auto"/>
        <w:ind w:left="0" w:right="0" w:firstLine="0"/>
        <w:jc w:val="left"/>
      </w:pPr>
      <w:bookmarkStart w:id="1952" w:name="bookmark1952"/>
      <w:bookmarkStart w:id="1953" w:name="bookmark1953"/>
      <w:bookmarkStart w:id="1954" w:name="bookmark1954"/>
      <w:r>
        <w:rPr>
          <w:color w:val="000000"/>
          <w:spacing w:val="0"/>
          <w:w w:val="100"/>
          <w:position w:val="0"/>
          <w:sz w:val="24"/>
          <w:szCs w:val="24"/>
        </w:rPr>
        <w:t>十二、关联方及关联交易</w:t>
      </w:r>
      <w:bookmarkEnd w:id="1952"/>
      <w:bookmarkEnd w:id="1953"/>
      <w:bookmarkEnd w:id="1954"/>
    </w:p>
    <w:p>
      <w:pPr>
        <w:pStyle w:val="Style4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 的表决权比例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本企业最终控制方是钱京。</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日，钱京先生对本企业的持股比例和表决权比例均为</w:t>
      </w:r>
      <w:r>
        <w:rPr>
          <w:rFonts w:ascii="Times New Roman" w:eastAsia="Times New Roman" w:hAnsi="Times New Roman" w:cs="Times New Roman"/>
          <w:color w:val="000000"/>
          <w:spacing w:val="0"/>
          <w:w w:val="100"/>
          <w:position w:val="0"/>
        </w:rPr>
        <w:t>20.65%</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1955" w:name="bookmark1955"/>
      <w:r>
        <w:rPr>
          <w:rFonts w:ascii="Times New Roman" w:eastAsia="Times New Roman" w:hAnsi="Times New Roman" w:cs="Times New Roman"/>
          <w:color w:val="000000"/>
          <w:spacing w:val="0"/>
          <w:w w:val="100"/>
          <w:position w:val="0"/>
        </w:rPr>
        <w:t>2</w:t>
      </w:r>
      <w:bookmarkEnd w:id="1955"/>
      <w:r>
        <w:rPr>
          <w:color w:val="000000"/>
          <w:spacing w:val="0"/>
          <w:w w:val="100"/>
          <w:position w:val="0"/>
        </w:rPr>
        <w:t>、</w:t>
        <w:tab/>
        <w:t>本企业的子公司情况</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1956" w:name="bookmark1956"/>
      <w:r>
        <w:rPr>
          <w:rFonts w:ascii="Times New Roman" w:eastAsia="Times New Roman" w:hAnsi="Times New Roman" w:cs="Times New Roman"/>
          <w:color w:val="000000"/>
          <w:spacing w:val="0"/>
          <w:w w:val="100"/>
          <w:position w:val="0"/>
        </w:rPr>
        <w:t>3</w:t>
      </w:r>
      <w:bookmarkEnd w:id="1956"/>
      <w:r>
        <w:rPr>
          <w:color w:val="000000"/>
          <w:spacing w:val="0"/>
          <w:w w:val="100"/>
          <w:position w:val="0"/>
        </w:rPr>
        <w:t>、</w:t>
        <w:tab/>
        <w:t>本企业合营和联营企业情况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40" w:line="240" w:lineRule="auto"/>
        <w:ind w:left="0" w:right="0" w:firstLine="0"/>
        <w:jc w:val="left"/>
      </w:pPr>
      <w:bookmarkStart w:id="1957" w:name="bookmark1957"/>
      <w:r>
        <w:rPr>
          <w:rFonts w:ascii="Times New Roman" w:eastAsia="Times New Roman" w:hAnsi="Times New Roman" w:cs="Times New Roman"/>
          <w:color w:val="000000"/>
          <w:spacing w:val="0"/>
          <w:w w:val="100"/>
          <w:position w:val="0"/>
        </w:rPr>
        <w:t>4</w:t>
      </w:r>
      <w:bookmarkEnd w:id="1957"/>
      <w:r>
        <w:rPr>
          <w:color w:val="000000"/>
          <w:spacing w:val="0"/>
          <w:w w:val="100"/>
          <w:position w:val="0"/>
        </w:rPr>
        <w:t>、其他关联方情况</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8"/>
        <w:keepNext w:val="0"/>
        <w:keepLines w:val="0"/>
        <w:widowControl w:val="0"/>
        <w:shd w:val="clear" w:color="auto" w:fill="auto"/>
        <w:bidi w:val="0"/>
        <w:spacing w:before="0" w:after="340" w:line="240" w:lineRule="auto"/>
        <w:ind w:left="0" w:right="0" w:firstLine="0"/>
        <w:jc w:val="left"/>
      </w:pPr>
      <w:bookmarkStart w:id="1958" w:name="bookmark1958"/>
      <w:r>
        <w:rPr>
          <w:rFonts w:ascii="Times New Roman" w:eastAsia="Times New Roman" w:hAnsi="Times New Roman" w:cs="Times New Roman"/>
          <w:color w:val="000000"/>
          <w:spacing w:val="0"/>
          <w:w w:val="100"/>
          <w:position w:val="0"/>
        </w:rPr>
        <w:t>5</w:t>
      </w:r>
      <w:bookmarkEnd w:id="1958"/>
      <w:r>
        <w:rPr>
          <w:color w:val="000000"/>
          <w:spacing w:val="0"/>
          <w:w w:val="100"/>
          <w:position w:val="0"/>
        </w:rPr>
        <w:t>、关联交易情况</w:t>
      </w:r>
    </w:p>
    <w:p>
      <w:pPr>
        <w:pStyle w:val="Style4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241" w:right="1061" w:bottom="1409" w:left="1066" w:header="0" w:footer="3" w:gutter="0"/>
          <w:cols w:space="720"/>
          <w:noEndnote/>
          <w:rtlGutter w:val="0"/>
          <w:docGrid w:linePitch="360"/>
        </w:sectPr>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center"/>
        <w:tblLayout w:type="fixed"/>
      </w:tblPr>
      <w:tblGrid>
        <w:gridCol w:w="1546"/>
        <w:gridCol w:w="1454"/>
        <w:gridCol w:w="1454"/>
        <w:gridCol w:w="1709"/>
        <w:gridCol w:w="1704"/>
        <w:gridCol w:w="171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32"/>
        <w:keepNext/>
        <w:keepLines/>
        <w:widowControl w:val="0"/>
        <w:shd w:val="clear" w:color="auto" w:fill="auto"/>
        <w:bidi w:val="0"/>
        <w:spacing w:before="0" w:after="380" w:line="240" w:lineRule="auto"/>
        <w:ind w:left="0" w:right="0" w:firstLine="0"/>
        <w:jc w:val="both"/>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59"/>
      <w:bookmarkEnd w:id="1960"/>
      <w:bookmarkEnd w:id="1961"/>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本期确认的托 管收益</w:t>
            </w:r>
            <w:r>
              <w:rPr>
                <w:color w:val="000000"/>
                <w:spacing w:val="0"/>
                <w:w w:val="100"/>
                <w:position w:val="0"/>
              </w:rPr>
              <w:t>/</w:t>
            </w:r>
            <w:r>
              <w:rPr>
                <w:rFonts w:ascii="SimSun" w:eastAsia="SimSun" w:hAnsi="SimSun" w:cs="SimSun"/>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关联托管</w:t>
            </w:r>
            <w:r>
              <w:rPr>
                <w:color w:val="000000"/>
                <w:spacing w:val="0"/>
                <w:w w:val="100"/>
                <w:position w:val="0"/>
              </w:rPr>
              <w:t>/</w:t>
            </w:r>
            <w:r>
              <w:rPr>
                <w:rFonts w:ascii="SimSun" w:eastAsia="SimSun" w:hAnsi="SimSun" w:cs="SimSun"/>
                <w:color w:val="000000"/>
                <w:spacing w:val="0"/>
                <w:w w:val="100"/>
                <w:position w:val="0"/>
              </w:rPr>
              <w:t>承包情况说明</w:t>
            </w:r>
          </w:p>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本公司委托管理</w:t>
            </w:r>
            <w:r>
              <w:rPr>
                <w:color w:val="000000"/>
                <w:spacing w:val="0"/>
                <w:w w:val="100"/>
                <w:position w:val="0"/>
              </w:rPr>
              <w:t>/</w:t>
            </w:r>
            <w:r>
              <w:rPr>
                <w:rFonts w:ascii="SimSun" w:eastAsia="SimSun" w:hAnsi="SimSun" w:cs="SimSun"/>
                <w:color w:val="000000"/>
                <w:spacing w:val="0"/>
                <w:w w:val="100"/>
                <w:position w:val="0"/>
              </w:rPr>
              <w:t>出包情况表：</w:t>
            </w:r>
          </w:p>
          <w:p>
            <w:pPr>
              <w:pStyle w:val="Style2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本期确认的托 管费</w:t>
            </w:r>
            <w:r>
              <w:rPr>
                <w:color w:val="000000"/>
                <w:spacing w:val="0"/>
                <w:w w:val="100"/>
                <w:position w:val="0"/>
              </w:rPr>
              <w:t>/</w:t>
            </w:r>
            <w:r>
              <w:rPr>
                <w:rFonts w:ascii="SimSun" w:eastAsia="SimSun" w:hAnsi="SimSun" w:cs="SimSun"/>
                <w:color w:val="000000"/>
                <w:spacing w:val="0"/>
                <w:w w:val="100"/>
                <w:position w:val="0"/>
              </w:rPr>
              <w:t>出包费</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2"/>
        <w:keepNext/>
        <w:keepLines/>
        <w:widowControl w:val="0"/>
        <w:shd w:val="clear" w:color="auto" w:fill="auto"/>
        <w:bidi w:val="0"/>
        <w:spacing w:before="0" w:after="380" w:line="240" w:lineRule="auto"/>
        <w:ind w:left="0" w:right="0" w:firstLine="0"/>
        <w:jc w:val="both"/>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62"/>
      <w:bookmarkEnd w:id="1963"/>
      <w:bookmarkEnd w:id="1965"/>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上期确认的租赁费</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2"/>
        <w:keepNext/>
        <w:keepLines/>
        <w:widowControl w:val="0"/>
        <w:shd w:val="clear" w:color="auto" w:fill="auto"/>
        <w:bidi w:val="0"/>
        <w:spacing w:before="0" w:after="380" w:line="240" w:lineRule="auto"/>
        <w:ind w:left="0" w:right="0" w:firstLine="0"/>
        <w:jc w:val="both"/>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66"/>
      <w:bookmarkEnd w:id="1967"/>
      <w:bookmarkEnd w:id="1969"/>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担保是否已经履行完 毕</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恒宝润芯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r>
        <w:br w:type="page"/>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r>
        <w:trPr>
          <w:trHeight w:val="1627"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关联担保情况说明</w:t>
            </w:r>
          </w:p>
          <w:p>
            <w:pPr>
              <w:pStyle w:val="Style22"/>
              <w:keepNext w:val="0"/>
              <w:keepLines w:val="0"/>
              <w:widowControl w:val="0"/>
              <w:shd w:val="clear" w:color="auto" w:fill="auto"/>
              <w:bidi w:val="0"/>
              <w:spacing w:before="0" w:after="36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)关联方资金拆借</w:t>
            </w:r>
          </w:p>
          <w:p>
            <w:pPr>
              <w:pStyle w:val="Style22"/>
              <w:keepNext w:val="0"/>
              <w:keepLines w:val="0"/>
              <w:widowControl w:val="0"/>
              <w:shd w:val="clear" w:color="auto" w:fill="auto"/>
              <w:bidi w:val="0"/>
              <w:spacing w:before="0" w:after="36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bl>
    <w:p>
      <w:pPr>
        <w:pStyle w:val="Style27"/>
        <w:keepNext w:val="0"/>
        <w:keepLines w:val="0"/>
        <w:widowControl w:val="0"/>
        <w:pBdr>
          <w:top w:val="single" w:sz="0" w:space="26" w:color="D3D3D3"/>
          <w:left w:val="single" w:sz="0" w:space="0" w:color="D3D3D3"/>
          <w:bottom w:val="single" w:sz="0" w:space="6" w:color="D3D3D3"/>
          <w:right w:val="single" w:sz="0" w:space="0" w:color="D3D3D3"/>
        </w:pBdr>
        <w:shd w:val="clear" w:color="auto" w:fill="D3D3D3"/>
        <w:bidi w:val="0"/>
        <w:spacing w:before="0" w:after="0" w:line="240" w:lineRule="auto"/>
        <w:ind w:left="96" w:right="0" w:firstLine="0"/>
        <w:jc w:val="left"/>
      </w:pPr>
      <w:r>
        <w:rPr>
          <w:color w:val="000000"/>
          <w:spacing w:val="0"/>
          <w:w w:val="100"/>
          <w:position w:val="0"/>
        </w:rPr>
        <w:t>拆入</w:t>
      </w:r>
    </w:p>
    <w:p>
      <w:pPr>
        <w:widowControl w:val="0"/>
        <w:spacing w:after="159" w:line="1" w:lineRule="exact"/>
      </w:pPr>
    </w:p>
    <w:p>
      <w:pPr>
        <w:pStyle w:val="Style29"/>
        <w:keepNext w:val="0"/>
        <w:keepLines w:val="0"/>
        <w:widowControl w:val="0"/>
        <w:pBdr>
          <w:top w:val="single" w:sz="0" w:space="26" w:color="D3D3D3"/>
          <w:left w:val="single" w:sz="0" w:space="0" w:color="D3D3D3"/>
          <w:bottom w:val="single" w:sz="0" w:space="6" w:color="D3D3D3"/>
          <w:right w:val="single" w:sz="0" w:space="0" w:color="D3D3D3"/>
        </w:pBdr>
        <w:shd w:val="clear" w:color="auto" w:fill="D3D3D3"/>
        <w:bidi w:val="0"/>
        <w:spacing w:before="0" w:after="275" w:line="240" w:lineRule="auto"/>
        <w:ind w:left="0" w:right="0" w:firstLine="0"/>
        <w:jc w:val="left"/>
      </w:pPr>
      <w:r>
        <w:rPr>
          <w:color w:val="000000"/>
          <w:spacing w:val="0"/>
          <w:w w:val="100"/>
          <w:position w:val="0"/>
        </w:rPr>
        <w:t>拆出</w:t>
      </w:r>
    </w:p>
    <w:p>
      <w:pPr>
        <w:pStyle w:val="Style32"/>
        <w:keepNext/>
        <w:keepLines/>
        <w:widowControl w:val="0"/>
        <w:numPr>
          <w:ilvl w:val="0"/>
          <w:numId w:val="107"/>
        </w:numPr>
        <w:shd w:val="clear" w:color="auto" w:fill="auto"/>
        <w:bidi w:val="0"/>
        <w:spacing w:before="0" w:after="36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关联方资产转让、债务重组情况</w:t>
      </w:r>
      <w:bookmarkEnd w:id="1970"/>
      <w:bookmarkEnd w:id="1971"/>
      <w:bookmarkEnd w:id="197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299" w:line="1" w:lineRule="exact"/>
      </w:pPr>
    </w:p>
    <w:p>
      <w:pPr>
        <w:pStyle w:val="Style32"/>
        <w:keepNext/>
        <w:keepLines/>
        <w:widowControl w:val="0"/>
        <w:numPr>
          <w:ilvl w:val="0"/>
          <w:numId w:val="107"/>
        </w:numPr>
        <w:shd w:val="clear" w:color="auto" w:fill="auto"/>
        <w:bidi w:val="0"/>
        <w:spacing w:before="0" w:after="360" w:line="240" w:lineRule="auto"/>
        <w:ind w:left="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关键管理人员报酬</w:t>
      </w:r>
      <w:bookmarkEnd w:id="1974"/>
      <w:bookmarkEnd w:id="1975"/>
      <w:bookmarkEnd w:id="19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4,341,600.00</w:t>
            </w:r>
          </w:p>
        </w:tc>
      </w:tr>
    </w:tbl>
    <w:p>
      <w:pPr>
        <w:widowControl w:val="0"/>
        <w:spacing w:after="299" w:line="1" w:lineRule="exact"/>
      </w:pPr>
    </w:p>
    <w:p>
      <w:pPr>
        <w:pStyle w:val="Style32"/>
        <w:keepNext/>
        <w:keepLines/>
        <w:widowControl w:val="0"/>
        <w:numPr>
          <w:ilvl w:val="0"/>
          <w:numId w:val="107"/>
        </w:numPr>
        <w:shd w:val="clear" w:color="auto" w:fill="auto"/>
        <w:bidi w:val="0"/>
        <w:spacing w:before="0" w:after="360" w:line="240" w:lineRule="auto"/>
        <w:ind w:left="0" w:right="0" w:firstLine="0"/>
        <w:jc w:val="both"/>
      </w:pPr>
      <w:bookmarkStart w:id="1978" w:name="bookmark1978"/>
      <w:bookmarkStart w:id="1979" w:name="bookmark1979"/>
      <w:bookmarkStart w:id="1980" w:name="bookmark1980"/>
      <w:bookmarkStart w:id="1981" w:name="bookmark1981"/>
      <w:bookmarkEnd w:id="1980"/>
      <w:r>
        <w:rPr>
          <w:color w:val="000000"/>
          <w:spacing w:val="0"/>
          <w:w w:val="100"/>
          <w:position w:val="0"/>
        </w:rPr>
        <w:t>其他关联交易</w:t>
      </w:r>
      <w:bookmarkEnd w:id="1978"/>
      <w:bookmarkEnd w:id="1979"/>
      <w:bookmarkEnd w:id="1981"/>
    </w:p>
    <w:p>
      <w:pPr>
        <w:pStyle w:val="Style32"/>
        <w:keepNext/>
        <w:keepLines/>
        <w:widowControl w:val="0"/>
        <w:shd w:val="clear" w:color="auto" w:fill="auto"/>
        <w:bidi w:val="0"/>
        <w:spacing w:before="0" w:after="360" w:line="240" w:lineRule="auto"/>
        <w:ind w:left="0" w:right="0" w:firstLine="0"/>
        <w:jc w:val="both"/>
      </w:pPr>
      <w:bookmarkStart w:id="1978" w:name="bookmark1978"/>
      <w:bookmarkStart w:id="1979" w:name="bookmark1979"/>
      <w:bookmarkStart w:id="1982" w:name="bookmark1982"/>
      <w:bookmarkStart w:id="1983" w:name="bookmark1983"/>
      <w:r>
        <w:rPr>
          <w:rFonts w:ascii="Times New Roman" w:eastAsia="Times New Roman" w:hAnsi="Times New Roman" w:cs="Times New Roman"/>
          <w:color w:val="000000"/>
          <w:spacing w:val="0"/>
          <w:w w:val="100"/>
          <w:position w:val="0"/>
        </w:rPr>
        <w:t>6</w:t>
      </w:r>
      <w:bookmarkEnd w:id="1982"/>
      <w:r>
        <w:rPr>
          <w:color w:val="000000"/>
          <w:spacing w:val="0"/>
          <w:w w:val="100"/>
          <w:position w:val="0"/>
        </w:rPr>
        <w:t>、关联方应收应付款项</w:t>
      </w:r>
      <w:bookmarkEnd w:id="1978"/>
      <w:bookmarkEnd w:id="1979"/>
      <w:bookmarkEnd w:id="1983"/>
    </w:p>
    <w:p>
      <w:pPr>
        <w:pStyle w:val="Style32"/>
        <w:keepNext/>
        <w:keepLines/>
        <w:widowControl w:val="0"/>
        <w:shd w:val="clear" w:color="auto" w:fill="auto"/>
        <w:bidi w:val="0"/>
        <w:spacing w:before="0" w:after="360" w:line="240" w:lineRule="auto"/>
        <w:ind w:left="0" w:right="0" w:firstLine="0"/>
        <w:jc w:val="both"/>
      </w:pPr>
      <w:bookmarkStart w:id="1978" w:name="bookmark1978"/>
      <w:bookmarkStart w:id="1979" w:name="bookmark1979"/>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78"/>
      <w:bookmarkEnd w:id="1979"/>
      <w:bookmarkEnd w:id="198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both"/>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85"/>
      <w:bookmarkEnd w:id="1986"/>
      <w:bookmarkEnd w:id="198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241" w:right="1061" w:bottom="1409" w:left="1066" w:header="0" w:footer="3" w:gutter="0"/>
          <w:cols w:space="720"/>
          <w:noEndnote/>
          <w:rtlGutter w:val="0"/>
          <w:docGrid w:linePitch="360"/>
        </w:sectPr>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7</w:t>
      </w:r>
      <w:bookmarkEnd w:id="1990"/>
      <w:r>
        <w:rPr>
          <w:color w:val="000000"/>
          <w:spacing w:val="0"/>
          <w:w w:val="100"/>
          <w:position w:val="0"/>
        </w:rPr>
        <w:t>、关联方承诺</w:t>
      </w:r>
      <w:bookmarkEnd w:id="1988"/>
      <w:bookmarkEnd w:id="1989"/>
      <w:bookmarkEnd w:id="1991"/>
    </w:p>
    <w:p>
      <w:pPr>
        <w:pStyle w:val="Style32"/>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8</w:t>
      </w:r>
      <w:bookmarkEnd w:id="1994"/>
      <w:r>
        <w:rPr>
          <w:color w:val="000000"/>
          <w:spacing w:val="0"/>
          <w:w w:val="100"/>
          <w:position w:val="0"/>
        </w:rPr>
        <w:t>、其他</w:t>
      </w:r>
      <w:bookmarkEnd w:id="1992"/>
      <w:bookmarkEnd w:id="1993"/>
      <w:bookmarkEnd w:id="1995"/>
    </w:p>
    <w:p>
      <w:pPr>
        <w:pStyle w:val="Style25"/>
        <w:keepNext/>
        <w:keepLines/>
        <w:widowControl w:val="0"/>
        <w:shd w:val="clear" w:color="auto" w:fill="auto"/>
        <w:bidi w:val="0"/>
        <w:spacing w:before="0" w:after="340" w:line="240" w:lineRule="auto"/>
        <w:ind w:left="0" w:right="0" w:firstLine="0"/>
        <w:jc w:val="left"/>
      </w:pPr>
      <w:bookmarkStart w:id="1996" w:name="bookmark1996"/>
      <w:bookmarkStart w:id="1997" w:name="bookmark1997"/>
      <w:bookmarkStart w:id="1998" w:name="bookmark1998"/>
      <w:r>
        <w:rPr>
          <w:color w:val="000000"/>
          <w:spacing w:val="0"/>
          <w:w w:val="100"/>
          <w:position w:val="0"/>
          <w:sz w:val="24"/>
          <w:szCs w:val="24"/>
        </w:rPr>
        <w:t>十三、股份支付</w:t>
      </w:r>
      <w:bookmarkEnd w:id="1996"/>
      <w:bookmarkEnd w:id="1997"/>
      <w:bookmarkEnd w:id="1998"/>
    </w:p>
    <w:p>
      <w:pPr>
        <w:pStyle w:val="Style32"/>
        <w:keepNext/>
        <w:keepLines/>
        <w:widowControl w:val="0"/>
        <w:shd w:val="clear" w:color="auto" w:fill="auto"/>
        <w:tabs>
          <w:tab w:pos="368" w:val="left"/>
        </w:tabs>
        <w:bidi w:val="0"/>
        <w:spacing w:before="0" w:after="26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bookmarkEnd w:id="2001"/>
      <w:r>
        <w:rPr>
          <w:color w:val="000000"/>
          <w:spacing w:val="0"/>
          <w:w w:val="100"/>
          <w:position w:val="0"/>
        </w:rPr>
        <w:t>、</w:t>
        <w:tab/>
        <w:t>股份支付总体情况</w:t>
      </w:r>
      <w:bookmarkEnd w:id="1999"/>
      <w:bookmarkEnd w:id="2000"/>
      <w:bookmarkEnd w:id="2002"/>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bookmarkEnd w:id="2005"/>
      <w:r>
        <w:rPr>
          <w:color w:val="000000"/>
          <w:spacing w:val="0"/>
          <w:w w:val="100"/>
          <w:position w:val="0"/>
        </w:rPr>
        <w:t>、</w:t>
        <w:tab/>
        <w:t>以权益结算的股份支付情况</w:t>
      </w:r>
      <w:bookmarkEnd w:id="2003"/>
      <w:bookmarkEnd w:id="2004"/>
      <w:bookmarkEnd w:id="2006"/>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3</w:t>
      </w:r>
      <w:bookmarkEnd w:id="2009"/>
      <w:r>
        <w:rPr>
          <w:color w:val="000000"/>
          <w:spacing w:val="0"/>
          <w:w w:val="100"/>
          <w:position w:val="0"/>
        </w:rPr>
        <w:t>、</w:t>
        <w:tab/>
        <w:t>以现金结算的股份支付情况</w:t>
      </w:r>
      <w:bookmarkEnd w:id="2007"/>
      <w:bookmarkEnd w:id="2008"/>
      <w:bookmarkEnd w:id="2010"/>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4</w:t>
      </w:r>
      <w:bookmarkEnd w:id="2013"/>
      <w:r>
        <w:rPr>
          <w:color w:val="000000"/>
          <w:spacing w:val="0"/>
          <w:w w:val="100"/>
          <w:position w:val="0"/>
        </w:rPr>
        <w:t>、</w:t>
        <w:tab/>
        <w:t>股份支付的修改、终止情况</w:t>
      </w:r>
      <w:bookmarkEnd w:id="2011"/>
      <w:bookmarkEnd w:id="2012"/>
      <w:bookmarkEnd w:id="2014"/>
    </w:p>
    <w:p>
      <w:pPr>
        <w:pStyle w:val="Style32"/>
        <w:keepNext/>
        <w:keepLines/>
        <w:widowControl w:val="0"/>
        <w:shd w:val="clear" w:color="auto" w:fill="auto"/>
        <w:tabs>
          <w:tab w:pos="378" w:val="left"/>
        </w:tabs>
        <w:bidi w:val="0"/>
        <w:spacing w:before="0" w:line="240" w:lineRule="auto"/>
        <w:ind w:left="0" w:right="0" w:firstLine="0"/>
        <w:jc w:val="left"/>
      </w:pPr>
      <w:bookmarkStart w:id="2011" w:name="bookmark2011"/>
      <w:bookmarkStart w:id="2012" w:name="bookmark2012"/>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w:t>
        <w:tab/>
        <w:t>其他</w:t>
      </w:r>
      <w:bookmarkEnd w:id="2011"/>
      <w:bookmarkEnd w:id="2012"/>
      <w:bookmarkEnd w:id="2016"/>
    </w:p>
    <w:p>
      <w:pPr>
        <w:pStyle w:val="Style25"/>
        <w:keepNext/>
        <w:keepLines/>
        <w:widowControl w:val="0"/>
        <w:shd w:val="clear" w:color="auto" w:fill="auto"/>
        <w:bidi w:val="0"/>
        <w:spacing w:before="0" w:after="340" w:line="240" w:lineRule="auto"/>
        <w:ind w:left="0" w:right="0" w:firstLine="0"/>
        <w:jc w:val="left"/>
      </w:pPr>
      <w:bookmarkStart w:id="2017" w:name="bookmark2017"/>
      <w:bookmarkStart w:id="2018" w:name="bookmark2018"/>
      <w:bookmarkStart w:id="2019" w:name="bookmark2019"/>
      <w:r>
        <w:rPr>
          <w:color w:val="000000"/>
          <w:spacing w:val="0"/>
          <w:w w:val="100"/>
          <w:position w:val="0"/>
          <w:sz w:val="24"/>
          <w:szCs w:val="24"/>
        </w:rPr>
        <w:t>十四、承诺及或有事项</w:t>
      </w:r>
      <w:bookmarkEnd w:id="2017"/>
      <w:bookmarkEnd w:id="2018"/>
      <w:bookmarkEnd w:id="2019"/>
    </w:p>
    <w:p>
      <w:pPr>
        <w:pStyle w:val="Style32"/>
        <w:keepNext/>
        <w:keepLines/>
        <w:widowControl w:val="0"/>
        <w:shd w:val="clear" w:color="auto" w:fill="auto"/>
        <w:bidi w:val="0"/>
        <w:spacing w:before="0" w:after="260" w:line="240" w:lineRule="auto"/>
        <w:ind w:left="0" w:right="0" w:firstLine="0"/>
        <w:jc w:val="left"/>
      </w:pPr>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20"/>
      <w:bookmarkEnd w:id="2021"/>
      <w:bookmarkEnd w:id="202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29"/>
        <w:keepNext w:val="0"/>
        <w:keepLines w:val="0"/>
        <w:widowControl w:val="0"/>
        <w:numPr>
          <w:ilvl w:val="0"/>
          <w:numId w:val="109"/>
        </w:numPr>
        <w:shd w:val="clear" w:color="auto" w:fill="auto"/>
        <w:tabs>
          <w:tab w:pos="820" w:val="left"/>
        </w:tabs>
        <w:bidi w:val="0"/>
        <w:spacing w:before="0" w:after="0" w:line="312" w:lineRule="exact"/>
        <w:ind w:left="0" w:right="0" w:firstLine="380"/>
        <w:jc w:val="both"/>
      </w:pPr>
      <w:bookmarkStart w:id="2023" w:name="bookmark2023"/>
      <w:bookmarkEnd w:id="2023"/>
      <w:r>
        <w:rPr>
          <w:color w:val="000000"/>
          <w:spacing w:val="0"/>
          <w:w w:val="100"/>
          <w:position w:val="0"/>
        </w:rPr>
        <w:t>未结清的保函</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报告期末，公司在境内已开立但尚未结清的银行保函金额为人民币</w:t>
      </w:r>
      <w:r>
        <w:rPr>
          <w:rFonts w:ascii="Times New Roman" w:eastAsia="Times New Roman" w:hAnsi="Times New Roman" w:cs="Times New Roman"/>
          <w:color w:val="000000"/>
          <w:spacing w:val="0"/>
          <w:w w:val="100"/>
          <w:position w:val="0"/>
        </w:rPr>
        <w:t>9,710,800.00</w:t>
      </w:r>
      <w:r>
        <w:rPr>
          <w:color w:val="000000"/>
          <w:spacing w:val="0"/>
          <w:w w:val="100"/>
          <w:position w:val="0"/>
        </w:rPr>
        <w:t>元，美元</w:t>
      </w:r>
      <w:r>
        <w:rPr>
          <w:rFonts w:ascii="Times New Roman" w:eastAsia="Times New Roman" w:hAnsi="Times New Roman" w:cs="Times New Roman"/>
          <w:color w:val="000000"/>
          <w:spacing w:val="0"/>
          <w:w w:val="100"/>
          <w:position w:val="0"/>
        </w:rPr>
        <w:t>10,307.63</w:t>
      </w:r>
      <w:r>
        <w:rPr>
          <w:color w:val="000000"/>
          <w:spacing w:val="0"/>
          <w:w w:val="100"/>
          <w:position w:val="0"/>
        </w:rPr>
        <w:t>元，对应的保证金金 额为人民币</w:t>
      </w:r>
      <w:r>
        <w:rPr>
          <w:rFonts w:ascii="Times New Roman" w:eastAsia="Times New Roman" w:hAnsi="Times New Roman" w:cs="Times New Roman"/>
          <w:color w:val="000000"/>
          <w:spacing w:val="0"/>
          <w:w w:val="100"/>
          <w:position w:val="0"/>
        </w:rPr>
        <w:t>1,378,056.25</w:t>
      </w:r>
      <w:r>
        <w:rPr>
          <w:color w:val="000000"/>
          <w:spacing w:val="0"/>
          <w:w w:val="100"/>
          <w:position w:val="0"/>
        </w:rPr>
        <w:t>元；在境外已开立但尚未结清的银行保函金额为</w:t>
      </w:r>
      <w:r>
        <w:rPr>
          <w:rFonts w:ascii="Times New Roman" w:eastAsia="Times New Roman" w:hAnsi="Times New Roman" w:cs="Times New Roman"/>
          <w:color w:val="000000"/>
          <w:spacing w:val="0"/>
          <w:w w:val="100"/>
          <w:position w:val="0"/>
        </w:rPr>
        <w:t>67,658.00</w:t>
      </w:r>
      <w:r>
        <w:rPr>
          <w:color w:val="000000"/>
          <w:spacing w:val="0"/>
          <w:w w:val="100"/>
          <w:position w:val="0"/>
        </w:rPr>
        <w:t>美元，对应的保证金金额为</w:t>
      </w:r>
      <w:r>
        <w:rPr>
          <w:rFonts w:ascii="Times New Roman" w:eastAsia="Times New Roman" w:hAnsi="Times New Roman" w:cs="Times New Roman"/>
          <w:color w:val="000000"/>
          <w:spacing w:val="0"/>
          <w:w w:val="100"/>
          <w:position w:val="0"/>
        </w:rPr>
        <w:t>67,658.00</w:t>
      </w:r>
      <w:r>
        <w:rPr>
          <w:color w:val="000000"/>
          <w:spacing w:val="0"/>
          <w:w w:val="100"/>
          <w:position w:val="0"/>
        </w:rPr>
        <w:t>美元。</w:t>
      </w:r>
    </w:p>
    <w:p>
      <w:pPr>
        <w:pStyle w:val="Style29"/>
        <w:keepNext w:val="0"/>
        <w:keepLines w:val="0"/>
        <w:widowControl w:val="0"/>
        <w:numPr>
          <w:ilvl w:val="0"/>
          <w:numId w:val="109"/>
        </w:numPr>
        <w:shd w:val="clear" w:color="auto" w:fill="auto"/>
        <w:tabs>
          <w:tab w:pos="820" w:val="left"/>
        </w:tabs>
        <w:bidi w:val="0"/>
        <w:spacing w:before="0" w:after="0" w:line="312" w:lineRule="exact"/>
        <w:ind w:left="0" w:right="0" w:firstLine="380"/>
        <w:jc w:val="left"/>
      </w:pPr>
      <w:bookmarkStart w:id="2024" w:name="bookmark2024"/>
      <w:bookmarkEnd w:id="2024"/>
      <w:r>
        <w:rPr>
          <w:color w:val="000000"/>
          <w:spacing w:val="0"/>
          <w:w w:val="100"/>
          <w:position w:val="0"/>
        </w:rPr>
        <w:t>未结清的信用证</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报告期末，公司已开立但尚未结清的信用证金额为</w:t>
      </w:r>
      <w:r>
        <w:rPr>
          <w:rFonts w:ascii="Times New Roman" w:eastAsia="Times New Roman" w:hAnsi="Times New Roman" w:cs="Times New Roman"/>
          <w:color w:val="000000"/>
          <w:spacing w:val="0"/>
          <w:w w:val="100"/>
          <w:position w:val="0"/>
        </w:rPr>
        <w:t>457,111.93</w:t>
      </w:r>
      <w:r>
        <w:rPr>
          <w:color w:val="000000"/>
          <w:spacing w:val="0"/>
          <w:w w:val="100"/>
          <w:position w:val="0"/>
        </w:rPr>
        <w:t>美元。</w:t>
      </w:r>
    </w:p>
    <w:p>
      <w:pPr>
        <w:pStyle w:val="Style29"/>
        <w:keepNext w:val="0"/>
        <w:keepLines w:val="0"/>
        <w:widowControl w:val="0"/>
        <w:numPr>
          <w:ilvl w:val="0"/>
          <w:numId w:val="109"/>
        </w:numPr>
        <w:shd w:val="clear" w:color="auto" w:fill="auto"/>
        <w:tabs>
          <w:tab w:pos="820" w:val="left"/>
        </w:tabs>
        <w:bidi w:val="0"/>
        <w:spacing w:before="0" w:after="0" w:line="312" w:lineRule="exact"/>
        <w:ind w:left="0" w:right="0" w:firstLine="380"/>
        <w:jc w:val="both"/>
      </w:pPr>
      <w:bookmarkStart w:id="2025" w:name="bookmark2025"/>
      <w:bookmarkEnd w:id="2025"/>
      <w:r>
        <w:rPr>
          <w:color w:val="000000"/>
          <w:spacing w:val="0"/>
          <w:w w:val="100"/>
          <w:position w:val="0"/>
        </w:rPr>
        <w:t>授信额度及使用情况</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公司以其所有的座落于北京西城区金融大街的不动产为抵押，向中国农业银行股份有限公司丹阳支行取得</w:t>
      </w:r>
      <w:r>
        <w:rPr>
          <w:rFonts w:ascii="Times New Roman" w:eastAsia="Times New Roman" w:hAnsi="Times New Roman" w:cs="Times New Roman"/>
          <w:color w:val="000000"/>
          <w:spacing w:val="0"/>
          <w:w w:val="100"/>
          <w:position w:val="0"/>
        </w:rPr>
        <w:t>2</w:t>
      </w:r>
      <w:r>
        <w:rPr>
          <w:color w:val="000000"/>
          <w:spacing w:val="0"/>
          <w:w w:val="100"/>
          <w:position w:val="0"/>
        </w:rPr>
        <w:t>亿元人民币 授信额度。截至期末，上述抵押物账面原值为人民币</w:t>
      </w:r>
      <w:r>
        <w:rPr>
          <w:rFonts w:ascii="Times New Roman" w:eastAsia="Times New Roman" w:hAnsi="Times New Roman" w:cs="Times New Roman"/>
          <w:color w:val="000000"/>
          <w:spacing w:val="0"/>
          <w:w w:val="100"/>
          <w:position w:val="0"/>
        </w:rPr>
        <w:t>43,690,478.23</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32,120,791.63</w:t>
      </w:r>
      <w:r>
        <w:rPr>
          <w:color w:val="000000"/>
          <w:spacing w:val="0"/>
          <w:w w:val="100"/>
          <w:position w:val="0"/>
        </w:rPr>
        <w:t>元。授信额度用于开 具信用证及保函。报告期末，已使用授信额度人民币</w:t>
      </w:r>
      <w:r>
        <w:rPr>
          <w:rFonts w:ascii="Times New Roman" w:eastAsia="Times New Roman" w:hAnsi="Times New Roman" w:cs="Times New Roman"/>
          <w:color w:val="000000"/>
          <w:spacing w:val="0"/>
          <w:w w:val="100"/>
          <w:position w:val="0"/>
        </w:rPr>
        <w:t>4,736,727.02</w:t>
      </w:r>
      <w:r>
        <w:rPr>
          <w:color w:val="000000"/>
          <w:spacing w:val="0"/>
          <w:w w:val="100"/>
          <w:position w:val="0"/>
        </w:rPr>
        <w:t>元。</w:t>
      </w:r>
    </w:p>
    <w:p>
      <w:pPr>
        <w:pStyle w:val="Style29"/>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公司以其所有的座落于丹阳市云阳镇横塘化工路、横塘工业园、云阳镇东马场的不动产为抵押物、保证金的质押及钱京 的个人保证，向中国银行股份有限公司丹阳支行取得</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亿元人民币授信额度。截至期末，上述抵押物账面原值为人民币 </w:t>
      </w:r>
      <w:r>
        <w:rPr>
          <w:rFonts w:ascii="Times New Roman" w:eastAsia="Times New Roman" w:hAnsi="Times New Roman" w:cs="Times New Roman"/>
          <w:color w:val="000000"/>
          <w:spacing w:val="0"/>
          <w:w w:val="100"/>
          <w:position w:val="0"/>
        </w:rPr>
        <w:t>135,979,538.15</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56,334,854.8</w:t>
      </w:r>
      <w:r>
        <w:rPr>
          <w:rFonts w:ascii="Times New Roman" w:eastAsia="Times New Roman" w:hAnsi="Times New Roman" w:cs="Times New Roman"/>
          <w:color w:val="000000"/>
          <w:spacing w:val="0"/>
          <w:w w:val="100"/>
          <w:position w:val="0"/>
        </w:rPr>
        <w:t>1</w:t>
      </w:r>
      <w:r>
        <w:rPr>
          <w:color w:val="000000"/>
          <w:spacing w:val="0"/>
          <w:w w:val="100"/>
          <w:position w:val="0"/>
        </w:rPr>
        <w:t xml:space="preserve">元。授信额度用于开具信用证及保函。报告期末，已使用授信额度人民币 </w:t>
      </w:r>
      <w:r>
        <w:rPr>
          <w:rFonts w:ascii="Times New Roman" w:eastAsia="Times New Roman" w:hAnsi="Times New Roman" w:cs="Times New Roman"/>
          <w:color w:val="000000"/>
          <w:spacing w:val="0"/>
          <w:w w:val="100"/>
          <w:position w:val="0"/>
        </w:rPr>
        <w:t>9,320,638.86</w:t>
      </w:r>
      <w:r>
        <w:rPr>
          <w:color w:val="000000"/>
          <w:spacing w:val="0"/>
          <w:w w:val="100"/>
          <w:position w:val="0"/>
        </w:rPr>
        <w:t>元。</w:t>
      </w:r>
    </w:p>
    <w:p>
      <w:pPr>
        <w:pStyle w:val="Style32"/>
        <w:keepNext/>
        <w:keepLines/>
        <w:widowControl w:val="0"/>
        <w:shd w:val="clear" w:color="auto" w:fill="auto"/>
        <w:tabs>
          <w:tab w:pos="378" w:val="left"/>
        </w:tabs>
        <w:bidi w:val="0"/>
        <w:spacing w:before="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bookmarkEnd w:id="2028"/>
      <w:r>
        <w:rPr>
          <w:color w:val="000000"/>
          <w:spacing w:val="0"/>
          <w:w w:val="100"/>
          <w:position w:val="0"/>
        </w:rPr>
        <w:t>、</w:t>
        <w:tab/>
        <w:t>或有事项</w:t>
      </w:r>
      <w:bookmarkEnd w:id="2026"/>
      <w:bookmarkEnd w:id="2027"/>
      <w:bookmarkEnd w:id="2029"/>
    </w:p>
    <w:p>
      <w:pPr>
        <w:pStyle w:val="Style32"/>
        <w:keepNext/>
        <w:keepLines/>
        <w:widowControl w:val="0"/>
        <w:shd w:val="clear" w:color="auto" w:fill="auto"/>
        <w:tabs>
          <w:tab w:pos="488" w:val="left"/>
        </w:tabs>
        <w:bidi w:val="0"/>
        <w:spacing w:before="0" w:after="280" w:line="240" w:lineRule="auto"/>
        <w:ind w:left="0" w:right="0" w:firstLine="0"/>
        <w:jc w:val="left"/>
      </w:pPr>
      <w:bookmarkStart w:id="2026" w:name="bookmark2026"/>
      <w:bookmarkStart w:id="2027" w:name="bookmark2027"/>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26"/>
      <w:bookmarkEnd w:id="2027"/>
      <w:bookmarkEnd w:id="2031"/>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未决诉讼仲裁及其财务影响</w:t>
      </w:r>
    </w:p>
    <w:p>
      <w:pPr>
        <w:pStyle w:val="Style29"/>
        <w:keepNext w:val="0"/>
        <w:keepLines w:val="0"/>
        <w:widowControl w:val="0"/>
        <w:shd w:val="clear" w:color="auto" w:fill="auto"/>
        <w:bidi w:val="0"/>
        <w:spacing w:before="0" w:after="1080" w:line="317"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日，北京市中伦律师事务所就公司与其于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日签订的《委托代理协议》所引起的争议，向北京 仲裁委员会申请仲裁，该项仲裁涉案金额为</w:t>
      </w:r>
      <w:r>
        <w:rPr>
          <w:rFonts w:ascii="Times New Roman" w:eastAsia="Times New Roman" w:hAnsi="Times New Roman" w:cs="Times New Roman"/>
          <w:color w:val="000000"/>
          <w:spacing w:val="0"/>
          <w:w w:val="100"/>
          <w:position w:val="0"/>
        </w:rPr>
        <w:t>1,000</w:t>
      </w:r>
      <w:r>
        <w:rPr>
          <w:color w:val="000000"/>
          <w:spacing w:val="0"/>
          <w:w w:val="100"/>
          <w:position w:val="0"/>
        </w:rPr>
        <w:t>万元，报告期末，仲裁尚未结束。</w:t>
      </w:r>
    </w:p>
    <w:p>
      <w:pPr>
        <w:pStyle w:val="Style32"/>
        <w:keepNext/>
        <w:keepLines/>
        <w:widowControl w:val="0"/>
        <w:shd w:val="clear" w:color="auto" w:fill="auto"/>
        <w:tabs>
          <w:tab w:pos="488" w:val="left"/>
        </w:tabs>
        <w:bidi w:val="0"/>
        <w:spacing w:before="0" w:after="280" w:line="240" w:lineRule="auto"/>
        <w:ind w:left="0" w:right="0" w:firstLine="0"/>
        <w:jc w:val="both"/>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32"/>
      <w:bookmarkEnd w:id="2033"/>
      <w:bookmarkEnd w:id="2035"/>
    </w:p>
    <w:p>
      <w:pPr>
        <w:pStyle w:val="Style29"/>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both"/>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3</w:t>
      </w:r>
      <w:bookmarkEnd w:id="2038"/>
      <w:r>
        <w:rPr>
          <w:color w:val="000000"/>
          <w:spacing w:val="0"/>
          <w:w w:val="100"/>
          <w:position w:val="0"/>
        </w:rPr>
        <w:t>、</w:t>
        <w:tab/>
        <w:t>其他</w:t>
      </w:r>
      <w:bookmarkEnd w:id="2036"/>
      <w:bookmarkEnd w:id="2037"/>
      <w:bookmarkEnd w:id="2039"/>
    </w:p>
    <w:p>
      <w:pPr>
        <w:pStyle w:val="Style25"/>
        <w:keepNext/>
        <w:keepLines/>
        <w:widowControl w:val="0"/>
        <w:shd w:val="clear" w:color="auto" w:fill="auto"/>
        <w:bidi w:val="0"/>
        <w:spacing w:before="0" w:after="340" w:line="240" w:lineRule="auto"/>
        <w:ind w:left="0" w:right="0" w:firstLine="0"/>
        <w:jc w:val="both"/>
      </w:pPr>
      <w:bookmarkStart w:id="2040" w:name="bookmark2040"/>
      <w:bookmarkStart w:id="2041" w:name="bookmark2041"/>
      <w:bookmarkStart w:id="2042" w:name="bookmark2042"/>
      <w:r>
        <w:rPr>
          <w:color w:val="000000"/>
          <w:spacing w:val="0"/>
          <w:w w:val="100"/>
          <w:position w:val="0"/>
          <w:sz w:val="24"/>
          <w:szCs w:val="24"/>
        </w:rPr>
        <w:t>十五、资产负债表日后事项</w:t>
      </w:r>
      <w:bookmarkEnd w:id="2040"/>
      <w:bookmarkEnd w:id="2041"/>
      <w:bookmarkEnd w:id="2042"/>
    </w:p>
    <w:p>
      <w:pPr>
        <w:pStyle w:val="Style32"/>
        <w:keepNext/>
        <w:keepLines/>
        <w:widowControl w:val="0"/>
        <w:shd w:val="clear" w:color="auto" w:fill="auto"/>
        <w:bidi w:val="0"/>
        <w:spacing w:before="0" w:after="280" w:line="240" w:lineRule="auto"/>
        <w:ind w:left="0" w:right="0" w:firstLine="0"/>
        <w:jc w:val="both"/>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43"/>
      <w:bookmarkEnd w:id="2044"/>
      <w:bookmarkEnd w:id="2045"/>
    </w:p>
    <w:p>
      <w:pPr>
        <w:pStyle w:val="Style29"/>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279" w:line="1" w:lineRule="exact"/>
      </w:pPr>
    </w:p>
    <w:p>
      <w:pPr>
        <w:pStyle w:val="Style32"/>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46"/>
      <w:bookmarkEnd w:id="2047"/>
      <w:bookmarkEnd w:id="20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7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3</w:t>
      </w:r>
      <w:bookmarkEnd w:id="2051"/>
      <w:r>
        <w:rPr>
          <w:color w:val="000000"/>
          <w:spacing w:val="0"/>
          <w:w w:val="100"/>
          <w:position w:val="0"/>
        </w:rPr>
        <w:t>、</w:t>
        <w:tab/>
        <w:t>销售退回</w:t>
      </w:r>
      <w:bookmarkEnd w:id="2049"/>
      <w:bookmarkEnd w:id="2050"/>
      <w:bookmarkEnd w:id="2052"/>
    </w:p>
    <w:p>
      <w:pPr>
        <w:pStyle w:val="Style32"/>
        <w:keepNext/>
        <w:keepLines/>
        <w:widowControl w:val="0"/>
        <w:shd w:val="clear" w:color="auto" w:fill="auto"/>
        <w:tabs>
          <w:tab w:pos="378" w:val="left"/>
        </w:tabs>
        <w:bidi w:val="0"/>
        <w:spacing w:before="0" w:after="280" w:line="240" w:lineRule="auto"/>
        <w:ind w:left="0" w:right="0" w:firstLine="0"/>
        <w:jc w:val="left"/>
      </w:pPr>
      <w:bookmarkStart w:id="2049" w:name="bookmark2049"/>
      <w:bookmarkStart w:id="2050" w:name="bookmark2050"/>
      <w:bookmarkStart w:id="2053" w:name="bookmark2053"/>
      <w:bookmarkStart w:id="2054" w:name="bookmark2054"/>
      <w:r>
        <w:rPr>
          <w:rFonts w:ascii="Times New Roman" w:eastAsia="Times New Roman" w:hAnsi="Times New Roman" w:cs="Times New Roman"/>
          <w:color w:val="000000"/>
          <w:spacing w:val="0"/>
          <w:w w:val="100"/>
          <w:position w:val="0"/>
        </w:rPr>
        <w:t>4</w:t>
      </w:r>
      <w:bookmarkEnd w:id="2053"/>
      <w:r>
        <w:rPr>
          <w:color w:val="000000"/>
          <w:spacing w:val="0"/>
          <w:w w:val="100"/>
          <w:position w:val="0"/>
        </w:rPr>
        <w:t>、</w:t>
        <w:tab/>
        <w:t>其他资产负债表日后事项说明</w:t>
      </w:r>
      <w:bookmarkEnd w:id="2049"/>
      <w:bookmarkEnd w:id="2050"/>
      <w:bookmarkEnd w:id="2054"/>
    </w:p>
    <w:p>
      <w:pPr>
        <w:pStyle w:val="Style29"/>
        <w:keepNext w:val="0"/>
        <w:keepLines w:val="0"/>
        <w:widowControl w:val="0"/>
        <w:shd w:val="clear" w:color="auto" w:fill="auto"/>
        <w:tabs>
          <w:tab w:pos="830" w:val="left"/>
        </w:tabs>
        <w:bidi w:val="0"/>
        <w:spacing w:before="0" w:after="0" w:line="314" w:lineRule="exact"/>
        <w:ind w:left="0" w:right="0" w:firstLine="380"/>
        <w:jc w:val="both"/>
      </w:pPr>
      <w:bookmarkStart w:id="2055" w:name="bookmark2055"/>
      <w:r>
        <w:rPr>
          <w:b/>
          <w:bCs/>
          <w:color w:val="000000"/>
          <w:spacing w:val="0"/>
          <w:w w:val="100"/>
          <w:position w:val="0"/>
        </w:rPr>
        <w:t>（</w:t>
      </w:r>
      <w:bookmarkEnd w:id="205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股票期权激励</w:t>
      </w:r>
    </w:p>
    <w:p>
      <w:pPr>
        <w:pStyle w:val="Style2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w:t>
      </w:r>
      <w:r>
        <w:rPr>
          <w:color w:val="000000"/>
          <w:spacing w:val="0"/>
          <w:w w:val="100"/>
          <w:position w:val="0"/>
        </w:rPr>
        <w:t>〉</w:t>
      </w:r>
      <w:r>
        <w:rPr>
          <w:color w:val="000000"/>
          <w:spacing w:val="0"/>
          <w:w w:val="100"/>
          <w:position w:val="0"/>
        </w:rPr>
        <w:t>及 其摘要的议案》《关于公司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的议案》《关于提请股东大会授权董事会办理</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年股票期权激励计划相关事宜的议案》等议案，并披露了《关于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年股票期权激励计划内幕信息知情人及激励对象买卖公 司股票情况的自查报告》。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日，公司召开第七届董事会第十一次临时会议和第七届监事会第八次临时会议，审议 通过了《关于向激励对象首次授予股票期权的议案》。</w:t>
      </w:r>
    </w:p>
    <w:p>
      <w:pPr>
        <w:pStyle w:val="Style2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日公司已完成</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年股票期权激励计划首次授予登记工作。</w:t>
      </w:r>
    </w:p>
    <w:p>
      <w:pPr>
        <w:pStyle w:val="Style29"/>
        <w:keepNext w:val="0"/>
        <w:keepLines w:val="0"/>
        <w:widowControl w:val="0"/>
        <w:shd w:val="clear" w:color="auto" w:fill="auto"/>
        <w:tabs>
          <w:tab w:pos="830" w:val="left"/>
        </w:tabs>
        <w:bidi w:val="0"/>
        <w:spacing w:before="0" w:after="0" w:line="314" w:lineRule="exact"/>
        <w:ind w:left="0" w:right="0" w:firstLine="380"/>
        <w:jc w:val="both"/>
      </w:pPr>
      <w:bookmarkStart w:id="2056" w:name="bookmark2056"/>
      <w:r>
        <w:rPr>
          <w:b/>
          <w:bCs/>
          <w:color w:val="000000"/>
          <w:spacing w:val="0"/>
          <w:w w:val="100"/>
          <w:position w:val="0"/>
        </w:rPr>
        <w:t>（</w:t>
      </w:r>
      <w:bookmarkEnd w:id="205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一卡易股份近期发生的事件</w:t>
      </w:r>
    </w:p>
    <w:p>
      <w:pPr>
        <w:pStyle w:val="Style29"/>
        <w:keepNext w:val="0"/>
        <w:keepLines w:val="0"/>
        <w:widowControl w:val="0"/>
        <w:numPr>
          <w:ilvl w:val="0"/>
          <w:numId w:val="111"/>
        </w:numPr>
        <w:shd w:val="clear" w:color="auto" w:fill="auto"/>
        <w:bidi w:val="0"/>
        <w:spacing w:before="0" w:after="280" w:line="314" w:lineRule="exact"/>
        <w:ind w:left="0" w:right="0" w:firstLine="380"/>
        <w:jc w:val="both"/>
      </w:pPr>
      <w:bookmarkStart w:id="2057" w:name="bookmark2057"/>
      <w:bookmarkEnd w:id="2057"/>
      <w:r>
        <w:rPr>
          <w:color w:val="000000"/>
          <w:spacing w:val="0"/>
          <w:w w:val="100"/>
          <w:position w:val="0"/>
        </w:rPr>
        <w:t>公司对一卡易股份失去控制</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月下旬至今对一卡易股份已无法正常行使股东权利并已实质失去控制。具体情况如下：</w:t>
      </w:r>
    </w:p>
    <w:p>
      <w:pPr>
        <w:pStyle w:val="Style29"/>
        <w:keepNext w:val="0"/>
        <w:keepLines w:val="0"/>
        <w:widowControl w:val="0"/>
        <w:shd w:val="clear" w:color="auto" w:fill="auto"/>
        <w:tabs>
          <w:tab w:pos="653" w:val="left"/>
        </w:tabs>
        <w:bidi w:val="0"/>
        <w:spacing w:before="0" w:after="0" w:line="314" w:lineRule="exact"/>
        <w:ind w:left="0" w:right="0"/>
        <w:jc w:val="both"/>
      </w:pPr>
      <w:bookmarkStart w:id="2058" w:name="bookmark2058"/>
      <w:r>
        <w:rPr>
          <w:rFonts w:ascii="Times New Roman" w:eastAsia="Times New Roman" w:hAnsi="Times New Roman" w:cs="Times New Roman"/>
          <w:color w:val="000000"/>
          <w:spacing w:val="0"/>
          <w:w w:val="100"/>
          <w:position w:val="0"/>
        </w:rPr>
        <w:t>1</w:t>
      </w:r>
      <w:bookmarkEnd w:id="2058"/>
      <w:r>
        <w:rPr>
          <w:color w:val="000000"/>
          <w:spacing w:val="0"/>
          <w:w w:val="100"/>
          <w:position w:val="0"/>
        </w:rPr>
        <w:t>）</w:t>
        <w:tab/>
        <w:t>公司对一卡易及其子公司的公章、财务章、合同章、营业执照等印鉴和证照失去控制。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公司与一卡易股份其他股东于挺进等人因一卡易股份管理理念发生重大分歧，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日，一卡易股份总经理于挺 进违规从一卡易股份财务室拿走财务章和原由董事会秘书保管的一卡易股份及其子公司的公章、合同章、营业执照等印鉴和 证照，且拒不返还。同时于挺进违规单方发布《深圳一卡易股份科技股份有限公司印章证照管理制度》，擅自宣布上述印章 证照由其保管控制，严重违反公司内部控制制度。据此，公司已对一卡易股份及其子公司的印章、证照等失去控制。</w:t>
      </w:r>
    </w:p>
    <w:p>
      <w:pPr>
        <w:pStyle w:val="Style29"/>
        <w:keepNext w:val="0"/>
        <w:keepLines w:val="0"/>
        <w:widowControl w:val="0"/>
        <w:shd w:val="clear" w:color="auto" w:fill="auto"/>
        <w:tabs>
          <w:tab w:pos="672" w:val="left"/>
        </w:tabs>
        <w:bidi w:val="0"/>
        <w:spacing w:before="0" w:after="0" w:line="314" w:lineRule="exact"/>
        <w:ind w:left="0" w:right="0"/>
        <w:jc w:val="both"/>
      </w:pPr>
      <w:bookmarkStart w:id="2059" w:name="bookmark2059"/>
      <w:r>
        <w:rPr>
          <w:rFonts w:ascii="Times New Roman" w:eastAsia="Times New Roman" w:hAnsi="Times New Roman" w:cs="Times New Roman"/>
          <w:color w:val="000000"/>
          <w:spacing w:val="0"/>
          <w:w w:val="100"/>
          <w:position w:val="0"/>
        </w:rPr>
        <w:t>2</w:t>
      </w:r>
      <w:bookmarkEnd w:id="2059"/>
      <w:r>
        <w:rPr>
          <w:color w:val="000000"/>
          <w:spacing w:val="0"/>
          <w:w w:val="100"/>
          <w:position w:val="0"/>
        </w:rPr>
        <w:t>）</w:t>
        <w:tab/>
        <w:t>公司委派的财务经理被无故解聘，公司失去对一卡易股份财务、资产的控制。</w:t>
      </w:r>
    </w:p>
    <w:p>
      <w:pPr>
        <w:pStyle w:val="Style2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日，一卡易股份总经理于挺进控制财务章同时无故解聘公司派驻一卡易股份的财务经理李雪燕，并将其驱 离出一卡易股份办公场所，致使公司委派的关键人员不能履职，并导致公司无法全面掌握一卡易股份及其子公司财务资料、 实际经营情况、资产状况及面临的风险等信息。公司无法对一卡易股份及其子公司的财务、资产等实施控制。</w:t>
      </w:r>
    </w:p>
    <w:p>
      <w:pPr>
        <w:pStyle w:val="Style29"/>
        <w:keepNext w:val="0"/>
        <w:keepLines w:val="0"/>
        <w:widowControl w:val="0"/>
        <w:shd w:val="clear" w:color="auto" w:fill="auto"/>
        <w:tabs>
          <w:tab w:pos="672" w:val="left"/>
        </w:tabs>
        <w:bidi w:val="0"/>
        <w:spacing w:before="0" w:after="0" w:line="314" w:lineRule="exact"/>
        <w:ind w:left="0" w:right="0"/>
        <w:jc w:val="both"/>
      </w:pPr>
      <w:bookmarkStart w:id="2060" w:name="bookmark2060"/>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公司派驻工作组无法进入一卡易股份，工作组无法履职。</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月公司出具授权文件，指派一卡易股份公司董事长、财务总监、法定代表人黄宏华成立工作组进驻一卡易股份。 但于挺进在收到前述文件后，拒不配合，蓄意引起双方多次冲突，阻碍工作组人员进驻开展工作，经派出所及街道工作站多 次协调，无法解决。此后于挺进安排人员封闭一卡易股份大门，工作组人员无法进入一卡易股份，无法履职。</w:t>
      </w:r>
    </w:p>
    <w:p>
      <w:pPr>
        <w:pStyle w:val="Style29"/>
        <w:keepNext w:val="0"/>
        <w:keepLines w:val="0"/>
        <w:widowControl w:val="0"/>
        <w:shd w:val="clear" w:color="auto" w:fill="auto"/>
        <w:tabs>
          <w:tab w:pos="653" w:val="left"/>
        </w:tabs>
        <w:bidi w:val="0"/>
        <w:spacing w:before="0" w:after="0" w:line="322" w:lineRule="exact"/>
        <w:ind w:left="0" w:right="0"/>
        <w:jc w:val="both"/>
      </w:pPr>
      <w:bookmarkStart w:id="2061" w:name="bookmark2061"/>
      <w:r>
        <w:rPr>
          <w:rFonts w:ascii="Times New Roman" w:eastAsia="Times New Roman" w:hAnsi="Times New Roman" w:cs="Times New Roman"/>
          <w:color w:val="000000"/>
          <w:spacing w:val="0"/>
          <w:w w:val="100"/>
          <w:position w:val="0"/>
        </w:rPr>
        <w:t>4</w:t>
      </w:r>
      <w:bookmarkEnd w:id="2061"/>
      <w:r>
        <w:rPr>
          <w:color w:val="000000"/>
          <w:spacing w:val="0"/>
          <w:w w:val="100"/>
          <w:position w:val="0"/>
        </w:rPr>
        <w:t>）</w:t>
        <w:tab/>
        <w:t>于挺进等人擅自作废原一卡易股份子公司银</w:t>
      </w:r>
      <w:r>
        <w:rPr>
          <w:color w:val="000000"/>
          <w:spacing w:val="0"/>
          <w:w w:val="100"/>
          <w:position w:val="0"/>
          <w:sz w:val="18"/>
          <w:szCs w:val="18"/>
        </w:rPr>
        <w:t>S</w:t>
      </w:r>
      <w:r>
        <w:rPr>
          <w:rFonts w:ascii="Times New Roman" w:eastAsia="Times New Roman" w:hAnsi="Times New Roman" w:cs="Times New Roman"/>
          <w:color w:val="000000"/>
          <w:spacing w:val="0"/>
          <w:w w:val="100"/>
          <w:position w:val="0"/>
        </w:rPr>
        <w:t>ukey</w:t>
      </w:r>
      <w:r>
        <w:rPr>
          <w:color w:val="000000"/>
          <w:spacing w:val="0"/>
          <w:w w:val="100"/>
          <w:position w:val="0"/>
        </w:rPr>
        <w:t>，</w:t>
      </w:r>
      <w:r>
        <w:rPr>
          <w:color w:val="000000"/>
          <w:spacing w:val="0"/>
          <w:w w:val="100"/>
          <w:position w:val="0"/>
        </w:rPr>
        <w:t>改变应收款项的收款方式，强行控制一卡易股份及其子公司的 财务和经营决策。</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于挺进等人擅自将原一卡易股份子公司银行</w:t>
      </w:r>
      <w:r>
        <w:rPr>
          <w:rFonts w:ascii="Times New Roman" w:eastAsia="Times New Roman" w:hAnsi="Times New Roman" w:cs="Times New Roman"/>
          <w:color w:val="000000"/>
          <w:spacing w:val="0"/>
          <w:w w:val="100"/>
          <w:position w:val="0"/>
        </w:rPr>
        <w:t>ukey</w:t>
      </w:r>
      <w:r>
        <w:rPr>
          <w:color w:val="000000"/>
          <w:spacing w:val="0"/>
          <w:w w:val="100"/>
          <w:position w:val="0"/>
        </w:rPr>
        <w:t>作废，要求一卡易股份客户原应支付至一卡易股份账户的款项变更支付 至一卡易股份子公司账户，单方面改变了一卡易股份主营业务的收款方式，致使公司对一卡易股份及其子公司的经营决策和 财务失去控制。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鉴于公司已无法控制一卡易股份的财务管控和经营决策，无法正常行使股东权利并实施控制，公司对一卡易股份已实质 失去控制。公司于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日召开第七届董事会第十二次临时会议、第七届监事会第九次临时会议审议通过了《关于深 圳一卡易股份科技股份有限公司不再纳入公司合并报表范围的议案》，一卡易股份自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日开始不再纳入公司</w:t>
      </w:r>
      <w:r>
        <w:rPr>
          <w:rFonts w:ascii="Times New Roman" w:eastAsia="Times New Roman" w:hAnsi="Times New Roman" w:cs="Times New Roman"/>
          <w:color w:val="000000"/>
          <w:spacing w:val="0"/>
          <w:w w:val="100"/>
          <w:position w:val="0"/>
        </w:rPr>
        <w:t>2021</w:t>
      </w:r>
      <w:r>
        <w:rPr>
          <w:color w:val="000000"/>
          <w:spacing w:val="0"/>
          <w:w w:val="100"/>
          <w:position w:val="0"/>
        </w:rPr>
        <w:t>年 合并报表范围。</w:t>
      </w:r>
    </w:p>
    <w:p>
      <w:pPr>
        <w:pStyle w:val="Style29"/>
        <w:keepNext w:val="0"/>
        <w:keepLines w:val="0"/>
        <w:widowControl w:val="0"/>
        <w:numPr>
          <w:ilvl w:val="0"/>
          <w:numId w:val="111"/>
        </w:numPr>
        <w:shd w:val="clear" w:color="auto" w:fill="auto"/>
        <w:tabs>
          <w:tab w:pos="677" w:val="left"/>
        </w:tabs>
        <w:bidi w:val="0"/>
        <w:spacing w:before="0" w:after="0" w:line="314" w:lineRule="exact"/>
        <w:ind w:left="0" w:right="0"/>
        <w:jc w:val="both"/>
      </w:pPr>
      <w:bookmarkStart w:id="2062" w:name="bookmark2062"/>
      <w:bookmarkEnd w:id="2062"/>
      <w:r>
        <w:rPr>
          <w:color w:val="000000"/>
          <w:spacing w:val="0"/>
          <w:w w:val="100"/>
          <w:position w:val="0"/>
        </w:rPr>
        <w:t>一卡易股份董事、监事、高管变动</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日，公司召集召开了一卡易股份</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年第二次临时股东大会，会议审议通过免去于挺进的董事职务，免 去王文娟的监事和监事会主席职务；选举郑红伟为一卡易股份监事。北京康达（深圳）律师事务所认为一卡易股份的此次临 时股东大会表决程序符合相关法律规定，表决结果合法有效，广东华商律师事务所认为一卡易股份的此次临时股东大会召集、 召开不符合相关法律规定，此次股东大会应属无效。</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日，一卡易股份第三届董事会第七次会议审议通过罢免于挺进总经理，审议通过聘请柯长珺担任一卡易 股份总经理，审议通过罢免陈妙铃董事会秘书，审议通过聘请徐栋彬担任一卡易董事会秘书。</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日，一卡易股份第三届监事会第八次会议审议通过选举郑红伟为一卡易股份监事会主席。</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日，一卡易股份监事会召集召开了一卡易股份</w:t>
      </w:r>
      <w:r>
        <w:rPr>
          <w:rFonts w:ascii="Times New Roman" w:eastAsia="Times New Roman" w:hAnsi="Times New Roman" w:cs="Times New Roman"/>
          <w:color w:val="000000"/>
          <w:spacing w:val="0"/>
          <w:w w:val="100"/>
          <w:position w:val="0"/>
        </w:rPr>
        <w:t>2021</w:t>
      </w:r>
      <w:r>
        <w:rPr>
          <w:color w:val="000000"/>
          <w:spacing w:val="0"/>
          <w:w w:val="100"/>
          <w:position w:val="0"/>
        </w:rPr>
        <w:t>年第一临时股东大会，会议审议提名徐东彬为董事方 案，同意股数占本次股东大会有表决权股份总数的</w:t>
      </w:r>
      <w:r>
        <w:rPr>
          <w:rFonts w:ascii="Times New Roman" w:eastAsia="Times New Roman" w:hAnsi="Times New Roman" w:cs="Times New Roman"/>
          <w:color w:val="000000"/>
          <w:spacing w:val="0"/>
          <w:w w:val="100"/>
          <w:position w:val="0"/>
        </w:rPr>
        <w:t>51.3708%</w:t>
      </w:r>
      <w:r>
        <w:rPr>
          <w:color w:val="000000"/>
          <w:spacing w:val="0"/>
          <w:w w:val="100"/>
          <w:position w:val="0"/>
        </w:rPr>
        <w:t>，反对股数占本次股东大会有表决权股份总数的</w:t>
      </w:r>
      <w:r>
        <w:rPr>
          <w:rFonts w:ascii="Times New Roman" w:eastAsia="Times New Roman" w:hAnsi="Times New Roman" w:cs="Times New Roman"/>
          <w:color w:val="000000"/>
          <w:spacing w:val="0"/>
          <w:w w:val="100"/>
          <w:position w:val="0"/>
        </w:rPr>
        <w:t>0%</w:t>
      </w:r>
      <w:r>
        <w:rPr>
          <w:color w:val="000000"/>
          <w:spacing w:val="0"/>
          <w:w w:val="100"/>
          <w:position w:val="0"/>
        </w:rPr>
        <w:t>；弃权股数 占本次股东大会有表决权股份总数的</w:t>
      </w:r>
      <w:r>
        <w:rPr>
          <w:rFonts w:ascii="Times New Roman" w:eastAsia="Times New Roman" w:hAnsi="Times New Roman" w:cs="Times New Roman"/>
          <w:color w:val="000000"/>
          <w:spacing w:val="0"/>
          <w:w w:val="100"/>
          <w:position w:val="0"/>
        </w:rPr>
        <w:t>48.6292%</w:t>
      </w:r>
      <w:r>
        <w:rPr>
          <w:color w:val="000000"/>
          <w:spacing w:val="0"/>
          <w:w w:val="100"/>
          <w:position w:val="0"/>
        </w:rPr>
        <w:t>，主持人宣布会议决议时认为该议案未进行表决，恒宝股份投票无效，导致 该方案未通过；审议未通过免去张美琴的监事职务，审议未通过选举徐海洋为监事，审议未通过免去黄宏华的董事职务，审 议未通过选举夏小成为董事。北京康达（深圳）律师事务所认为除本次股东大会无监事代表参与计票、监票不符合《公司章 程》《公司股东大会议事规则》规定外，表决程序符合《公司法》等相关法律及《公司章程》的规定，除审议提名徐东彬为 董事以外的其他议案表决结果合法有效。</w:t>
      </w:r>
    </w:p>
    <w:p>
      <w:pPr>
        <w:pStyle w:val="Style29"/>
        <w:keepNext w:val="0"/>
        <w:keepLines w:val="0"/>
        <w:widowControl w:val="0"/>
        <w:numPr>
          <w:ilvl w:val="0"/>
          <w:numId w:val="111"/>
        </w:numPr>
        <w:shd w:val="clear" w:color="auto" w:fill="auto"/>
        <w:tabs>
          <w:tab w:pos="677" w:val="left"/>
        </w:tabs>
        <w:bidi w:val="0"/>
        <w:spacing w:before="0" w:after="0" w:line="314" w:lineRule="exact"/>
        <w:ind w:left="0" w:right="0"/>
        <w:jc w:val="both"/>
      </w:pPr>
      <w:bookmarkStart w:id="2063" w:name="bookmark2063"/>
      <w:bookmarkEnd w:id="2063"/>
      <w:r>
        <w:rPr>
          <w:color w:val="000000"/>
          <w:spacing w:val="0"/>
          <w:w w:val="100"/>
          <w:position w:val="0"/>
        </w:rPr>
        <w:t>监管部门的关注</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日，一卡易股份收到中国证券监督管理委员会深圳监管局《深圳证监局关于对深圳一卡易科技股份有限 公司的监管关注函》（深圳局会计字【</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号），监管关注函要求：你公司及董事、监事、高级管理人员应严格遵守法律 法规、公司章程及内部管理制度，合法合规运营，规范履行信息披露义务，切实保障公众公司和全体股东的利益。</w:t>
      </w: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综上所述，截止报表报出日，公司对一卡易股份的控制权仍存在不确定性。</w:t>
      </w:r>
    </w:p>
    <w:p>
      <w:pPr>
        <w:pStyle w:val="Style25"/>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color w:val="000000"/>
          <w:spacing w:val="0"/>
          <w:w w:val="100"/>
          <w:position w:val="0"/>
          <w:sz w:val="24"/>
          <w:szCs w:val="24"/>
        </w:rPr>
        <w:t>十六、其他重要事项</w:t>
      </w:r>
      <w:bookmarkEnd w:id="2064"/>
      <w:bookmarkEnd w:id="2065"/>
      <w:bookmarkEnd w:id="2066"/>
    </w:p>
    <w:p>
      <w:pPr>
        <w:pStyle w:val="Style4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4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累积影响数</w:t>
            </w:r>
          </w:p>
        </w:tc>
      </w:tr>
    </w:tbl>
    <w:p>
      <w:pPr>
        <w:widowControl w:val="0"/>
        <w:spacing w:after="319" w:line="1" w:lineRule="exact"/>
      </w:pPr>
    </w:p>
    <w:p>
      <w:pPr>
        <w:pStyle w:val="Style48"/>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采用未来适用法的原因</w:t>
            </w:r>
          </w:p>
        </w:tc>
      </w:tr>
    </w:tbl>
    <w:p>
      <w:pPr>
        <w:widowControl w:val="0"/>
        <w:spacing w:after="319" w:line="1" w:lineRule="exact"/>
      </w:pPr>
    </w:p>
    <w:p>
      <w:pPr>
        <w:pStyle w:val="Style48"/>
        <w:keepNext w:val="0"/>
        <w:keepLines w:val="0"/>
        <w:widowControl w:val="0"/>
        <w:shd w:val="clear" w:color="auto" w:fill="auto"/>
        <w:tabs>
          <w:tab w:pos="378" w:val="left"/>
        </w:tabs>
        <w:bidi w:val="0"/>
        <w:spacing w:before="0" w:line="240" w:lineRule="auto"/>
        <w:ind w:left="0" w:right="0" w:firstLine="0"/>
        <w:jc w:val="left"/>
      </w:pPr>
      <w:bookmarkStart w:id="2067" w:name="bookmark2067"/>
      <w:r>
        <w:rPr>
          <w:rFonts w:ascii="Times New Roman" w:eastAsia="Times New Roman" w:hAnsi="Times New Roman" w:cs="Times New Roman"/>
          <w:color w:val="000000"/>
          <w:spacing w:val="0"/>
          <w:w w:val="100"/>
          <w:position w:val="0"/>
        </w:rPr>
        <w:t>2</w:t>
      </w:r>
      <w:bookmarkEnd w:id="2067"/>
      <w:r>
        <w:rPr>
          <w:color w:val="000000"/>
          <w:spacing w:val="0"/>
          <w:w w:val="100"/>
          <w:position w:val="0"/>
        </w:rPr>
        <w:t>、</w:t>
        <w:tab/>
        <w:t>债务重组</w:t>
      </w:r>
    </w:p>
    <w:p>
      <w:pPr>
        <w:pStyle w:val="Style48"/>
        <w:keepNext w:val="0"/>
        <w:keepLines w:val="0"/>
        <w:widowControl w:val="0"/>
        <w:shd w:val="clear" w:color="auto" w:fill="auto"/>
        <w:tabs>
          <w:tab w:pos="378" w:val="left"/>
        </w:tabs>
        <w:bidi w:val="0"/>
        <w:spacing w:before="0" w:line="240" w:lineRule="auto"/>
        <w:ind w:left="0" w:right="0" w:firstLine="0"/>
        <w:jc w:val="left"/>
      </w:pPr>
      <w:bookmarkStart w:id="2068" w:name="bookmark2068"/>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资产置换</w:t>
      </w:r>
    </w:p>
    <w:p>
      <w:pPr>
        <w:pStyle w:val="Style48"/>
        <w:keepNext w:val="0"/>
        <w:keepLines w:val="0"/>
        <w:widowControl w:val="0"/>
        <w:shd w:val="clear" w:color="auto" w:fill="auto"/>
        <w:tabs>
          <w:tab w:pos="488" w:val="left"/>
        </w:tabs>
        <w:bidi w:val="0"/>
        <w:spacing w:before="0" w:line="240" w:lineRule="auto"/>
        <w:ind w:left="0" w:right="0" w:firstLine="0"/>
        <w:jc w:val="left"/>
      </w:pPr>
      <w:bookmarkStart w:id="2069" w:name="bookmark2069"/>
      <w:r>
        <w:rPr>
          <w:color w:val="000000"/>
          <w:spacing w:val="0"/>
          <w:w w:val="100"/>
          <w:position w:val="0"/>
        </w:rPr>
        <w:t>（</w:t>
      </w:r>
      <w:bookmarkEnd w:id="206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48"/>
        <w:keepNext w:val="0"/>
        <w:keepLines w:val="0"/>
        <w:widowControl w:val="0"/>
        <w:shd w:val="clear" w:color="auto" w:fill="auto"/>
        <w:tabs>
          <w:tab w:pos="488" w:val="left"/>
        </w:tabs>
        <w:bidi w:val="0"/>
        <w:spacing w:before="0" w:line="240" w:lineRule="auto"/>
        <w:ind w:left="0" w:right="0" w:firstLine="0"/>
        <w:jc w:val="left"/>
      </w:pPr>
      <w:bookmarkStart w:id="2070" w:name="bookmark2070"/>
      <w:r>
        <w:rPr>
          <w:color w:val="000000"/>
          <w:spacing w:val="0"/>
          <w:w w:val="100"/>
          <w:position w:val="0"/>
        </w:rPr>
        <w:t>（</w:t>
      </w:r>
      <w:bookmarkEnd w:id="207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48"/>
        <w:keepNext w:val="0"/>
        <w:keepLines w:val="0"/>
        <w:widowControl w:val="0"/>
        <w:shd w:val="clear" w:color="auto" w:fill="auto"/>
        <w:tabs>
          <w:tab w:pos="378" w:val="left"/>
        </w:tabs>
        <w:bidi w:val="0"/>
        <w:spacing w:before="0" w:line="240" w:lineRule="auto"/>
        <w:ind w:left="0" w:right="0" w:firstLine="0"/>
        <w:jc w:val="left"/>
      </w:pPr>
      <w:bookmarkStart w:id="2071" w:name="bookmark2071"/>
      <w:r>
        <w:rPr>
          <w:rFonts w:ascii="Times New Roman" w:eastAsia="Times New Roman" w:hAnsi="Times New Roman" w:cs="Times New Roman"/>
          <w:color w:val="000000"/>
          <w:spacing w:val="0"/>
          <w:w w:val="100"/>
          <w:position w:val="0"/>
        </w:rPr>
        <w:t>4</w:t>
      </w:r>
      <w:bookmarkEnd w:id="2071"/>
      <w:r>
        <w:rPr>
          <w:color w:val="000000"/>
          <w:spacing w:val="0"/>
          <w:w w:val="100"/>
          <w:position w:val="0"/>
        </w:rPr>
        <w:t>、</w:t>
        <w:tab/>
        <w:t>年金计划</w:t>
      </w:r>
    </w:p>
    <w:p>
      <w:pPr>
        <w:pStyle w:val="Style48"/>
        <w:keepNext w:val="0"/>
        <w:keepLines w:val="0"/>
        <w:widowControl w:val="0"/>
        <w:shd w:val="clear" w:color="auto" w:fill="auto"/>
        <w:tabs>
          <w:tab w:pos="378" w:val="left"/>
        </w:tabs>
        <w:bidi w:val="0"/>
        <w:spacing w:before="0" w:after="380" w:line="240" w:lineRule="auto"/>
        <w:ind w:left="0" w:right="0" w:firstLine="0"/>
        <w:jc w:val="left"/>
      </w:pPr>
      <w:bookmarkStart w:id="2072" w:name="bookmark2072"/>
      <w:r>
        <w:rPr>
          <w:rFonts w:ascii="Times New Roman" w:eastAsia="Times New Roman" w:hAnsi="Times New Roman" w:cs="Times New Roman"/>
          <w:color w:val="000000"/>
          <w:spacing w:val="0"/>
          <w:w w:val="100"/>
          <w:position w:val="0"/>
        </w:rPr>
        <w:t>5</w:t>
      </w:r>
      <w:bookmarkEnd w:id="2072"/>
      <w:r>
        <w:rPr>
          <w:color w:val="000000"/>
          <w:spacing w:val="0"/>
          <w:w w:val="100"/>
          <w:position w:val="0"/>
        </w:rPr>
        <w:t>、</w:t>
        <w:tab/>
        <w:t>终止经营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归属于母公司 所有者的终止 经营利润</w:t>
            </w:r>
          </w:p>
        </w:tc>
      </w:tr>
    </w:tbl>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line="240" w:lineRule="auto"/>
        <w:ind w:left="0" w:right="0" w:firstLine="0"/>
        <w:jc w:val="left"/>
      </w:pPr>
      <w:bookmarkStart w:id="2073" w:name="bookmark2073"/>
      <w:r>
        <w:rPr>
          <w:rFonts w:ascii="Times New Roman" w:eastAsia="Times New Roman" w:hAnsi="Times New Roman" w:cs="Times New Roman"/>
          <w:color w:val="000000"/>
          <w:spacing w:val="0"/>
          <w:w w:val="100"/>
          <w:position w:val="0"/>
        </w:rPr>
        <w:t>6</w:t>
      </w:r>
      <w:bookmarkEnd w:id="2073"/>
      <w:r>
        <w:rPr>
          <w:color w:val="000000"/>
          <w:spacing w:val="0"/>
          <w:w w:val="100"/>
          <w:position w:val="0"/>
        </w:rPr>
        <w:t>、分部信息</w:t>
      </w:r>
    </w:p>
    <w:p>
      <w:pPr>
        <w:pStyle w:val="Style4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p>
    <w:p>
      <w:pPr>
        <w:pStyle w:val="Style29"/>
        <w:keepNext w:val="0"/>
        <w:keepLines w:val="0"/>
        <w:widowControl w:val="0"/>
        <w:shd w:val="clear" w:color="auto" w:fill="auto"/>
        <w:bidi w:val="0"/>
        <w:spacing w:before="0" w:after="320" w:line="322" w:lineRule="exact"/>
        <w:ind w:left="0" w:right="0"/>
        <w:jc w:val="left"/>
      </w:pPr>
      <w:r>
        <w:rPr>
          <w:color w:val="000000"/>
          <w:spacing w:val="0"/>
          <w:w w:val="100"/>
          <w:position w:val="0"/>
        </w:rPr>
        <w:t>依据《企业会计准则第</w:t>
      </w:r>
      <w:r>
        <w:rPr>
          <w:rFonts w:ascii="Times New Roman" w:eastAsia="Times New Roman" w:hAnsi="Times New Roman" w:cs="Times New Roman"/>
          <w:color w:val="000000"/>
          <w:spacing w:val="0"/>
          <w:w w:val="100"/>
          <w:position w:val="0"/>
        </w:rPr>
        <w:t>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分部报告》，企业披露分部信息应当区分业务分部和地区分部。本报告分部按产品的类别确 定分部信息。</w:t>
      </w:r>
      <w:r>
        <w:br w:type="page"/>
      </w:r>
    </w:p>
    <w:p>
      <w:pPr>
        <w:pStyle w:val="Style48"/>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60"/>
        <w:gridCol w:w="955"/>
        <w:gridCol w:w="960"/>
        <w:gridCol w:w="955"/>
        <w:gridCol w:w="955"/>
        <w:gridCol w:w="960"/>
        <w:gridCol w:w="96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制卡类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特种物联 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模块类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网络版会 员软件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电子智能 支付设备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分部间抵 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合计</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828,949,3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59,590,26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88,628,89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45,155,45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15,137,36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5,792,081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8,910,317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1,052,163</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,738.15</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604,727,9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80,616,87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20,107,63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4,375,443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6,066,635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734,492,2</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60.55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9.19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w:t>
            </w:r>
          </w:p>
        </w:tc>
      </w:tr>
    </w:tbl>
    <w:p>
      <w:pPr>
        <w:widowControl w:val="0"/>
        <w:spacing w:after="339" w:line="1" w:lineRule="exact"/>
      </w:pPr>
    </w:p>
    <w:p>
      <w:pPr>
        <w:pStyle w:val="Style48"/>
        <w:keepNext w:val="0"/>
        <w:keepLines w:val="0"/>
        <w:widowControl w:val="0"/>
        <w:shd w:val="clear" w:color="auto" w:fill="auto"/>
        <w:tabs>
          <w:tab w:pos="488" w:val="left"/>
        </w:tabs>
        <w:bidi w:val="0"/>
        <w:spacing w:before="0" w:after="340" w:line="240" w:lineRule="auto"/>
        <w:ind w:left="0" w:right="0" w:firstLine="0"/>
        <w:jc w:val="left"/>
      </w:pPr>
      <w:bookmarkStart w:id="2074" w:name="bookmark2074"/>
      <w:r>
        <w:rPr>
          <w:color w:val="000000"/>
          <w:spacing w:val="0"/>
          <w:w w:val="100"/>
          <w:position w:val="0"/>
        </w:rPr>
        <w:t>（</w:t>
      </w:r>
      <w:bookmarkEnd w:id="207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48"/>
        <w:keepNext w:val="0"/>
        <w:keepLines w:val="0"/>
        <w:widowControl w:val="0"/>
        <w:shd w:val="clear" w:color="auto" w:fill="auto"/>
        <w:tabs>
          <w:tab w:pos="488" w:val="left"/>
        </w:tabs>
        <w:bidi w:val="0"/>
        <w:spacing w:before="0" w:after="340" w:line="240" w:lineRule="auto"/>
        <w:ind w:left="0" w:right="0" w:firstLine="0"/>
        <w:jc w:val="left"/>
      </w:pPr>
      <w:bookmarkStart w:id="2075" w:name="bookmark2075"/>
      <w:r>
        <w:rPr>
          <w:color w:val="000000"/>
          <w:spacing w:val="0"/>
          <w:w w:val="100"/>
          <w:position w:val="0"/>
        </w:rPr>
        <w:t>（</w:t>
      </w:r>
      <w:bookmarkEnd w:id="207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48"/>
        <w:keepNext w:val="0"/>
        <w:keepLines w:val="0"/>
        <w:widowControl w:val="0"/>
        <w:shd w:val="clear" w:color="auto" w:fill="auto"/>
        <w:tabs>
          <w:tab w:pos="373" w:val="left"/>
        </w:tabs>
        <w:bidi w:val="0"/>
        <w:spacing w:before="0" w:after="340" w:line="240" w:lineRule="auto"/>
        <w:ind w:left="0" w:right="0" w:firstLine="0"/>
        <w:jc w:val="left"/>
      </w:pPr>
      <w:bookmarkStart w:id="2076" w:name="bookmark2076"/>
      <w:r>
        <w:rPr>
          <w:rFonts w:ascii="Times New Roman" w:eastAsia="Times New Roman" w:hAnsi="Times New Roman" w:cs="Times New Roman"/>
          <w:color w:val="000000"/>
          <w:spacing w:val="0"/>
          <w:w w:val="100"/>
          <w:position w:val="0"/>
        </w:rPr>
        <w:t>7</w:t>
      </w:r>
      <w:bookmarkEnd w:id="2076"/>
      <w:r>
        <w:rPr>
          <w:color w:val="000000"/>
          <w:spacing w:val="0"/>
          <w:w w:val="100"/>
          <w:position w:val="0"/>
        </w:rPr>
        <w:t>、</w:t>
        <w:tab/>
        <w:t>其他对投资者决策有影响的重要交易和事项</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77" w:name="bookmark2077"/>
      <w:r>
        <w:rPr>
          <w:rFonts w:ascii="Times New Roman" w:eastAsia="Times New Roman" w:hAnsi="Times New Roman" w:cs="Times New Roman"/>
          <w:color w:val="000000"/>
          <w:spacing w:val="0"/>
          <w:w w:val="100"/>
          <w:position w:val="0"/>
        </w:rPr>
        <w:t>8</w:t>
      </w:r>
      <w:bookmarkEnd w:id="2077"/>
      <w:r>
        <w:rPr>
          <w:color w:val="000000"/>
          <w:spacing w:val="0"/>
          <w:w w:val="100"/>
          <w:position w:val="0"/>
        </w:rPr>
        <w:t>、</w:t>
        <w:tab/>
        <w:t>其他</w:t>
      </w:r>
    </w:p>
    <w:p>
      <w:pPr>
        <w:pStyle w:val="Style25"/>
        <w:keepNext/>
        <w:keepLines/>
        <w:widowControl w:val="0"/>
        <w:shd w:val="clear" w:color="auto" w:fill="auto"/>
        <w:bidi w:val="0"/>
        <w:spacing w:before="0" w:after="340" w:line="240" w:lineRule="auto"/>
        <w:ind w:left="0" w:right="0" w:firstLine="0"/>
        <w:jc w:val="left"/>
      </w:pPr>
      <w:bookmarkStart w:id="2078" w:name="bookmark2078"/>
      <w:bookmarkStart w:id="2079" w:name="bookmark2079"/>
      <w:bookmarkStart w:id="2080" w:name="bookmark2080"/>
      <w:r>
        <w:rPr>
          <w:color w:val="000000"/>
          <w:spacing w:val="0"/>
          <w:w w:val="100"/>
          <w:position w:val="0"/>
          <w:sz w:val="24"/>
          <w:szCs w:val="24"/>
        </w:rPr>
        <w:t>十七、母公司财务报表主要项目注释</w:t>
      </w:r>
      <w:bookmarkEnd w:id="2078"/>
      <w:bookmarkEnd w:id="2079"/>
      <w:bookmarkEnd w:id="2080"/>
    </w:p>
    <w:p>
      <w:pPr>
        <w:pStyle w:val="Style4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4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148,19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11,827,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8.66%</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124,777,</w:t>
            </w:r>
          </w:p>
        </w:tc>
      </w:tr>
      <w:tr>
        <w:trPr>
          <w:trHeight w:val="154"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9,837.7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8,198.9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5,310.4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638.77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562.99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747.48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行业类型及客户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135,68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92.29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11,827,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106,568,</w:t>
            </w: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信用等级组合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0,526.6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8,887.8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6,234.0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638.77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562.99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671.08</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应收合并范围内 公司款项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18,209,0</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311.08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w:t>
            </w: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124,777,</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9,837.7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8,198.9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5,310.4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562.99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747.48</w:t>
            </w: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按组合计提坏账准备：组合中，按行业类型及客户信用等级组合计提坏账准备的应收账款</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24,797,875.90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2,219,502.58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31,676,466.20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5,433,543.81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28,463,300.96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1,516,277.95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4,303,077.65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1,063,873.31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24.72%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模块封装客户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39,676,406.53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421,636.13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20,833,399.41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3,406,804.99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149,750,526.65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14,061,638.77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146,788,433.10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4,338,900.68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1,124,523.92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10,007,980.03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10,007,980.03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162,259,837.73</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81"/>
      <w:bookmarkEnd w:id="2082"/>
      <w:bookmarkEnd w:id="2083"/>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11,827,562.99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2,234,075.78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14,061,638.77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11,827,562.99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2,234,075.78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14,061,638.77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84"/>
      <w:bookmarkEnd w:id="2085"/>
      <w:bookmarkEnd w:id="2087"/>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after="38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88"/>
      <w:bookmarkEnd w:id="2089"/>
      <w:bookmarkEnd w:id="20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31,763,200.85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317,632.01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12,509,311.08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10,647,650.70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106,476.51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8,989,800.15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7,121,136.70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71,211.37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71,031,099.48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keepLines/>
        <w:widowControl w:val="0"/>
        <w:shd w:val="clear" w:color="auto" w:fill="auto"/>
        <w:tabs>
          <w:tab w:pos="48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92"/>
      <w:bookmarkEnd w:id="2093"/>
      <w:bookmarkEnd w:id="2095"/>
    </w:p>
    <w:p>
      <w:pPr>
        <w:pStyle w:val="Style32"/>
        <w:keepNext/>
        <w:keepLines/>
        <w:widowControl w:val="0"/>
        <w:shd w:val="clear" w:color="auto" w:fill="auto"/>
        <w:tabs>
          <w:tab w:pos="488" w:val="left"/>
        </w:tabs>
        <w:bidi w:val="0"/>
        <w:spacing w:before="0" w:line="240" w:lineRule="auto"/>
        <w:ind w:left="0" w:right="0" w:firstLine="0"/>
        <w:jc w:val="left"/>
      </w:pPr>
      <w:bookmarkStart w:id="2092" w:name="bookmark2092"/>
      <w:bookmarkStart w:id="2093" w:name="bookmark2093"/>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92"/>
      <w:bookmarkEnd w:id="2093"/>
      <w:bookmarkEnd w:id="209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98"/>
      <w:bookmarkEnd w:id="2099"/>
      <w:bookmarkEnd w:id="21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95,178,248.76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140,023,871.55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95,178,248.76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140,023,871.55</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01"/>
      <w:bookmarkEnd w:id="2102"/>
      <w:bookmarkEnd w:id="2103"/>
    </w:p>
    <w:p>
      <w:pPr>
        <w:pStyle w:val="Style32"/>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4" w:name="bookmark2104"/>
      <w:bookmarkStart w:id="2105" w:name="bookmark2105"/>
      <w:r>
        <w:rPr>
          <w:rFonts w:ascii="Times New Roman" w:eastAsia="Times New Roman" w:hAnsi="Times New Roman" w:cs="Times New Roman"/>
          <w:color w:val="000000"/>
          <w:spacing w:val="0"/>
          <w:w w:val="100"/>
          <w:position w:val="0"/>
        </w:rPr>
        <w:t>1</w:t>
      </w:r>
      <w:bookmarkEnd w:id="2104"/>
      <w:r>
        <w:rPr>
          <w:color w:val="000000"/>
          <w:spacing w:val="0"/>
          <w:w w:val="100"/>
          <w:position w:val="0"/>
        </w:rPr>
        <w:t>）应收利息分类</w:t>
      </w:r>
      <w:bookmarkEnd w:id="2101"/>
      <w:bookmarkEnd w:id="2102"/>
      <w:bookmarkEnd w:id="21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2</w:t>
      </w:r>
      <w:bookmarkEnd w:id="2108"/>
      <w:r>
        <w:rPr>
          <w:color w:val="000000"/>
          <w:spacing w:val="0"/>
          <w:w w:val="100"/>
          <w:position w:val="0"/>
        </w:rPr>
        <w:t>）重要逾期利息</w:t>
      </w:r>
      <w:bookmarkEnd w:id="2106"/>
      <w:bookmarkEnd w:id="2107"/>
      <w:bookmarkEnd w:id="2109"/>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3</w:t>
      </w:r>
      <w:bookmarkEnd w:id="2112"/>
      <w:r>
        <w:rPr>
          <w:color w:val="000000"/>
          <w:spacing w:val="0"/>
          <w:w w:val="100"/>
          <w:position w:val="0"/>
        </w:rPr>
        <w:t>）坏账准备计提情况</w:t>
      </w:r>
      <w:bookmarkEnd w:id="2110"/>
      <w:bookmarkEnd w:id="2111"/>
      <w:bookmarkEnd w:id="2113"/>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14"/>
      <w:bookmarkEnd w:id="2115"/>
      <w:bookmarkEnd w:id="2116"/>
    </w:p>
    <w:p>
      <w:pPr>
        <w:pStyle w:val="Style32"/>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7" w:name="bookmark211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14"/>
      <w:bookmarkEnd w:id="2115"/>
      <w:bookmarkEnd w:id="21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2</w:t>
      </w:r>
      <w:bookmarkEnd w:id="21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18"/>
      <w:bookmarkEnd w:id="2119"/>
      <w:bookmarkEnd w:id="21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3</w:t>
      </w:r>
      <w:bookmarkEnd w:id="2124"/>
      <w:r>
        <w:rPr>
          <w:color w:val="000000"/>
          <w:spacing w:val="0"/>
          <w:w w:val="100"/>
          <w:position w:val="0"/>
        </w:rPr>
        <w:t>）坏账准备计提情况</w:t>
      </w:r>
      <w:bookmarkEnd w:id="2122"/>
      <w:bookmarkEnd w:id="2123"/>
      <w:bookmarkEnd w:id="212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14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w:t>
      </w:r>
      <w:bookmarkEnd w:id="21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26"/>
      <w:bookmarkEnd w:id="2127"/>
      <w:bookmarkEnd w:id="2129"/>
    </w:p>
    <w:p>
      <w:pPr>
        <w:pStyle w:val="Style32"/>
        <w:keepNext/>
        <w:keepLines/>
        <w:widowControl w:val="0"/>
        <w:shd w:val="clear" w:color="auto" w:fill="auto"/>
        <w:bidi w:val="0"/>
        <w:spacing w:before="0" w:after="360" w:line="240" w:lineRule="auto"/>
        <w:ind w:left="0" w:right="0" w:firstLine="0"/>
        <w:jc w:val="left"/>
      </w:pPr>
      <w:bookmarkStart w:id="2126" w:name="bookmark2126"/>
      <w:bookmarkStart w:id="2127" w:name="bookmark2127"/>
      <w:bookmarkStart w:id="2130" w:name="bookmark213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26"/>
      <w:bookmarkEnd w:id="2127"/>
      <w:bookmarkEnd w:id="21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合并范围内公司款项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132,342,878.00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6,728,776.80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9,735,656.30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代垫款及备用金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2,729,854.49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1,666,112.13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99,458,631.29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143,744,646.43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31"/>
      <w:bookmarkEnd w:id="2132"/>
      <w:bookmarkEnd w:id="21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616,736.77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3,104,038.11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3,720,774.88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516,843.85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559,607.65</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1,133,580.62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3,146,801.91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4,280,382.53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94,209,277.70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1,901,491.68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3,146,801.91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3,146,801.91</w:t>
            </w:r>
          </w:p>
        </w:tc>
      </w:tr>
    </w:tbl>
    <w:p>
      <w:pPr>
        <w:spacing w:lineRule="exact" w:line="1"/>
        <w:rPr>
          <w:sz w:val="2"/>
          <w:szCs w:val="2"/>
        </w:rPr>
      </w:pP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99,458,631.29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3</w:t>
      </w:r>
      <w:bookmarkEnd w:id="2136"/>
      <w:r>
        <w:rPr>
          <w:color w:val="000000"/>
          <w:spacing w:val="0"/>
          <w:w w:val="100"/>
          <w:position w:val="0"/>
        </w:rPr>
        <w:t>）本期计提、收回或转回的坏账准备情况</w:t>
      </w:r>
      <w:bookmarkEnd w:id="2134"/>
      <w:bookmarkEnd w:id="2135"/>
      <w:bookmarkEnd w:id="213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其他应收款坏账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3,720,774.8</w:t>
            </w:r>
          </w:p>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559,607.65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4,280,382.53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3,720,774.8</w:t>
            </w:r>
          </w:p>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559,607.65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4,280,382.53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4</w:t>
      </w:r>
      <w:bookmarkEnd w:id="2140"/>
      <w:r>
        <w:rPr>
          <w:color w:val="000000"/>
          <w:spacing w:val="0"/>
          <w:w w:val="100"/>
          <w:position w:val="0"/>
        </w:rPr>
        <w:t>）本期实际核销的其他应收款情况</w:t>
      </w:r>
      <w:bookmarkEnd w:id="2138"/>
      <w:bookmarkEnd w:id="2139"/>
      <w:bookmarkEnd w:id="21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after="360" w:line="240" w:lineRule="auto"/>
        <w:ind w:left="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5</w:t>
      </w:r>
      <w:bookmarkEnd w:id="2144"/>
      <w:r>
        <w:rPr>
          <w:color w:val="000000"/>
          <w:spacing w:val="0"/>
          <w:w w:val="100"/>
          <w:position w:val="0"/>
        </w:rPr>
        <w:t>）按欠款方归集的期末余额前五名的其他应收款情况</w:t>
      </w:r>
      <w:bookmarkEnd w:id="2142"/>
      <w:bookmarkEnd w:id="2143"/>
      <w:bookmarkEnd w:id="2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合并范围内往来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777,600.00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5,340.00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92,611,600.00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1,587,940.00</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6</w:t>
      </w:r>
      <w:bookmarkEnd w:id="2148"/>
      <w:r>
        <w:rPr>
          <w:color w:val="000000"/>
          <w:spacing w:val="0"/>
          <w:w w:val="100"/>
          <w:position w:val="0"/>
        </w:rPr>
        <w:t>）涉及政府补助的应收款项</w:t>
      </w:r>
      <w:bookmarkEnd w:id="2146"/>
      <w:bookmarkEnd w:id="2147"/>
      <w:bookmarkEnd w:id="21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及依据</w:t>
            </w:r>
          </w:p>
        </w:tc>
      </w:tr>
    </w:tbl>
    <w:p>
      <w:pPr>
        <w:widowControl w:val="0"/>
        <w:spacing w:after="319" w:line="1" w:lineRule="exact"/>
      </w:pPr>
    </w:p>
    <w:p>
      <w:pPr>
        <w:pStyle w:val="Style32"/>
        <w:keepNext/>
        <w:keepLines/>
        <w:widowControl w:val="0"/>
        <w:shd w:val="clear" w:color="auto" w:fill="auto"/>
        <w:tabs>
          <w:tab w:pos="387" w:val="left"/>
        </w:tabs>
        <w:bidi w:val="0"/>
        <w:spacing w:before="0" w:after="320" w:line="240" w:lineRule="auto"/>
        <w:ind w:left="0" w:right="0" w:firstLine="0"/>
        <w:jc w:val="both"/>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7</w:t>
      </w:r>
      <w:bookmarkEnd w:id="2152"/>
      <w:r>
        <w:rPr>
          <w:color w:val="000000"/>
          <w:spacing w:val="0"/>
          <w:w w:val="100"/>
          <w:position w:val="0"/>
        </w:rPr>
        <w:t>）</w:t>
        <w:tab/>
        <w:t>因金融资产转移而终止确认的其他应收款</w:t>
      </w:r>
      <w:bookmarkEnd w:id="2150"/>
      <w:bookmarkEnd w:id="2151"/>
      <w:bookmarkEnd w:id="2153"/>
    </w:p>
    <w:p>
      <w:pPr>
        <w:pStyle w:val="Style32"/>
        <w:keepNext/>
        <w:keepLines/>
        <w:widowControl w:val="0"/>
        <w:shd w:val="clear" w:color="auto" w:fill="auto"/>
        <w:tabs>
          <w:tab w:pos="392" w:val="left"/>
        </w:tabs>
        <w:bidi w:val="0"/>
        <w:spacing w:before="0" w:after="360" w:line="240" w:lineRule="auto"/>
        <w:ind w:left="0" w:right="0" w:firstLine="0"/>
        <w:jc w:val="both"/>
      </w:pPr>
      <w:bookmarkStart w:id="2150" w:name="bookmark2150"/>
      <w:bookmarkStart w:id="2151" w:name="bookmark2151"/>
      <w:bookmarkStart w:id="2154" w:name="bookmark2154"/>
      <w:bookmarkStart w:id="2155" w:name="bookmark2155"/>
      <w:r>
        <w:rPr>
          <w:rFonts w:ascii="Times New Roman" w:eastAsia="Times New Roman" w:hAnsi="Times New Roman" w:cs="Times New Roman"/>
          <w:color w:val="000000"/>
          <w:spacing w:val="0"/>
          <w:w w:val="100"/>
          <w:position w:val="0"/>
        </w:rPr>
        <w:t>8</w:t>
      </w:r>
      <w:bookmarkEnd w:id="2154"/>
      <w:r>
        <w:rPr>
          <w:color w:val="000000"/>
          <w:spacing w:val="0"/>
          <w:w w:val="100"/>
          <w:position w:val="0"/>
        </w:rPr>
        <w:t>）</w:t>
        <w:tab/>
        <w:t>转移其他应收款且继续涉入形成的资产、负债金额</w:t>
      </w:r>
      <w:bookmarkEnd w:id="2150"/>
      <w:bookmarkEnd w:id="2151"/>
      <w:bookmarkEnd w:id="2155"/>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3</w:t>
      </w:r>
      <w:bookmarkEnd w:id="2158"/>
      <w:r>
        <w:rPr>
          <w:color w:val="000000"/>
          <w:spacing w:val="0"/>
          <w:w w:val="100"/>
          <w:position w:val="0"/>
        </w:rPr>
        <w:t>、长期股权投资</w:t>
      </w:r>
      <w:bookmarkEnd w:id="2156"/>
      <w:bookmarkEnd w:id="2157"/>
      <w:bookmarkEnd w:id="21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763,076,245.40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113,612,149.59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649,464,095.81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599,003,585.40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587,866,170.73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216,686,984.39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216,686,984.39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210,630,598.55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210,630,598.55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979,763,229.79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113,612,149.59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866,151,080.20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809,634,183.95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798,496,769.28</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140"/>
        <w:jc w:val="left"/>
      </w:pPr>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0"/>
      <w:bookmarkEnd w:id="2161"/>
      <w:bookmarkEnd w:id="21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江苏恒宝智 能系统技术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348,747,405.</w:t>
            </w:r>
          </w:p>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348,747,405.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北京东方英 卡数字信息 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14,862,585.3</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14,862,585.3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11,137,414.6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恒宝国际有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37,361,560.0</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23,067,660.0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60,429,220.0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深圳一卡易 科技股份有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165,801,000.</w:t>
            </w:r>
          </w:p>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102,474,734.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63,326,265.0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102,474,734.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24"/>
      </w:tblGrid>
      <w:tr>
        <w:trPr>
          <w:trHeight w:val="10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云宝金服</w:t>
            </w:r>
            <w:r>
              <w:rPr>
                <w:color w:val="000000"/>
                <w:spacing w:val="0"/>
                <w:w w:val="100"/>
                <w:position w:val="0"/>
              </w:rPr>
              <w:t>（</w:t>
            </w:r>
            <w:r>
              <w:rPr>
                <w:rFonts w:ascii="SimSun" w:eastAsia="SimSun" w:hAnsi="SimSun" w:cs="SimSun"/>
                <w:color w:val="000000"/>
                <w:spacing w:val="0"/>
                <w:w w:val="100"/>
                <w:position w:val="0"/>
              </w:rPr>
              <w:t>北 京</w:t>
            </w:r>
            <w:r>
              <w:rPr>
                <w:color w:val="000000"/>
                <w:spacing w:val="0"/>
                <w:w w:val="100"/>
                <w:position w:val="0"/>
              </w:rPr>
              <w:t>）</w:t>
            </w:r>
            <w:r>
              <w:rPr>
                <w:rFonts w:ascii="SimSun" w:eastAsia="SimSun" w:hAnsi="SimSun" w:cs="SimSun"/>
                <w:color w:val="000000"/>
                <w:spacing w:val="0"/>
                <w:w w:val="100"/>
                <w:position w:val="0"/>
              </w:rPr>
              <w:t>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20,060,000.0</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30,060,000.0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w:t>
            </w:r>
            <w:r>
              <w:rPr>
                <w:color w:val="000000"/>
                <w:spacing w:val="0"/>
                <w:w w:val="100"/>
                <w:position w:val="0"/>
              </w:rPr>
              <w:t>（</w:t>
            </w:r>
            <w:r>
              <w:rPr>
                <w:rFonts w:ascii="SimSun" w:eastAsia="SimSun" w:hAnsi="SimSun" w:cs="SimSun"/>
                <w:color w:val="000000"/>
                <w:spacing w:val="0"/>
                <w:w w:val="100"/>
                <w:position w:val="0"/>
              </w:rPr>
              <w:t>中东非 洲</w:t>
            </w:r>
            <w:r>
              <w:rPr>
                <w:color w:val="000000"/>
                <w:spacing w:val="0"/>
                <w:w w:val="100"/>
                <w:position w:val="0"/>
              </w:rPr>
              <w:t>）</w:t>
            </w:r>
            <w:r>
              <w:rPr>
                <w:rFonts w:ascii="SimSun" w:eastAsia="SimSun" w:hAnsi="SimSun" w:cs="SimSun"/>
                <w:color w:val="000000"/>
                <w:spacing w:val="0"/>
                <w:w w:val="100"/>
                <w:position w:val="0"/>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1,033,620.00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恒宝润芯数 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131,005,000.</w:t>
            </w:r>
          </w:p>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131,005,000.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587,866,170.</w:t>
            </w:r>
          </w:p>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164,072,660.</w:t>
            </w:r>
          </w:p>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102,474,734.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649,464,095.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113,612,149.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63"/>
      <w:bookmarkEnd w:id="2164"/>
      <w:bookmarkEnd w:id="2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其他权 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上海恒 毓投资 中心</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210,63</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0,598.5</w:t>
            </w:r>
          </w:p>
          <w:p>
            <w:pPr>
              <w:pStyle w:val="Style2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3,529,5</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2,526,8</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216,68</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6,984.3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210,63</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0,598.5</w:t>
            </w:r>
          </w:p>
          <w:p>
            <w:pPr>
              <w:pStyle w:val="Style2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3,529,5</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2,526,8</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216,68</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6,984.3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210,63</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0,598.5</w:t>
            </w:r>
          </w:p>
          <w:p>
            <w:pPr>
              <w:pStyle w:val="Style2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3,529,5</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2,526,8</w:t>
            </w:r>
          </w:p>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216,68</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6,984.3</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66"/>
      <w:bookmarkEnd w:id="2167"/>
      <w:bookmarkEnd w:id="2169"/>
    </w:p>
    <w:p>
      <w:pPr>
        <w:pStyle w:val="Style32"/>
        <w:keepNext/>
        <w:keepLines/>
        <w:widowControl w:val="0"/>
        <w:shd w:val="clear" w:color="auto" w:fill="auto"/>
        <w:bidi w:val="0"/>
        <w:spacing w:before="0" w:after="360" w:line="240" w:lineRule="auto"/>
        <w:ind w:left="0" w:right="0" w:firstLine="0"/>
        <w:jc w:val="left"/>
      </w:pPr>
      <w:bookmarkStart w:id="2166" w:name="bookmark2166"/>
      <w:bookmarkStart w:id="2167" w:name="bookmark2167"/>
      <w:bookmarkStart w:id="2170" w:name="bookmark2170"/>
      <w:bookmarkStart w:id="2171" w:name="bookmark2171"/>
      <w:r>
        <w:rPr>
          <w:rFonts w:ascii="Times New Roman" w:eastAsia="Times New Roman" w:hAnsi="Times New Roman" w:cs="Times New Roman"/>
          <w:color w:val="000000"/>
          <w:spacing w:val="0"/>
          <w:w w:val="100"/>
          <w:position w:val="0"/>
        </w:rPr>
        <w:t>4</w:t>
      </w:r>
      <w:bookmarkEnd w:id="2170"/>
      <w:r>
        <w:rPr>
          <w:color w:val="000000"/>
          <w:spacing w:val="0"/>
          <w:w w:val="100"/>
          <w:position w:val="0"/>
        </w:rPr>
        <w:t>、营业收入和营业成本</w:t>
      </w:r>
      <w:bookmarkEnd w:id="2166"/>
      <w:bookmarkEnd w:id="2167"/>
      <w:bookmarkEnd w:id="21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3749"/>
        <w:gridCol w:w="383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903,927,678.10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683,325,809.53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1,239,125,184.09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954,489,985.49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11,830,420.70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6,169,820.28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5,321,400.34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2,767,631.17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915,758,098.80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689,495,629.81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1,244,446,584.43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957,257,616.66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63,154,008.35</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rPr>
        <w:t xml:space="preserve">63,154,008.35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年度确认收入，元预计将于年度确认收入，元预计将于年度确认收入。</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5</w:t>
      </w:r>
      <w:bookmarkEnd w:id="2174"/>
      <w:r>
        <w:rPr>
          <w:color w:val="000000"/>
          <w:spacing w:val="0"/>
          <w:w w:val="100"/>
          <w:position w:val="0"/>
        </w:rPr>
        <w:t>、投资收益</w:t>
      </w:r>
      <w:bookmarkEnd w:id="2172"/>
      <w:bookmarkEnd w:id="2173"/>
      <w:bookmarkEnd w:id="21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3,529,548.66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1,195,549.74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其他权益工具投资在持有期间取得的股 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4,818,014.41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4,337,592.21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10,317,457.17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5,703,549.57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18,665,020.24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11,236,691.52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6</w:t>
      </w:r>
      <w:bookmarkEnd w:id="2178"/>
      <w:r>
        <w:rPr>
          <w:color w:val="000000"/>
          <w:spacing w:val="0"/>
          <w:w w:val="100"/>
          <w:position w:val="0"/>
        </w:rPr>
        <w:t>、其他</w:t>
      </w:r>
      <w:bookmarkEnd w:id="2176"/>
      <w:bookmarkEnd w:id="2177"/>
      <w:bookmarkEnd w:id="2179"/>
    </w:p>
    <w:p>
      <w:pPr>
        <w:pStyle w:val="Style25"/>
        <w:keepNext/>
        <w:keepLines/>
        <w:widowControl w:val="0"/>
        <w:shd w:val="clear" w:color="auto" w:fill="auto"/>
        <w:bidi w:val="0"/>
        <w:spacing w:before="0" w:after="340" w:line="240" w:lineRule="auto"/>
        <w:ind w:left="0" w:right="0" w:firstLine="0"/>
        <w:jc w:val="left"/>
      </w:pPr>
      <w:bookmarkStart w:id="2180" w:name="bookmark2180"/>
      <w:bookmarkStart w:id="2181" w:name="bookmark2181"/>
      <w:bookmarkStart w:id="2182" w:name="bookmark2182"/>
      <w:r>
        <w:rPr>
          <w:color w:val="000000"/>
          <w:spacing w:val="0"/>
          <w:w w:val="100"/>
          <w:position w:val="0"/>
          <w:sz w:val="24"/>
          <w:szCs w:val="24"/>
        </w:rPr>
        <w:t>十八、补充资料</w:t>
      </w:r>
      <w:bookmarkEnd w:id="2180"/>
      <w:bookmarkEnd w:id="2181"/>
      <w:bookmarkEnd w:id="2182"/>
    </w:p>
    <w:p>
      <w:pPr>
        <w:pStyle w:val="Style32"/>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83"/>
      <w:bookmarkEnd w:id="2184"/>
      <w:bookmarkEnd w:id="218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-1,032,868.81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10,239,371.19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19,279,626.12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8,360,901.05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2,463,693.75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5,784,369.84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3,146,138.42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30,380,215.04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86"/>
      <w:bookmarkEnd w:id="2187"/>
      <w:bookmarkEnd w:id="2188"/>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0.0025</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-0.0411</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3</w:t>
      </w:r>
      <w:bookmarkEnd w:id="2191"/>
      <w:r>
        <w:rPr>
          <w:color w:val="000000"/>
          <w:spacing w:val="0"/>
          <w:w w:val="100"/>
          <w:position w:val="0"/>
        </w:rPr>
        <w:t>、境内外会计准则下会计数据差异</w:t>
      </w:r>
      <w:bookmarkEnd w:id="2189"/>
      <w:bookmarkEnd w:id="2190"/>
      <w:bookmarkEnd w:id="2192"/>
    </w:p>
    <w:p>
      <w:pPr>
        <w:pStyle w:val="Style32"/>
        <w:keepNext/>
        <w:keepLines/>
        <w:widowControl w:val="0"/>
        <w:shd w:val="clear" w:color="auto" w:fill="auto"/>
        <w:bidi w:val="0"/>
        <w:spacing w:before="0" w:after="320" w:line="240" w:lineRule="auto"/>
        <w:ind w:left="0" w:right="0" w:firstLine="0"/>
        <w:jc w:val="left"/>
      </w:pPr>
      <w:bookmarkStart w:id="2189" w:name="bookmark2189"/>
      <w:bookmarkStart w:id="2190" w:name="bookmark2190"/>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189"/>
      <w:bookmarkEnd w:id="2190"/>
      <w:bookmarkEnd w:id="2193"/>
    </w:p>
    <w:p>
      <w:pPr>
        <w:pStyle w:val="Style29"/>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8"/>
        <w:keepNext w:val="0"/>
        <w:keepLines w:val="0"/>
        <w:widowControl w:val="0"/>
        <w:numPr>
          <w:ilvl w:val="0"/>
          <w:numId w:val="113"/>
        </w:numPr>
        <w:shd w:val="clear" w:color="auto" w:fill="auto"/>
        <w:tabs>
          <w:tab w:pos="488" w:val="left"/>
        </w:tabs>
        <w:bidi w:val="0"/>
        <w:spacing w:before="0" w:after="360" w:line="322" w:lineRule="exact"/>
        <w:ind w:left="0" w:right="0" w:firstLine="0"/>
        <w:jc w:val="left"/>
      </w:pPr>
      <w:bookmarkStart w:id="2194" w:name="bookmark2194"/>
      <w:bookmarkEnd w:id="2194"/>
      <w:r>
        <w:rPr>
          <w:color w:val="000000"/>
          <w:spacing w:val="0"/>
          <w:w w:val="100"/>
          <w:position w:val="0"/>
        </w:rPr>
        <w:t>同时按照境外会计准则与按中国会计准则披露的财务报告中净利润和净资产差异情况</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8"/>
        <w:keepNext w:val="0"/>
        <w:keepLines w:val="0"/>
        <w:widowControl w:val="0"/>
        <w:numPr>
          <w:ilvl w:val="0"/>
          <w:numId w:val="113"/>
        </w:numPr>
        <w:shd w:val="clear" w:color="auto" w:fill="auto"/>
        <w:tabs>
          <w:tab w:pos="589" w:val="left"/>
        </w:tabs>
        <w:bidi w:val="0"/>
        <w:spacing w:before="0" w:after="300" w:line="322" w:lineRule="exact"/>
        <w:ind w:left="0" w:right="0" w:firstLine="0"/>
        <w:jc w:val="left"/>
      </w:pPr>
      <w:bookmarkStart w:id="2195" w:name="bookmark2195"/>
      <w:bookmarkEnd w:id="2195"/>
      <w:r>
        <w:rPr>
          <w:color w:val="000000"/>
          <w:spacing w:val="0"/>
          <w:w w:val="100"/>
          <w:position w:val="0"/>
        </w:rPr>
        <w:t>境内外会计准则下会计数据差异原因说明，对已经境外审计机构审计的数据进行差异调节的，应注 明该境外机构的名称</w:t>
      </w:r>
    </w:p>
    <w:p>
      <w:pPr>
        <w:pStyle w:val="Style48"/>
        <w:keepNext w:val="0"/>
        <w:keepLines w:val="0"/>
        <w:widowControl w:val="0"/>
        <w:shd w:val="clear" w:color="auto" w:fill="auto"/>
        <w:bidi w:val="0"/>
        <w:spacing w:before="0" w:after="340" w:line="322" w:lineRule="exact"/>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0" w:h="16840"/>
          <w:pgMar w:top="1241" w:right="1061" w:bottom="1409" w:left="1066" w:header="0" w:footer="3" w:gutter="0"/>
          <w:cols w:space="720"/>
          <w:noEndnote/>
          <w:rtlGutter w:val="0"/>
          <w:docGrid w:linePitch="360"/>
        </w:sectPr>
      </w:pPr>
      <w:bookmarkStart w:id="2196" w:name="bookmark2196"/>
      <w:r>
        <w:rPr>
          <w:rFonts w:ascii="Times New Roman" w:eastAsia="Times New Roman" w:hAnsi="Times New Roman" w:cs="Times New Roman"/>
          <w:color w:val="000000"/>
          <w:spacing w:val="0"/>
          <w:w w:val="100"/>
          <w:position w:val="0"/>
        </w:rPr>
        <w:t>4</w:t>
      </w:r>
      <w:bookmarkEnd w:id="2196"/>
      <w:r>
        <w:rPr>
          <w:color w:val="000000"/>
          <w:spacing w:val="0"/>
          <w:w w:val="100"/>
          <w:position w:val="0"/>
        </w:rPr>
        <w:t>、其他</w:t>
      </w:r>
    </w:p>
    <w:p>
      <w:pPr>
        <w:pStyle w:val="Style14"/>
        <w:keepNext/>
        <w:keepLines/>
        <w:widowControl w:val="0"/>
        <w:shd w:val="clear" w:color="auto" w:fill="auto"/>
        <w:bidi w:val="0"/>
        <w:spacing w:before="0" w:after="580" w:line="240" w:lineRule="auto"/>
        <w:ind w:left="0" w:right="0" w:firstLine="0"/>
        <w:jc w:val="center"/>
      </w:pPr>
      <w:bookmarkStart w:id="2197" w:name="bookmark2197"/>
      <w:bookmarkStart w:id="2198" w:name="bookmark2198"/>
      <w:bookmarkStart w:id="2199" w:name="bookmark2199"/>
      <w:r>
        <w:rPr>
          <w:color w:val="000000"/>
          <w:spacing w:val="0"/>
          <w:w w:val="100"/>
          <w:position w:val="0"/>
        </w:rPr>
        <w:t>第十三节备查文件目录</w:t>
      </w:r>
      <w:bookmarkEnd w:id="2197"/>
      <w:bookmarkEnd w:id="2198"/>
      <w:bookmarkEnd w:id="2199"/>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2200" w:name="bookmark2200"/>
      <w:r>
        <w:rPr>
          <w:color w:val="000000"/>
          <w:spacing w:val="0"/>
          <w:w w:val="100"/>
          <w:position w:val="0"/>
        </w:rPr>
        <w:t>（</w:t>
      </w:r>
      <w:bookmarkEnd w:id="2200"/>
      <w:r>
        <w:rPr>
          <w:color w:val="000000"/>
          <w:spacing w:val="0"/>
          <w:w w:val="100"/>
          <w:position w:val="0"/>
        </w:rPr>
        <w:t>一）</w:t>
        <w:tab/>
        <w:t>载有公司负责人、主管会计工作负责人、会计机构负责人（会计主管人员）签名并盖章的财务报表。</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2201" w:name="bookmark2201"/>
      <w:r>
        <w:rPr>
          <w:color w:val="000000"/>
          <w:spacing w:val="0"/>
          <w:w w:val="100"/>
          <w:position w:val="0"/>
        </w:rPr>
        <w:t>（</w:t>
      </w:r>
      <w:bookmarkEnd w:id="2201"/>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2202" w:name="bookmark2202"/>
      <w:r>
        <w:rPr>
          <w:color w:val="000000"/>
          <w:spacing w:val="0"/>
          <w:w w:val="100"/>
          <w:position w:val="0"/>
        </w:rPr>
        <w:t>（</w:t>
      </w:r>
      <w:bookmarkEnd w:id="2202"/>
      <w:r>
        <w:rPr>
          <w:color w:val="000000"/>
          <w:spacing w:val="0"/>
          <w:w w:val="100"/>
          <w:position w:val="0"/>
        </w:rPr>
        <w:t>三）</w:t>
        <w:tab/>
        <w:t>报告期内在中国证监会指定网站上公开披露过的所有公司文件的正本及公告的原稿。</w:t>
      </w:r>
    </w:p>
    <w:p>
      <w:pPr>
        <w:pStyle w:val="Style29"/>
        <w:keepNext w:val="0"/>
        <w:keepLines w:val="0"/>
        <w:widowControl w:val="0"/>
        <w:shd w:val="clear" w:color="auto" w:fill="auto"/>
        <w:tabs>
          <w:tab w:pos="531" w:val="left"/>
        </w:tabs>
        <w:bidi w:val="0"/>
        <w:spacing w:before="0" w:after="140" w:line="240" w:lineRule="auto"/>
        <w:ind w:left="0" w:right="0" w:firstLine="0"/>
        <w:jc w:val="left"/>
      </w:pPr>
      <w:bookmarkStart w:id="2203" w:name="bookmark2203"/>
      <w:r>
        <w:rPr>
          <w:color w:val="000000"/>
          <w:spacing w:val="0"/>
          <w:w w:val="100"/>
          <w:position w:val="0"/>
        </w:rPr>
        <w:t>（</w:t>
      </w:r>
      <w:bookmarkEnd w:id="2203"/>
      <w:r>
        <w:rPr>
          <w:color w:val="000000"/>
          <w:spacing w:val="0"/>
          <w:w w:val="100"/>
          <w:position w:val="0"/>
        </w:rPr>
        <w:t>四）</w:t>
        <w:tab/>
        <w:t>在其他证券市场公布的年度报告。</w:t>
      </w:r>
    </w:p>
    <w:sectPr>
      <w:footnotePr>
        <w:pos w:val="pageBottom"/>
        <w:numFmt w:val="decimal"/>
        <w:numRestart w:val="continuous"/>
      </w:footnotePr>
      <w:pgSz w:w="11900" w:h="16840"/>
      <w:pgMar w:top="1666" w:right="1083" w:bottom="1666"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3763645</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96.35000000000002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6390005</wp:posOffset>
              </wp:positionH>
              <wp:positionV relativeFrom="page">
                <wp:posOffset>9721850</wp:posOffset>
              </wp:positionV>
              <wp:extent cx="441960" cy="106680"/>
              <wp:wrapNone/>
              <wp:docPr id="56" name="Shape 5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2" type="#_x0000_t202" style="position:absolute;margin-left:503.15000000000003pt;margin-top:765.5pt;width:34.800000000000004pt;height:8.4000000000000004pt;z-index:-18874402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3704590</wp:posOffset>
              </wp:positionH>
              <wp:positionV relativeFrom="page">
                <wp:posOffset>10045065</wp:posOffset>
              </wp:positionV>
              <wp:extent cx="152400" cy="79375"/>
              <wp:wrapNone/>
              <wp:docPr id="58" name="Shape 5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4" type="#_x0000_t202" style="position:absolute;margin-left:291.69999999999999pt;margin-top:790.95000000000005pt;width:12.pt;height:6.25pt;z-index:-18874402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6390005</wp:posOffset>
              </wp:positionH>
              <wp:positionV relativeFrom="page">
                <wp:posOffset>9664065</wp:posOffset>
              </wp:positionV>
              <wp:extent cx="441960" cy="106680"/>
              <wp:wrapNone/>
              <wp:docPr id="62" name="Shape 62"/>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8" type="#_x0000_t202" style="position:absolute;margin-left:503.15000000000003pt;margin-top:760.95000000000005pt;width:34.800000000000004pt;height:8.4000000000000004pt;z-index:-18874401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3704590</wp:posOffset>
              </wp:positionH>
              <wp:positionV relativeFrom="page">
                <wp:posOffset>10102850</wp:posOffset>
              </wp:positionV>
              <wp:extent cx="143510" cy="79375"/>
              <wp:wrapNone/>
              <wp:docPr id="64" name="Shape 64"/>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0" type="#_x0000_t202" style="position:absolute;margin-left:291.69999999999999pt;margin-top:795.5pt;width:11.300000000000001pt;height:6.25pt;z-index:-18874401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3703955</wp:posOffset>
              </wp:positionH>
              <wp:positionV relativeFrom="page">
                <wp:posOffset>9956800</wp:posOffset>
              </wp:positionV>
              <wp:extent cx="97790" cy="79375"/>
              <wp:wrapNone/>
              <wp:docPr id="68" name="Shape 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291.65000000000003pt;margin-top:784.pt;width:7.7000000000000002pt;height:6.25pt;z-index:-1887440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3703955</wp:posOffset>
              </wp:positionH>
              <wp:positionV relativeFrom="page">
                <wp:posOffset>9956800</wp:posOffset>
              </wp:positionV>
              <wp:extent cx="97790" cy="79375"/>
              <wp:wrapNone/>
              <wp:docPr id="72" name="Shape 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291.65000000000003pt;margin-top:784.pt;width:7.7000000000000002pt;height:6.25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3703955</wp:posOffset>
              </wp:positionH>
              <wp:positionV relativeFrom="page">
                <wp:posOffset>9956800</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1.65000000000003pt;margin-top:784.pt;width:7.7000000000000002pt;height:6.25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3703955</wp:posOffset>
              </wp:positionH>
              <wp:positionV relativeFrom="page">
                <wp:posOffset>9956800</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291.65000000000003pt;margin-top:784.pt;width:7.7000000000000002pt;height:6.25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6390640</wp:posOffset>
              </wp:positionH>
              <wp:positionV relativeFrom="page">
                <wp:posOffset>9645015</wp:posOffset>
              </wp:positionV>
              <wp:extent cx="441960" cy="106680"/>
              <wp:wrapNone/>
              <wp:docPr id="84" name="Shape 8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0" type="#_x0000_t202" style="position:absolute;margin-left:503.19999999999999pt;margin-top:759.45000000000005pt;width:34.800000000000004pt;height:8.4000000000000004pt;z-index:-18874399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3705860</wp:posOffset>
              </wp:positionH>
              <wp:positionV relativeFrom="page">
                <wp:posOffset>10200005</wp:posOffset>
              </wp:positionV>
              <wp:extent cx="152400" cy="79375"/>
              <wp:wrapNone/>
              <wp:docPr id="86" name="Shape 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2" type="#_x0000_t202" style="position:absolute;margin-left:291.80000000000001pt;margin-top:803.14999999999998pt;width:12.pt;height:6.25pt;z-index:-18874399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3708400</wp:posOffset>
              </wp:positionH>
              <wp:positionV relativeFrom="page">
                <wp:posOffset>9725025</wp:posOffset>
              </wp:positionV>
              <wp:extent cx="152400" cy="79375"/>
              <wp:wrapNone/>
              <wp:docPr id="92" name="Shape 9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8" type="#_x0000_t202" style="position:absolute;margin-left:292.pt;margin-top:765.75pt;width:12.pt;height:6.25pt;z-index:-18874398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3708400</wp:posOffset>
              </wp:positionH>
              <wp:positionV relativeFrom="page">
                <wp:posOffset>9725025</wp:posOffset>
              </wp:positionV>
              <wp:extent cx="152400" cy="79375"/>
              <wp:wrapNone/>
              <wp:docPr id="98" name="Shape 9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4" type="#_x0000_t202" style="position:absolute;margin-left:292.pt;margin-top:765.75pt;width:12.pt;height:6.25pt;z-index:-18874398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3703955</wp:posOffset>
              </wp:positionH>
              <wp:positionV relativeFrom="page">
                <wp:posOffset>9956800</wp:posOffset>
              </wp:positionV>
              <wp:extent cx="97790" cy="79375"/>
              <wp:wrapNone/>
              <wp:docPr id="102" name="Shape 1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291.65000000000003pt;margin-top:784.pt;width:7.7000000000000002pt;height:6.25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3763645</wp:posOffset>
              </wp:positionH>
              <wp:positionV relativeFrom="page">
                <wp:posOffset>10104755</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296.35000000000002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3703955</wp:posOffset>
              </wp:positionH>
              <wp:positionV relativeFrom="page">
                <wp:posOffset>9956800</wp:posOffset>
              </wp:positionV>
              <wp:extent cx="97790" cy="79375"/>
              <wp:wrapNone/>
              <wp:docPr id="106" name="Shape 1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1.65000000000003pt;margin-top:784.pt;width:7.7000000000000002pt;height:6.25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3703955</wp:posOffset>
              </wp:positionH>
              <wp:positionV relativeFrom="page">
                <wp:posOffset>9956800</wp:posOffset>
              </wp:positionV>
              <wp:extent cx="97790" cy="79375"/>
              <wp:wrapNone/>
              <wp:docPr id="13" name="Shape 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91.65000000000003pt;margin-top:784.pt;width:7.7000000000000002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3703955</wp:posOffset>
              </wp:positionH>
              <wp:positionV relativeFrom="page">
                <wp:posOffset>9956800</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291.65000000000003pt;margin-top:784.pt;width:7.7000000000000002pt;height:6.25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3703955</wp:posOffset>
              </wp:positionH>
              <wp:positionV relativeFrom="page">
                <wp:posOffset>9956800</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291.65000000000003pt;margin-top:784.pt;width:7.7000000000000002pt;height:6.25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6393815</wp:posOffset>
              </wp:positionH>
              <wp:positionV relativeFrom="page">
                <wp:posOffset>9692005</wp:posOffset>
              </wp:positionV>
              <wp:extent cx="441960" cy="106680"/>
              <wp:wrapNone/>
              <wp:docPr id="38" name="Shape 3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4" type="#_x0000_t202" style="position:absolute;margin-left:503.44999999999999pt;margin-top:763.14999999999998pt;width:34.800000000000004pt;height:8.4000000000000004pt;z-index:-18874404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3726815</wp:posOffset>
              </wp:positionH>
              <wp:positionV relativeFrom="page">
                <wp:posOffset>10203815</wp:posOffset>
              </wp:positionV>
              <wp:extent cx="106680" cy="79375"/>
              <wp:wrapNone/>
              <wp:docPr id="40" name="Shape 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293.44999999999999pt;margin-top:803.45000000000005pt;width:8.4000000000000004pt;height:6.25pt;z-index:-18874403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3703955</wp:posOffset>
              </wp:positionH>
              <wp:positionV relativeFrom="page">
                <wp:posOffset>9956800</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1.65000000000003pt;margin-top:784.pt;width:7.7000000000000002pt;height:6.25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3703955</wp:posOffset>
              </wp:positionH>
              <wp:positionV relativeFrom="page">
                <wp:posOffset>9956800</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1.65000000000003pt;margin-top:784.pt;width:7.7000000000000002pt;height:6.25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3703955</wp:posOffset>
              </wp:positionH>
              <wp:positionV relativeFrom="page">
                <wp:posOffset>9956800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291.65000000000003pt;margin-top:784.pt;width:7.7000000000000002pt;height:6.25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721995</wp:posOffset>
              </wp:positionH>
              <wp:positionV relativeFrom="page">
                <wp:posOffset>503555</wp:posOffset>
              </wp:positionV>
              <wp:extent cx="1993265" cy="106680"/>
              <wp:wrapNone/>
              <wp:docPr id="1" name="Shape 1"/>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850000000000001pt;margin-top:39.649999999999999pt;width:156.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720725</wp:posOffset>
              </wp:positionH>
              <wp:positionV relativeFrom="page">
                <wp:posOffset>690245</wp:posOffset>
              </wp:positionV>
              <wp:extent cx="1993265" cy="106680"/>
              <wp:wrapNone/>
              <wp:docPr id="54" name="Shape 54"/>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56.75pt;margin-top:54.350000000000001pt;width:156.95000000000002pt;height:8.4000000000000004pt;z-index:-18874402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720725</wp:posOffset>
              </wp:positionH>
              <wp:positionV relativeFrom="page">
                <wp:posOffset>757555</wp:posOffset>
              </wp:positionV>
              <wp:extent cx="1993265" cy="106680"/>
              <wp:wrapNone/>
              <wp:docPr id="60" name="Shape 60"/>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56.75pt;margin-top:59.649999999999999pt;width:156.95000000000002pt;height:8.4000000000000004pt;z-index:-18874401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721360</wp:posOffset>
              </wp:positionH>
              <wp:positionV relativeFrom="page">
                <wp:posOffset>507365</wp:posOffset>
              </wp:positionV>
              <wp:extent cx="1993265" cy="106680"/>
              <wp:wrapNone/>
              <wp:docPr id="66" name="Shape 66"/>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2" type="#_x0000_t202" style="position:absolute;margin-left:56.800000000000004pt;margin-top:39.950000000000003pt;width:156.95000000000002pt;height:8.4000000000000004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721360</wp:posOffset>
              </wp:positionH>
              <wp:positionV relativeFrom="page">
                <wp:posOffset>507365</wp:posOffset>
              </wp:positionV>
              <wp:extent cx="1993265" cy="106680"/>
              <wp:wrapNone/>
              <wp:docPr id="70" name="Shape 70"/>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6" type="#_x0000_t202" style="position:absolute;margin-left:56.800000000000004pt;margin-top:39.950000000000003pt;width:156.95000000000002pt;height:8.4000000000000004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721360</wp:posOffset>
              </wp:positionH>
              <wp:positionV relativeFrom="page">
                <wp:posOffset>507365</wp:posOffset>
              </wp:positionV>
              <wp:extent cx="1993265" cy="106680"/>
              <wp:wrapNone/>
              <wp:docPr id="74" name="Shape 74"/>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0" type="#_x0000_t202" style="position:absolute;margin-left:56.800000000000004pt;margin-top:39.950000000000003pt;width:156.95000000000002pt;height:8.4000000000000004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721360</wp:posOffset>
              </wp:positionH>
              <wp:positionV relativeFrom="page">
                <wp:posOffset>507365</wp:posOffset>
              </wp:positionV>
              <wp:extent cx="1993265" cy="106680"/>
              <wp:wrapNone/>
              <wp:docPr id="78" name="Shape 78"/>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4" type="#_x0000_t202" style="position:absolute;margin-left:56.800000000000004pt;margin-top:39.950000000000003pt;width:156.95000000000002pt;height:8.4000000000000004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721360</wp:posOffset>
              </wp:positionH>
              <wp:positionV relativeFrom="page">
                <wp:posOffset>854710</wp:posOffset>
              </wp:positionV>
              <wp:extent cx="1993265" cy="106680"/>
              <wp:wrapNone/>
              <wp:docPr id="82" name="Shape 82"/>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56.800000000000004pt;margin-top:67.299999999999997pt;width:156.95000000000002pt;height:8.4000000000000004pt;z-index:-18874399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723900</wp:posOffset>
              </wp:positionH>
              <wp:positionV relativeFrom="page">
                <wp:posOffset>379730</wp:posOffset>
              </wp:positionV>
              <wp:extent cx="1993265" cy="106680"/>
              <wp:wrapNone/>
              <wp:docPr id="88" name="Shape 88"/>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4" type="#_x0000_t202" style="position:absolute;margin-left:57.pt;margin-top:29.900000000000002pt;width:156.95000000000002pt;height:8.4000000000000004pt;z-index:-18874399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6393180</wp:posOffset>
              </wp:positionH>
              <wp:positionV relativeFrom="page">
                <wp:posOffset>755015</wp:posOffset>
              </wp:positionV>
              <wp:extent cx="441960" cy="106680"/>
              <wp:wrapNone/>
              <wp:docPr id="90" name="Shape 9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6" type="#_x0000_t202" style="position:absolute;margin-left:503.40000000000003pt;margin-top:59.450000000000003pt;width:34.800000000000004pt;height:8.4000000000000004pt;z-index:-18874398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723900</wp:posOffset>
              </wp:positionH>
              <wp:positionV relativeFrom="page">
                <wp:posOffset>379730</wp:posOffset>
              </wp:positionV>
              <wp:extent cx="1993265" cy="106680"/>
              <wp:wrapNone/>
              <wp:docPr id="94" name="Shape 94"/>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57.pt;margin-top:29.900000000000002pt;width:156.95000000000002pt;height:8.4000000000000004pt;z-index:-18874398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6393180</wp:posOffset>
              </wp:positionH>
              <wp:positionV relativeFrom="page">
                <wp:posOffset>755015</wp:posOffset>
              </wp:positionV>
              <wp:extent cx="441960" cy="106680"/>
              <wp:wrapNone/>
              <wp:docPr id="96" name="Shape 9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2" type="#_x0000_t202" style="position:absolute;margin-left:503.40000000000003pt;margin-top:59.450000000000003pt;width:34.800000000000004pt;height:8.4000000000000004pt;z-index:-18874398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721360</wp:posOffset>
              </wp:positionH>
              <wp:positionV relativeFrom="page">
                <wp:posOffset>507365</wp:posOffset>
              </wp:positionV>
              <wp:extent cx="1993265" cy="106680"/>
              <wp:wrapNone/>
              <wp:docPr id="100" name="Shape 100"/>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6" type="#_x0000_t202" style="position:absolute;margin-left:56.800000000000004pt;margin-top:39.950000000000003pt;width:156.95000000000002pt;height:8.4000000000000004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721995</wp:posOffset>
              </wp:positionH>
              <wp:positionV relativeFrom="page">
                <wp:posOffset>503555</wp:posOffset>
              </wp:positionV>
              <wp:extent cx="1993265" cy="106680"/>
              <wp:wrapNone/>
              <wp:docPr id="5" name="Shape 5"/>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1" type="#_x0000_t202" style="position:absolute;margin-left:56.850000000000001pt;margin-top:39.649999999999999pt;width:156.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721360</wp:posOffset>
              </wp:positionH>
              <wp:positionV relativeFrom="page">
                <wp:posOffset>507365</wp:posOffset>
              </wp:positionV>
              <wp:extent cx="1993265" cy="106680"/>
              <wp:wrapNone/>
              <wp:docPr id="104" name="Shape 104"/>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0" type="#_x0000_t202" style="position:absolute;margin-left:56.800000000000004pt;margin-top:39.950000000000003pt;width:156.95000000000002pt;height:8.4000000000000004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721360</wp:posOffset>
              </wp:positionH>
              <wp:positionV relativeFrom="page">
                <wp:posOffset>507365</wp:posOffset>
              </wp:positionV>
              <wp:extent cx="1993265" cy="106680"/>
              <wp:wrapNone/>
              <wp:docPr id="11" name="Shape 11"/>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56.800000000000004pt;margin-top:39.950000000000003pt;width:156.95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721360</wp:posOffset>
              </wp:positionH>
              <wp:positionV relativeFrom="page">
                <wp:posOffset>507365</wp:posOffset>
              </wp:positionV>
              <wp:extent cx="1993265" cy="106680"/>
              <wp:wrapNone/>
              <wp:docPr id="15" name="Shape 15"/>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56.800000000000004pt;margin-top:39.950000000000003pt;width:156.95000000000002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721360</wp:posOffset>
              </wp:positionH>
              <wp:positionV relativeFrom="page">
                <wp:posOffset>507365</wp:posOffset>
              </wp:positionV>
              <wp:extent cx="1993265" cy="106680"/>
              <wp:wrapNone/>
              <wp:docPr id="32" name="Shape 32"/>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8" type="#_x0000_t202" style="position:absolute;margin-left:56.800000000000004pt;margin-top:39.950000000000003pt;width:156.95000000000002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724535</wp:posOffset>
              </wp:positionH>
              <wp:positionV relativeFrom="page">
                <wp:posOffset>826770</wp:posOffset>
              </wp:positionV>
              <wp:extent cx="1993265" cy="106680"/>
              <wp:wrapNone/>
              <wp:docPr id="36" name="Shape 36"/>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57.050000000000004pt;margin-top:65.099999999999994pt;width:156.95000000000002pt;height:8.4000000000000004pt;z-index:-18874404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721360</wp:posOffset>
              </wp:positionH>
              <wp:positionV relativeFrom="page">
                <wp:posOffset>507365</wp:posOffset>
              </wp:positionV>
              <wp:extent cx="1993265" cy="106680"/>
              <wp:wrapNone/>
              <wp:docPr id="42" name="Shape 42"/>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8" type="#_x0000_t202" style="position:absolute;margin-left:56.800000000000004pt;margin-top:39.950000000000003pt;width:156.95000000000002pt;height:8.4000000000000004pt;z-index:-1887440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721360</wp:posOffset>
              </wp:positionH>
              <wp:positionV relativeFrom="page">
                <wp:posOffset>507365</wp:posOffset>
              </wp:positionV>
              <wp:extent cx="1993265" cy="106680"/>
              <wp:wrapNone/>
              <wp:docPr id="46" name="Shape 46"/>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2" type="#_x0000_t202" style="position:absolute;margin-left:56.800000000000004pt;margin-top:39.950000000000003pt;width:156.95000000000002pt;height:8.4000000000000004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721360</wp:posOffset>
              </wp:positionH>
              <wp:positionV relativeFrom="page">
                <wp:posOffset>507365</wp:posOffset>
              </wp:positionV>
              <wp:extent cx="1993265" cy="106680"/>
              <wp:wrapNone/>
              <wp:docPr id="50" name="Shape 50"/>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6" type="#_x0000_t202" style="position:absolute;margin-left:56.800000000000004pt;margin-top:39.950000000000003pt;width:156.95000000000002pt;height:8.4000000000000004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恒宝股份有限公司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7)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正文文本 (8)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00" w:after="7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3)"/>
    <w:basedOn w:val="Normal"/>
    <w:link w:val="CharStyle9"/>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正文文本"/>
    <w:basedOn w:val="Normal"/>
    <w:link w:val="CharStyle30"/>
    <w:pPr>
      <w:widowControl w:val="0"/>
      <w:shd w:val="clear" w:color="auto" w:fill="auto"/>
      <w:spacing w:after="40"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7)"/>
    <w:basedOn w:val="Normal"/>
    <w:link w:val="CharStyle46"/>
    <w:pPr>
      <w:widowControl w:val="0"/>
      <w:shd w:val="clear" w:color="auto" w:fill="auto"/>
      <w:spacing w:after="720" w:line="317"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正文文本 (8)"/>
    <w:basedOn w:val="Normal"/>
    <w:link w:val="CharStyle49"/>
    <w:pPr>
      <w:widowControl w:val="0"/>
      <w:shd w:val="clear" w:color="auto" w:fill="auto"/>
      <w:spacing w:after="320"/>
      <w:ind w:firstLine="70"/>
    </w:pPr>
    <w:rPr>
      <w:rFonts w:ascii="SimSun" w:eastAsia="SimSun" w:hAnsi="SimSun" w:cs="SimSun"/>
      <w:b/>
      <w:bCs/>
      <w:i w:val="0"/>
      <w:iCs w:val="0"/>
      <w:smallCaps w:val="0"/>
      <w:strike w:val="0"/>
      <w:sz w:val="20"/>
      <w:szCs w:val="20"/>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s>
</file>